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76" w:rsidRPr="00805E76" w:rsidRDefault="00805E76" w:rsidP="00805E76">
      <w:pPr>
        <w:spacing w:after="0"/>
        <w:ind w:left="365" w:hanging="10"/>
        <w:jc w:val="center"/>
        <w:rPr>
          <w:rFonts w:ascii="Calibri" w:eastAsia="Calibri" w:hAnsi="Calibri" w:cs="Calibri"/>
          <w:b/>
          <w:color w:val="000000"/>
          <w:sz w:val="22"/>
          <w:lang w:val="en-US" w:eastAsia="ru-RU"/>
        </w:rPr>
      </w:pPr>
      <w:r w:rsidRPr="00805E76">
        <w:rPr>
          <w:rFonts w:ascii="Calibri" w:eastAsia="Calibri" w:hAnsi="Calibri" w:cs="Calibri"/>
          <w:b/>
          <w:color w:val="000000"/>
          <w:sz w:val="22"/>
          <w:lang w:val="en-US" w:eastAsia="ru-RU"/>
        </w:rPr>
        <w:t xml:space="preserve">LIST OF ORGANISATIONS WHERE RUSSIAN CUSTODIANS MAY OPEN ACCOUNTS FOR FOREIGN SECURITIES IN ORDER TO ISSUE RUSSIAN DEPOSITARY RECEIPTS </w:t>
      </w:r>
    </w:p>
    <w:p w:rsidR="00FF2F38" w:rsidRPr="00805E76" w:rsidRDefault="00FF2F38">
      <w:pPr>
        <w:pStyle w:val="ConsPlusNormal"/>
        <w:jc w:val="both"/>
        <w:rPr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4402"/>
      </w:tblGrid>
      <w:tr w:rsidR="00FF2F38">
        <w:tc>
          <w:tcPr>
            <w:tcW w:w="567" w:type="dxa"/>
          </w:tcPr>
          <w:p w:rsidR="00FF2F38" w:rsidRDefault="00FF2F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</w:tcPr>
          <w:p w:rsidR="00FF2F38" w:rsidRDefault="00805E76">
            <w:pPr>
              <w:pStyle w:val="ConsPlusNormal"/>
              <w:jc w:val="center"/>
            </w:pPr>
            <w:proofErr w:type="spellStart"/>
            <w:r w:rsidRPr="00805E76">
              <w:t>Name</w:t>
            </w:r>
            <w:proofErr w:type="spellEnd"/>
            <w:r w:rsidRPr="00805E76">
              <w:t xml:space="preserve"> </w:t>
            </w:r>
            <w:proofErr w:type="spellStart"/>
            <w:r w:rsidRPr="00805E76">
              <w:t>in</w:t>
            </w:r>
            <w:proofErr w:type="spellEnd"/>
            <w:r w:rsidRPr="00805E76">
              <w:t xml:space="preserve"> </w:t>
            </w:r>
            <w:proofErr w:type="spellStart"/>
            <w:r w:rsidRPr="00805E76">
              <w:t>Russian</w:t>
            </w:r>
            <w:proofErr w:type="spellEnd"/>
            <w:r w:rsidRPr="00805E76">
              <w:t xml:space="preserve">           </w:t>
            </w:r>
          </w:p>
        </w:tc>
        <w:tc>
          <w:tcPr>
            <w:tcW w:w="4402" w:type="dxa"/>
          </w:tcPr>
          <w:p w:rsidR="00FF2F38" w:rsidRDefault="00805E76">
            <w:pPr>
              <w:pStyle w:val="ConsPlusNormal"/>
              <w:jc w:val="center"/>
            </w:pPr>
            <w:proofErr w:type="spellStart"/>
            <w:r w:rsidRPr="00805E76">
              <w:t>Name</w:t>
            </w:r>
            <w:proofErr w:type="spellEnd"/>
            <w:r w:rsidRPr="00805E76">
              <w:t xml:space="preserve"> </w:t>
            </w:r>
            <w:proofErr w:type="spellStart"/>
            <w:r w:rsidRPr="00805E76">
              <w:t>in</w:t>
            </w:r>
            <w:proofErr w:type="spellEnd"/>
            <w:r w:rsidRPr="00805E76">
              <w:t xml:space="preserve"> </w:t>
            </w:r>
            <w:proofErr w:type="spellStart"/>
            <w:r w:rsidRPr="00805E76">
              <w:t>English</w:t>
            </w:r>
            <w:proofErr w:type="spellEnd"/>
            <w:r w:rsidRPr="00805E76">
              <w:t xml:space="preserve">            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bookmarkStart w:id="0" w:name="_GoBack"/>
            <w:bookmarkEnd w:id="0"/>
            <w:r>
              <w:t>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Австраклир</w:t>
            </w:r>
            <w:proofErr w:type="spellEnd"/>
            <w:r>
              <w:t xml:space="preserve"> (Австралийский Союз)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Austraclear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>.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Австрийский Центральный Депозитарий ценных бумаг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 xml:space="preserve">OeKB CSD </w:t>
            </w:r>
            <w:proofErr w:type="spellStart"/>
            <w:r w:rsidRPr="00FF2F38">
              <w:rPr>
                <w:lang w:val="en-US"/>
              </w:rPr>
              <w:t>Vorbereitungs</w:t>
            </w:r>
            <w:proofErr w:type="spellEnd"/>
            <w:r w:rsidRPr="00FF2F38">
              <w:rPr>
                <w:lang w:val="en-US"/>
              </w:rPr>
              <w:t xml:space="preserve"> GmbH (</w:t>
            </w:r>
            <w:proofErr w:type="spellStart"/>
            <w:r w:rsidRPr="00FF2F38">
              <w:rPr>
                <w:lang w:val="en-US"/>
              </w:rPr>
              <w:t>OeKB</w:t>
            </w:r>
            <w:proofErr w:type="spellEnd"/>
            <w:r w:rsidRPr="00FF2F38">
              <w:rPr>
                <w:lang w:val="en-US"/>
              </w:rPr>
              <w:t xml:space="preserve"> CSD)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АйЭнДжи Банк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ING </w:t>
            </w:r>
            <w:proofErr w:type="spellStart"/>
            <w:r>
              <w:t>Bank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Акционерное общество "Центральный депозитарий ценных бумаг" (АО "ЦДЦБ") (Республика Казахстан)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Depository</w:t>
            </w:r>
            <w:proofErr w:type="spellEnd"/>
            <w:r>
              <w:t>, JSC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Ви Пи </w:t>
            </w:r>
            <w:proofErr w:type="spellStart"/>
            <w:r>
              <w:t>Секьюритиз</w:t>
            </w:r>
            <w:proofErr w:type="spellEnd"/>
            <w:r>
              <w:t xml:space="preserve"> (центральный депозитарий ценных бумаг Дании)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>VP SECURITIES A/S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Закрытое Акционерное Общество "Национальный Депозитарный Центр Азербайджанской Республики" (НДЦ)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National Depository Center (NDC) of Azerbaijan Republic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Банк биржевых расчетов и хранения активов </w:t>
            </w:r>
            <w:proofErr w:type="spellStart"/>
            <w:r>
              <w:t>Такасбанк</w:t>
            </w:r>
            <w:proofErr w:type="spellEnd"/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 xml:space="preserve">Istanbul Clearing Settlement and Custody Bank </w:t>
            </w:r>
            <w:proofErr w:type="spellStart"/>
            <w:r w:rsidRPr="00FF2F38">
              <w:rPr>
                <w:lang w:val="en-US"/>
              </w:rPr>
              <w:t>Bank</w:t>
            </w:r>
            <w:proofErr w:type="spellEnd"/>
            <w:r w:rsidRPr="00FF2F38">
              <w:rPr>
                <w:lang w:val="en-US"/>
              </w:rPr>
              <w:t xml:space="preserve"> Inc. - </w:t>
            </w:r>
            <w:proofErr w:type="spellStart"/>
            <w:r w:rsidRPr="00FF2F38">
              <w:rPr>
                <w:lang w:val="en-US"/>
              </w:rPr>
              <w:t>Takasbank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Банк КАСЭИС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CASEIS </w:t>
            </w:r>
            <w:proofErr w:type="spellStart"/>
            <w:r>
              <w:t>Bank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Банк </w:t>
            </w:r>
            <w:proofErr w:type="spellStart"/>
            <w:r>
              <w:t>ЮБиЭс</w:t>
            </w:r>
            <w:proofErr w:type="spellEnd"/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>UBS AG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БиэНПи</w:t>
            </w:r>
            <w:proofErr w:type="spellEnd"/>
            <w:r>
              <w:t xml:space="preserve"> </w:t>
            </w:r>
            <w:proofErr w:type="spellStart"/>
            <w:r>
              <w:t>Париба</w:t>
            </w:r>
            <w:proofErr w:type="spellEnd"/>
            <w:r>
              <w:t xml:space="preserve"> </w:t>
            </w:r>
            <w:proofErr w:type="spellStart"/>
            <w:r>
              <w:t>Секьюритис</w:t>
            </w:r>
            <w:proofErr w:type="spellEnd"/>
            <w:r>
              <w:t xml:space="preserve"> </w:t>
            </w:r>
            <w:proofErr w:type="spellStart"/>
            <w:r>
              <w:t>Сервисис</w:t>
            </w:r>
            <w:proofErr w:type="spellEnd"/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BNP </w:t>
            </w:r>
            <w:proofErr w:type="spellStart"/>
            <w:r>
              <w:t>Paribas</w:t>
            </w:r>
            <w:proofErr w:type="spellEnd"/>
            <w:r>
              <w:t xml:space="preserve">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Браун </w:t>
            </w:r>
            <w:proofErr w:type="spellStart"/>
            <w:r>
              <w:t>Бразерс</w:t>
            </w:r>
            <w:proofErr w:type="spellEnd"/>
            <w:r>
              <w:t xml:space="preserve"> </w:t>
            </w:r>
            <w:proofErr w:type="spellStart"/>
            <w:r>
              <w:t>Харриман</w:t>
            </w:r>
            <w:proofErr w:type="spellEnd"/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Brown</w:t>
            </w:r>
            <w:proofErr w:type="spellEnd"/>
            <w:r>
              <w:t xml:space="preserve"> </w:t>
            </w:r>
            <w:proofErr w:type="spellStart"/>
            <w:r>
              <w:t>Brothers</w:t>
            </w:r>
            <w:proofErr w:type="spellEnd"/>
            <w:r>
              <w:t xml:space="preserve"> </w:t>
            </w:r>
            <w:proofErr w:type="spellStart"/>
            <w:r>
              <w:t>Harriman</w:t>
            </w:r>
            <w:proofErr w:type="spellEnd"/>
            <w:r>
              <w:t xml:space="preserve"> &amp; </w:t>
            </w:r>
            <w:proofErr w:type="spellStart"/>
            <w:r>
              <w:t>Co</w:t>
            </w:r>
            <w:proofErr w:type="spellEnd"/>
            <w:r>
              <w:t>.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Государственное предприятие "Центральный депозитарий ценных бумаг" (Республика Узбекистан)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The state enterprise "Central Securities Depository"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Депозитарий при </w:t>
            </w:r>
            <w:proofErr w:type="spellStart"/>
            <w:r>
              <w:t>Австроклир</w:t>
            </w:r>
            <w:proofErr w:type="spellEnd"/>
            <w:r>
              <w:t xml:space="preserve"> группы </w:t>
            </w:r>
            <w:proofErr w:type="spellStart"/>
            <w:r>
              <w:t>АйЭсЭкс</w:t>
            </w:r>
            <w:proofErr w:type="spellEnd"/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ASX </w:t>
            </w:r>
            <w:proofErr w:type="spellStart"/>
            <w:r>
              <w:t>Austraclear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Депозитарно</w:t>
            </w:r>
            <w:proofErr w:type="spellEnd"/>
            <w:r>
              <w:t>-клиринговая корпорация Китая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China Securities Depository and Clearing Corporation Ltd. </w:t>
            </w:r>
            <w:r>
              <w:t>(CSDC)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Депозитарно</w:t>
            </w:r>
            <w:proofErr w:type="spellEnd"/>
            <w:r>
              <w:t>-клиринговая корпорация Тайваня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Taiwan Depository and Clearing Corporation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Депозитарная трастовая и клиринговая корпорация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The Depository Trust and Clearing Corporation (DTCC)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Депозитарный центр ценных бумаг Японии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Japan Securities Depository Center, Inc. </w:t>
            </w:r>
            <w:r>
              <w:t>(JASDEC)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Депозитарий ценных бумаг Исландии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Icelandic Securities Depository Ltd. (ISD)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19.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Джей</w:t>
            </w:r>
            <w:proofErr w:type="spellEnd"/>
            <w:r>
              <w:t>-Пи-Морган Чейз Банк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JPMorgan Chase Bank, N.A.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Джулиус</w:t>
            </w:r>
            <w:proofErr w:type="spellEnd"/>
            <w:r>
              <w:t xml:space="preserve"> </w:t>
            </w:r>
            <w:proofErr w:type="spellStart"/>
            <w:r>
              <w:t>Баер</w:t>
            </w:r>
            <w:proofErr w:type="spellEnd"/>
            <w:r>
              <w:t xml:space="preserve"> Банк энд Ко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Bank Julius Baer and Co. Ltd.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Дойче</w:t>
            </w:r>
            <w:proofErr w:type="spellEnd"/>
            <w:r>
              <w:t xml:space="preserve"> Банк </w:t>
            </w:r>
            <w:proofErr w:type="spellStart"/>
            <w:r>
              <w:t>ЭйДжи</w:t>
            </w:r>
            <w:proofErr w:type="spellEnd"/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Bank</w:t>
            </w:r>
            <w:proofErr w:type="spellEnd"/>
            <w:r>
              <w:t xml:space="preserve"> AG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Банк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Euroclear Bank S.A./N.V.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Бельгия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Euroclear</w:t>
            </w:r>
            <w:proofErr w:type="spellEnd"/>
            <w:r>
              <w:t xml:space="preserve"> </w:t>
            </w:r>
            <w:proofErr w:type="spellStart"/>
            <w:r>
              <w:t>Belgium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Великобритания и Ирландия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Euroclear</w:t>
            </w:r>
            <w:proofErr w:type="spellEnd"/>
            <w:r>
              <w:t xml:space="preserve"> UK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Ireland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Нидерланды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Euroclear</w:t>
            </w:r>
            <w:proofErr w:type="spellEnd"/>
            <w:r>
              <w:t xml:space="preserve"> </w:t>
            </w:r>
            <w:proofErr w:type="spellStart"/>
            <w:r>
              <w:t>Nederland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Финляндия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Euroclear</w:t>
            </w:r>
            <w:proofErr w:type="spellEnd"/>
            <w:r>
              <w:t xml:space="preserve"> </w:t>
            </w:r>
            <w:proofErr w:type="spellStart"/>
            <w:r>
              <w:t>Finland</w:t>
            </w:r>
            <w:proofErr w:type="spellEnd"/>
            <w:r>
              <w:t xml:space="preserve"> OY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Франция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Euroclear</w:t>
            </w:r>
            <w:proofErr w:type="spellEnd"/>
            <w:r>
              <w:t xml:space="preserve"> </w:t>
            </w:r>
            <w:proofErr w:type="spellStart"/>
            <w:r>
              <w:t>France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Евроклир</w:t>
            </w:r>
            <w:proofErr w:type="spellEnd"/>
            <w:r>
              <w:t xml:space="preserve"> Швеция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Euroclear</w:t>
            </w:r>
            <w:proofErr w:type="spellEnd"/>
            <w:r>
              <w:t xml:space="preserve"> </w:t>
            </w:r>
            <w:proofErr w:type="spellStart"/>
            <w:r>
              <w:t>Sweden</w:t>
            </w:r>
            <w:proofErr w:type="spellEnd"/>
            <w:r>
              <w:t xml:space="preserve"> AB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29.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Закрытое акционерное общество "Центральный депозитарий" - Кыргызская Республика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Depository</w:t>
            </w:r>
            <w:proofErr w:type="spellEnd"/>
            <w:r>
              <w:t xml:space="preserve"> CJSC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Иберклир</w:t>
            </w:r>
            <w:proofErr w:type="spellEnd"/>
            <w:r>
              <w:t xml:space="preserve"> - центральный депозитарий (Королевство Испания)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IBERCLEAR Spanish Central Securities Depository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Интерболса</w:t>
            </w:r>
            <w:proofErr w:type="spellEnd"/>
            <w:r>
              <w:t xml:space="preserve"> - центральный депозитарий (Португальская Республика)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 xml:space="preserve">Interbolsa - </w:t>
            </w:r>
            <w:proofErr w:type="spellStart"/>
            <w:r w:rsidRPr="00FF2F38">
              <w:rPr>
                <w:lang w:val="en-US"/>
              </w:rPr>
              <w:t>Sociedade</w:t>
            </w:r>
            <w:proofErr w:type="spellEnd"/>
            <w:r w:rsidRPr="00FF2F38">
              <w:rPr>
                <w:lang w:val="en-US"/>
              </w:rPr>
              <w:t xml:space="preserve"> </w:t>
            </w:r>
            <w:proofErr w:type="spellStart"/>
            <w:r w:rsidRPr="00FF2F38">
              <w:rPr>
                <w:lang w:val="en-US"/>
              </w:rPr>
              <w:t>Gestora</w:t>
            </w:r>
            <w:proofErr w:type="spellEnd"/>
            <w:r w:rsidRPr="00FF2F38">
              <w:rPr>
                <w:lang w:val="en-US"/>
              </w:rPr>
              <w:t xml:space="preserve"> de </w:t>
            </w:r>
            <w:proofErr w:type="spellStart"/>
            <w:r w:rsidRPr="00FF2F38">
              <w:rPr>
                <w:lang w:val="en-US"/>
              </w:rPr>
              <w:t>Sistemas</w:t>
            </w:r>
            <w:proofErr w:type="spellEnd"/>
            <w:r w:rsidRPr="00FF2F38">
              <w:rPr>
                <w:lang w:val="en-US"/>
              </w:rPr>
              <w:t xml:space="preserve"> de </w:t>
            </w:r>
            <w:proofErr w:type="spellStart"/>
            <w:r w:rsidRPr="00FF2F38">
              <w:rPr>
                <w:lang w:val="en-US"/>
              </w:rPr>
              <w:t>Liquidacao</w:t>
            </w:r>
            <w:proofErr w:type="spellEnd"/>
            <w:r w:rsidRPr="00FF2F38">
              <w:rPr>
                <w:lang w:val="en-US"/>
              </w:rPr>
              <w:t xml:space="preserve"> e de </w:t>
            </w:r>
            <w:proofErr w:type="spellStart"/>
            <w:r w:rsidRPr="00FF2F38">
              <w:rPr>
                <w:lang w:val="en-US"/>
              </w:rPr>
              <w:t>Sistemas</w:t>
            </w:r>
            <w:proofErr w:type="spellEnd"/>
            <w:r w:rsidRPr="00FF2F38">
              <w:rPr>
                <w:lang w:val="en-US"/>
              </w:rPr>
              <w:t xml:space="preserve"> </w:t>
            </w:r>
            <w:proofErr w:type="spellStart"/>
            <w:r w:rsidRPr="00FF2F38">
              <w:rPr>
                <w:lang w:val="en-US"/>
              </w:rPr>
              <w:t>Centralizados</w:t>
            </w:r>
            <w:proofErr w:type="spellEnd"/>
            <w:r w:rsidRPr="00FF2F38">
              <w:rPr>
                <w:lang w:val="en-US"/>
              </w:rPr>
              <w:t xml:space="preserve"> de </w:t>
            </w:r>
            <w:proofErr w:type="spellStart"/>
            <w:r w:rsidRPr="00FF2F38">
              <w:rPr>
                <w:lang w:val="en-US"/>
              </w:rPr>
              <w:t>Valores</w:t>
            </w:r>
            <w:proofErr w:type="spellEnd"/>
            <w:r w:rsidRPr="00FF2F38">
              <w:rPr>
                <w:lang w:val="en-US"/>
              </w:rPr>
              <w:t xml:space="preserve"> </w:t>
            </w:r>
            <w:proofErr w:type="spellStart"/>
            <w:r w:rsidRPr="00FF2F38">
              <w:rPr>
                <w:lang w:val="en-US"/>
              </w:rPr>
              <w:t>Mobiliarios</w:t>
            </w:r>
            <w:proofErr w:type="spellEnd"/>
            <w:r w:rsidRPr="00FF2F38">
              <w:rPr>
                <w:lang w:val="en-US"/>
              </w:rPr>
              <w:t>, S.A.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Канадский центральный депозитарий ценных бумаг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The Canadian Depository for Securities Ltd. </w:t>
            </w:r>
            <w:r>
              <w:t>(CDS)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Китайский депозитарий государственных ценных бумаг и клиринговая корпорация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China Central Depository and Clearing Co., Ltd. </w:t>
            </w:r>
            <w:r>
              <w:t>(CCDC)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Клиринговый дом Шанхая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Shanghai </w:t>
            </w:r>
            <w:proofErr w:type="spellStart"/>
            <w:r>
              <w:t>Clearing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 (SHCH)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Клирстрим</w:t>
            </w:r>
            <w:proofErr w:type="spellEnd"/>
            <w:r>
              <w:t xml:space="preserve"> </w:t>
            </w:r>
            <w:proofErr w:type="spellStart"/>
            <w:r>
              <w:t>Бэнкинг</w:t>
            </w:r>
            <w:proofErr w:type="spellEnd"/>
            <w:r>
              <w:t xml:space="preserve"> Франкфурт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Clearstream</w:t>
            </w:r>
            <w:proofErr w:type="spellEnd"/>
            <w:r>
              <w:t xml:space="preserve"> </w:t>
            </w:r>
            <w:proofErr w:type="spellStart"/>
            <w:r>
              <w:t>Banking</w:t>
            </w:r>
            <w:proofErr w:type="spellEnd"/>
            <w:r>
              <w:t xml:space="preserve"> AG (CBF)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Клирстрим</w:t>
            </w:r>
            <w:proofErr w:type="spellEnd"/>
            <w:r>
              <w:t xml:space="preserve"> </w:t>
            </w:r>
            <w:proofErr w:type="spellStart"/>
            <w:r>
              <w:t>Бэнкинг</w:t>
            </w:r>
            <w:proofErr w:type="spellEnd"/>
            <w:r>
              <w:t xml:space="preserve"> Люксембург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Clearstream Banking S.A. (CBL)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Компания по клирингу ценных бумаг Гонконга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Hong Kong Securities Clearing Company Limited (HKSCC)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Корейский депозитарий ценных бумаг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Korea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Depository</w:t>
            </w:r>
            <w:proofErr w:type="spellEnd"/>
            <w:r>
              <w:t xml:space="preserve"> (KSD)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39.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Корпорация </w:t>
            </w:r>
            <w:proofErr w:type="spellStart"/>
            <w:r>
              <w:t>Бэнк</w:t>
            </w:r>
            <w:proofErr w:type="spellEnd"/>
            <w:r>
              <w:t xml:space="preserve"> оф Нью-Йорк </w:t>
            </w:r>
            <w:proofErr w:type="spellStart"/>
            <w:r>
              <w:t>Меллон</w:t>
            </w:r>
            <w:proofErr w:type="spellEnd"/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Bank of New York Mellon Corporation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Корпорация </w:t>
            </w:r>
            <w:proofErr w:type="spellStart"/>
            <w:r>
              <w:t>Нозерн</w:t>
            </w:r>
            <w:proofErr w:type="spellEnd"/>
            <w:r>
              <w:t xml:space="preserve"> Траст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Northern</w:t>
            </w:r>
            <w:proofErr w:type="spellEnd"/>
            <w:r>
              <w:t xml:space="preserve"> </w:t>
            </w:r>
            <w:proofErr w:type="spellStart"/>
            <w:r>
              <w:t>Trust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Кредит </w:t>
            </w:r>
            <w:proofErr w:type="spellStart"/>
            <w:r>
              <w:t>Свисс</w:t>
            </w:r>
            <w:proofErr w:type="spellEnd"/>
            <w:r>
              <w:t xml:space="preserve"> Групп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Credit</w:t>
            </w:r>
            <w:proofErr w:type="spellEnd"/>
            <w:r>
              <w:t xml:space="preserve"> </w:t>
            </w:r>
            <w:proofErr w:type="spellStart"/>
            <w:r>
              <w:t>Suisse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AG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Монте </w:t>
            </w:r>
            <w:proofErr w:type="spellStart"/>
            <w:r>
              <w:t>Титоли</w:t>
            </w:r>
            <w:proofErr w:type="spellEnd"/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 xml:space="preserve">Monte </w:t>
            </w:r>
            <w:proofErr w:type="spellStart"/>
            <w:r w:rsidRPr="00FF2F38">
              <w:rPr>
                <w:lang w:val="en-US"/>
              </w:rPr>
              <w:t>Titoli</w:t>
            </w:r>
            <w:proofErr w:type="spellEnd"/>
            <w:r w:rsidRPr="00FF2F38">
              <w:rPr>
                <w:lang w:val="en-US"/>
              </w:rPr>
              <w:t xml:space="preserve"> S.p.A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Национальный депозитарий Украины (НДУ)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National Depository of Ukraine (NDU)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Национальный Депозитарий ценных бумаг (Республика Индия)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National Securities Depository Ltd. (NSDL)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Национальный депозитарий ценных бумаг Республики Молдова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Depository</w:t>
            </w:r>
            <w:proofErr w:type="spellEnd"/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Норвежский центральный депозитарий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 xml:space="preserve">The Norwegian Central Securities Depository - </w:t>
            </w:r>
            <w:proofErr w:type="spellStart"/>
            <w:r w:rsidRPr="00FF2F38">
              <w:rPr>
                <w:lang w:val="en-US"/>
              </w:rPr>
              <w:t>Verdipapirsentralen</w:t>
            </w:r>
            <w:proofErr w:type="spellEnd"/>
            <w:r w:rsidRPr="00FF2F38">
              <w:rPr>
                <w:lang w:val="en-US"/>
              </w:rPr>
              <w:t xml:space="preserve"> ASA (VPS)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Пражский Центральный депозитарий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Securities Depository Prague (CSD Prague)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48.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Республиканское унитарное предприятие </w:t>
            </w:r>
            <w:r>
              <w:lastRenderedPageBreak/>
              <w:t>"Республиканский центральный депозитарий ценных бумаг" (РУП "РЦДЦБ") (Республика Беларусь)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lastRenderedPageBreak/>
              <w:t xml:space="preserve">Central securities depository in the Republic of </w:t>
            </w:r>
            <w:r w:rsidRPr="00FF2F38">
              <w:rPr>
                <w:lang w:val="en-US"/>
              </w:rPr>
              <w:lastRenderedPageBreak/>
              <w:t>Belarus (RUE "RCSD")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Ситибанк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>Citibank, N.A.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Стэйт</w:t>
            </w:r>
            <w:proofErr w:type="spellEnd"/>
            <w:r>
              <w:t xml:space="preserve"> Стрит Банк энд Траст </w:t>
            </w:r>
            <w:proofErr w:type="spellStart"/>
            <w:r>
              <w:t>Кампани</w:t>
            </w:r>
            <w:proofErr w:type="spellEnd"/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State Street Bank and Trust Company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Сикс</w:t>
            </w:r>
            <w:proofErr w:type="spellEnd"/>
            <w:r>
              <w:t xml:space="preserve"> </w:t>
            </w:r>
            <w:proofErr w:type="spellStart"/>
            <w:r>
              <w:t>Сис</w:t>
            </w:r>
            <w:proofErr w:type="spellEnd"/>
            <w:r>
              <w:t xml:space="preserve"> - Центральный Депозитарий Швейцарии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SIX SIS </w:t>
            </w:r>
            <w:proofErr w:type="spellStart"/>
            <w:r>
              <w:t>Ltd</w:t>
            </w:r>
            <w:proofErr w:type="spellEnd"/>
            <w:r>
              <w:t>.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Сосьете Женераль Групп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Societe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Центральная депозитарная служба (Республика Индия)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Central Depository Services (India) Ltd. </w:t>
            </w:r>
            <w:r>
              <w:t>(CDSL)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Египта (MCDR)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Misr for Central Clearing, Depository and Registry (MCDR)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Центральный депозитарий лондонской биржевой группы - </w:t>
            </w:r>
            <w:proofErr w:type="spellStart"/>
            <w:r>
              <w:t>Глобсетл</w:t>
            </w:r>
            <w:proofErr w:type="spellEnd"/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globeSettle S. A. - London Stock Exchange Group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Центральный депозитарий группы БМ энд Эф </w:t>
            </w:r>
            <w:proofErr w:type="spellStart"/>
            <w:r>
              <w:t>Бовеспа</w:t>
            </w:r>
            <w:proofErr w:type="spellEnd"/>
            <w:r>
              <w:t xml:space="preserve"> (Бразилия)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BM and FBOVESPA S.A.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Бразилии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proofErr w:type="spellStart"/>
            <w:r>
              <w:t>Cetip</w:t>
            </w:r>
            <w:proofErr w:type="spellEnd"/>
            <w:r>
              <w:t xml:space="preserve"> S.A.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Польши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Securities Depository of Poland - (KDPW)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59.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Центральная клиринговая корпорация Республики Словения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KDD Central Securities Clearing Corporation (KDD)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Центральная клиринговая организация и депозитарий Венгерской Республики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Central Clearing House and Depository (Budapest) Ltd. </w:t>
            </w:r>
            <w:r>
              <w:t xml:space="preserve">(KELER </w:t>
            </w:r>
            <w:proofErr w:type="spellStart"/>
            <w:r>
              <w:t>Ltd</w:t>
            </w:r>
            <w:proofErr w:type="spellEnd"/>
            <w:r>
              <w:t>.)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 xml:space="preserve">Центральная </w:t>
            </w:r>
            <w:proofErr w:type="spellStart"/>
            <w:r>
              <w:t>депозитарно</w:t>
            </w:r>
            <w:proofErr w:type="spellEnd"/>
            <w:r>
              <w:t>-клиринговая компания Республики Хорватия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Depository and Clearing Company Inc. of Croatia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Центральное депозитарное агентство Черногории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Depository Agency of Montenegro (CDA)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Турции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Securities Depository of Turkey (MKK)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Республики Сингапур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 w:rsidRPr="00FF2F38">
              <w:rPr>
                <w:lang w:val="en-US"/>
              </w:rPr>
              <w:t xml:space="preserve">The Central Depository (Pte) Ltd. </w:t>
            </w:r>
            <w:r>
              <w:t>(CDP)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Румынии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Depozitarul Central S.A. (Romanian Central Depository)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Греции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Hellenic Central Securities Depository S.A. (ATHEXCSD)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Болгарии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Central </w:t>
            </w:r>
            <w:proofErr w:type="spellStart"/>
            <w:r>
              <w:t>Depository</w:t>
            </w:r>
            <w:proofErr w:type="spellEnd"/>
            <w:r>
              <w:t xml:space="preserve"> AD (CDAD)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ценных бумаг Грузии (ЦДЦБГ)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Georgian Securities Central Depository (GSCD)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69.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"Центральный депозитарий Армении" Открытое Акционерное Общество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Depository of Armenia (CDA)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ценных бумаг и клиринговая организация Республики Сербия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 xml:space="preserve">Central Securities Depository and Clearing House of Serbia (CR </w:t>
            </w:r>
            <w:proofErr w:type="spellStart"/>
            <w:r w:rsidRPr="00FF2F38">
              <w:rPr>
                <w:lang w:val="en-US"/>
              </w:rPr>
              <w:t>HoV</w:t>
            </w:r>
            <w:proofErr w:type="spellEnd"/>
            <w:r w:rsidRPr="00FF2F38">
              <w:rPr>
                <w:lang w:val="en-US"/>
              </w:rPr>
              <w:t>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71.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ценных бумаг Словацкой Республики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Securities Depository of the Slovak Republic (CDCP SR)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72.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ЮАР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proofErr w:type="spellStart"/>
            <w:r w:rsidRPr="00FF2F38">
              <w:rPr>
                <w:lang w:val="en-US"/>
              </w:rPr>
              <w:t>Strate</w:t>
            </w:r>
            <w:proofErr w:type="spellEnd"/>
            <w:r w:rsidRPr="00FF2F38">
              <w:rPr>
                <w:lang w:val="en-US"/>
              </w:rPr>
              <w:t xml:space="preserve"> Ltd. South Africa's Central Securities Depository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73.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Вьетнама</w:t>
            </w:r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Vietnam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Depository</w:t>
            </w:r>
            <w:proofErr w:type="spellEnd"/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74.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и клиринговый центр Гонконга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Money Markets Unit (CMU)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75.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депозитарий и клиринговой центр Монголии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Mongolian Securities Clearing House and Central Depository</w:t>
            </w:r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76.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r>
              <w:t>Центральный регистратор ценных бумаг Боснии и Герцеговины</w:t>
            </w:r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Central Registry of Securities, JSC (Banja Luka, Republic of Srpska)</w:t>
            </w:r>
          </w:p>
        </w:tc>
      </w:tr>
      <w:tr w:rsidR="00FF2F38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77.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ЭйчЭсБиСи</w:t>
            </w:r>
            <w:proofErr w:type="spellEnd"/>
            <w:r>
              <w:t xml:space="preserve"> </w:t>
            </w:r>
            <w:proofErr w:type="spellStart"/>
            <w:r>
              <w:t>Секьюритиз</w:t>
            </w:r>
            <w:proofErr w:type="spellEnd"/>
            <w:r>
              <w:t xml:space="preserve"> </w:t>
            </w:r>
            <w:proofErr w:type="spellStart"/>
            <w:r>
              <w:t>Сервисиз</w:t>
            </w:r>
            <w:proofErr w:type="spellEnd"/>
          </w:p>
        </w:tc>
        <w:tc>
          <w:tcPr>
            <w:tcW w:w="4402" w:type="dxa"/>
          </w:tcPr>
          <w:p w:rsidR="00FF2F38" w:rsidRDefault="00FF2F38">
            <w:pPr>
              <w:pStyle w:val="ConsPlusNormal"/>
            </w:pPr>
            <w:r>
              <w:t xml:space="preserve">HSBC </w:t>
            </w:r>
            <w:proofErr w:type="spellStart"/>
            <w:r>
              <w:t>Securities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</w:tc>
      </w:tr>
      <w:tr w:rsidR="00FF2F38" w:rsidRPr="00805E76">
        <w:tc>
          <w:tcPr>
            <w:tcW w:w="567" w:type="dxa"/>
          </w:tcPr>
          <w:p w:rsidR="00FF2F38" w:rsidRDefault="00FF2F38">
            <w:pPr>
              <w:pStyle w:val="ConsPlusNormal"/>
            </w:pPr>
            <w:r>
              <w:t>78.</w:t>
            </w:r>
          </w:p>
        </w:tc>
        <w:tc>
          <w:tcPr>
            <w:tcW w:w="4649" w:type="dxa"/>
          </w:tcPr>
          <w:p w:rsidR="00FF2F38" w:rsidRDefault="00FF2F38">
            <w:pPr>
              <w:pStyle w:val="ConsPlusNormal"/>
            </w:pPr>
            <w:proofErr w:type="spellStart"/>
            <w:r>
              <w:t>АрБиСи</w:t>
            </w:r>
            <w:proofErr w:type="spellEnd"/>
            <w:r>
              <w:t xml:space="preserve"> Инвестор энд </w:t>
            </w:r>
            <w:proofErr w:type="spellStart"/>
            <w:r>
              <w:t>Трэжери</w:t>
            </w:r>
            <w:proofErr w:type="spellEnd"/>
            <w:r>
              <w:t xml:space="preserve"> </w:t>
            </w:r>
            <w:proofErr w:type="spellStart"/>
            <w:r>
              <w:t>Сервисис</w:t>
            </w:r>
            <w:proofErr w:type="spellEnd"/>
          </w:p>
        </w:tc>
        <w:tc>
          <w:tcPr>
            <w:tcW w:w="4402" w:type="dxa"/>
          </w:tcPr>
          <w:p w:rsidR="00FF2F38" w:rsidRPr="00FF2F38" w:rsidRDefault="00FF2F38">
            <w:pPr>
              <w:pStyle w:val="ConsPlusNormal"/>
              <w:rPr>
                <w:lang w:val="en-US"/>
              </w:rPr>
            </w:pPr>
            <w:r w:rsidRPr="00FF2F38">
              <w:rPr>
                <w:lang w:val="en-US"/>
              </w:rPr>
              <w:t>RBC Investor and Treasury Services - RBC I&amp;TS</w:t>
            </w:r>
          </w:p>
        </w:tc>
      </w:tr>
    </w:tbl>
    <w:p w:rsidR="00FF2F38" w:rsidRPr="00FF2F38" w:rsidRDefault="00FF2F38">
      <w:pPr>
        <w:pStyle w:val="ConsPlusNormal"/>
        <w:jc w:val="both"/>
        <w:rPr>
          <w:lang w:val="en-US"/>
        </w:rPr>
      </w:pPr>
    </w:p>
    <w:p w:rsidR="00FF2F38" w:rsidRPr="00FF2F38" w:rsidRDefault="00FF2F38">
      <w:pPr>
        <w:pStyle w:val="ConsPlusNormal"/>
        <w:jc w:val="both"/>
        <w:rPr>
          <w:lang w:val="en-US"/>
        </w:rPr>
      </w:pPr>
    </w:p>
    <w:p w:rsidR="00FF2F38" w:rsidRPr="00FF2F38" w:rsidRDefault="00FF2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DC379E" w:rsidRPr="00FF2F38" w:rsidRDefault="00805E76">
      <w:pPr>
        <w:rPr>
          <w:lang w:val="en-US"/>
        </w:rPr>
      </w:pPr>
    </w:p>
    <w:sectPr w:rsidR="00DC379E" w:rsidRPr="00FF2F38" w:rsidSect="00002E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38"/>
    <w:rsid w:val="003F1E73"/>
    <w:rsid w:val="006731D9"/>
    <w:rsid w:val="00805E76"/>
    <w:rsid w:val="008F6AF7"/>
    <w:rsid w:val="00A049D0"/>
    <w:rsid w:val="00B4741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616AA-8C5D-4D4B-B809-810008C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F38"/>
    <w:pPr>
      <w:widowControl w:val="0"/>
      <w:autoSpaceDE w:val="0"/>
      <w:autoSpaceDN w:val="0"/>
      <w:spacing w:after="0" w:line="240" w:lineRule="auto"/>
    </w:pPr>
    <w:rPr>
      <w:rFonts w:eastAsia="Times New Roman" w:cs="Tahoma"/>
      <w:szCs w:val="20"/>
      <w:lang w:eastAsia="ru-RU"/>
    </w:rPr>
  </w:style>
  <w:style w:type="paragraph" w:customStyle="1" w:styleId="ConsPlusTitle">
    <w:name w:val="ConsPlusTitle"/>
    <w:rsid w:val="00FF2F38"/>
    <w:pPr>
      <w:widowControl w:val="0"/>
      <w:autoSpaceDE w:val="0"/>
      <w:autoSpaceDN w:val="0"/>
      <w:spacing w:after="0" w:line="240" w:lineRule="auto"/>
    </w:pPr>
    <w:rPr>
      <w:rFonts w:eastAsia="Times New Roman" w:cs="Tahoma"/>
      <w:b/>
      <w:szCs w:val="20"/>
      <w:lang w:eastAsia="ru-RU"/>
    </w:rPr>
  </w:style>
  <w:style w:type="paragraph" w:customStyle="1" w:styleId="ConsPlusTitlePage">
    <w:name w:val="ConsPlusTitlePage"/>
    <w:rsid w:val="00FF2F38"/>
    <w:pPr>
      <w:widowControl w:val="0"/>
      <w:autoSpaceDE w:val="0"/>
      <w:autoSpaceDN w:val="0"/>
      <w:spacing w:after="0" w:line="240" w:lineRule="auto"/>
    </w:pPr>
    <w:rPr>
      <w:rFonts w:eastAsia="Times New Roman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Евгения Сергеевна</dc:creator>
  <cp:keywords/>
  <dc:description/>
  <cp:lastModifiedBy>Мороз Ксения Николаевна</cp:lastModifiedBy>
  <cp:revision>2</cp:revision>
  <dcterms:created xsi:type="dcterms:W3CDTF">2019-08-16T08:30:00Z</dcterms:created>
  <dcterms:modified xsi:type="dcterms:W3CDTF">2019-08-16T08:30:00Z</dcterms:modified>
</cp:coreProperties>
</file>