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6541" w14:textId="3A0D0AC4" w:rsidR="00102C08" w:rsidRPr="00FD4268" w:rsidRDefault="00FD4268" w:rsidP="00102C08">
      <w:pPr>
        <w:spacing w:after="0"/>
        <w:jc w:val="righ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APPROVED</w:t>
      </w:r>
    </w:p>
    <w:p w14:paraId="152F92D2" w14:textId="32707D47" w:rsidR="00102C08" w:rsidRPr="00FD4268" w:rsidRDefault="00FD4268" w:rsidP="00102C08">
      <w:pPr>
        <w:spacing w:after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By </w:t>
      </w:r>
      <w:r w:rsidR="0006288D">
        <w:rPr>
          <w:rFonts w:ascii="Tahoma" w:hAnsi="Tahoma" w:cs="Tahoma"/>
          <w:lang w:val="en-US"/>
        </w:rPr>
        <w:t xml:space="preserve">the </w:t>
      </w:r>
      <w:r>
        <w:rPr>
          <w:rFonts w:ascii="Tahoma" w:hAnsi="Tahoma" w:cs="Tahoma"/>
          <w:lang w:val="en-US"/>
        </w:rPr>
        <w:t>Moscow Exchange order</w:t>
      </w:r>
      <w:r w:rsidR="00102C08" w:rsidRPr="00FD4268">
        <w:rPr>
          <w:rFonts w:ascii="Tahoma" w:hAnsi="Tahoma"/>
          <w:lang w:val="en-US"/>
        </w:rPr>
        <w:t xml:space="preserve"> </w:t>
      </w:r>
    </w:p>
    <w:p w14:paraId="5D20335E" w14:textId="4F25E50F" w:rsidR="00102C08" w:rsidRPr="00FD4268" w:rsidRDefault="00FD4268" w:rsidP="00102C08">
      <w:pPr>
        <w:pStyle w:val="af2"/>
        <w:spacing w:before="0" w:after="0"/>
        <w:jc w:val="right"/>
        <w:outlineLvl w:val="0"/>
        <w:rPr>
          <w:rFonts w:ascii="Tahoma" w:hAnsi="Tahoma"/>
          <w:b/>
          <w:bCs/>
          <w:sz w:val="22"/>
          <w:szCs w:val="22"/>
          <w:lang w:val="en-US"/>
        </w:rPr>
      </w:pPr>
      <w:proofErr w:type="gramStart"/>
      <w:r>
        <w:rPr>
          <w:rFonts w:ascii="Tahoma" w:hAnsi="Tahoma"/>
          <w:sz w:val="22"/>
          <w:szCs w:val="22"/>
          <w:lang w:val="en-US"/>
        </w:rPr>
        <w:t>dated</w:t>
      </w:r>
      <w:proofErr w:type="gramEnd"/>
      <w:r w:rsidR="00102C08" w:rsidRPr="00FD4268">
        <w:rPr>
          <w:rFonts w:ascii="Tahoma" w:hAnsi="Tahoma"/>
          <w:sz w:val="22"/>
          <w:szCs w:val="22"/>
          <w:lang w:val="en-US"/>
        </w:rPr>
        <w:t xml:space="preserve"> «</w:t>
      </w:r>
      <w:r w:rsidR="001F3ED8" w:rsidRPr="00FD4268">
        <w:rPr>
          <w:rFonts w:ascii="Tahoma" w:hAnsi="Tahoma"/>
          <w:sz w:val="22"/>
          <w:szCs w:val="22"/>
          <w:lang w:val="en-US"/>
        </w:rPr>
        <w:t>10</w:t>
      </w:r>
      <w:r w:rsidR="00102C08" w:rsidRPr="00FD4268">
        <w:rPr>
          <w:rFonts w:ascii="Tahoma" w:hAnsi="Tahoma"/>
          <w:sz w:val="22"/>
          <w:szCs w:val="22"/>
          <w:lang w:val="en-US"/>
        </w:rPr>
        <w:t xml:space="preserve">» </w:t>
      </w:r>
      <w:r>
        <w:rPr>
          <w:rFonts w:ascii="Tahoma" w:hAnsi="Tahoma"/>
          <w:sz w:val="22"/>
          <w:szCs w:val="22"/>
          <w:lang w:val="en-US"/>
        </w:rPr>
        <w:t>May</w:t>
      </w:r>
      <w:r w:rsidR="00102C08" w:rsidRPr="00FD4268">
        <w:rPr>
          <w:rFonts w:ascii="Tahoma" w:hAnsi="Tahoma"/>
          <w:sz w:val="22"/>
          <w:szCs w:val="22"/>
          <w:lang w:val="en-US"/>
        </w:rPr>
        <w:t xml:space="preserve"> 2016 </w:t>
      </w:r>
      <w:r w:rsidR="0006288D">
        <w:rPr>
          <w:rFonts w:ascii="Tahoma" w:hAnsi="Tahoma"/>
          <w:sz w:val="22"/>
          <w:szCs w:val="22"/>
          <w:lang w:val="en-US"/>
        </w:rPr>
        <w:t>#</w:t>
      </w:r>
      <w:r w:rsidR="001F3ED8" w:rsidRPr="00FD4268">
        <w:rPr>
          <w:rFonts w:ascii="Tahoma" w:hAnsi="Tahoma"/>
          <w:sz w:val="22"/>
          <w:szCs w:val="22"/>
          <w:lang w:val="en-US"/>
        </w:rPr>
        <w:t>79-</w:t>
      </w:r>
      <w:r>
        <w:rPr>
          <w:rFonts w:ascii="Tahoma" w:hAnsi="Tahoma"/>
          <w:sz w:val="22"/>
          <w:szCs w:val="22"/>
          <w:lang w:val="en-US"/>
        </w:rPr>
        <w:t>OD</w:t>
      </w:r>
    </w:p>
    <w:p w14:paraId="3F35AE93" w14:textId="097717B2" w:rsidR="00FD4268" w:rsidRDefault="00FD4268" w:rsidP="00102C08">
      <w:pPr>
        <w:spacing w:after="0"/>
        <w:jc w:val="right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and</w:t>
      </w:r>
      <w:proofErr w:type="gramEnd"/>
    </w:p>
    <w:p w14:paraId="5D5E643A" w14:textId="5D517F88" w:rsidR="0006288D" w:rsidRPr="00FD4268" w:rsidRDefault="0006288D" w:rsidP="0006288D">
      <w:pPr>
        <w:spacing w:after="0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By </w:t>
      </w:r>
      <w:r>
        <w:rPr>
          <w:rFonts w:ascii="Tahoma" w:hAnsi="Tahoma" w:cs="Tahoma"/>
          <w:lang w:val="en-US"/>
        </w:rPr>
        <w:t xml:space="preserve">MB Technologies LLC </w:t>
      </w:r>
      <w:r>
        <w:rPr>
          <w:rFonts w:ascii="Tahoma" w:hAnsi="Tahoma" w:cs="Tahoma"/>
          <w:lang w:val="en-US"/>
        </w:rPr>
        <w:t>order</w:t>
      </w:r>
      <w:r w:rsidRPr="00FD4268">
        <w:rPr>
          <w:rFonts w:ascii="Tahoma" w:hAnsi="Tahoma"/>
          <w:lang w:val="en-US"/>
        </w:rPr>
        <w:t xml:space="preserve"> </w:t>
      </w:r>
    </w:p>
    <w:p w14:paraId="016B6959" w14:textId="519A0FAE" w:rsidR="001F3ED8" w:rsidRPr="0006288D" w:rsidRDefault="0006288D" w:rsidP="0006288D">
      <w:pPr>
        <w:pStyle w:val="af2"/>
        <w:spacing w:before="0" w:after="0"/>
        <w:jc w:val="right"/>
        <w:outlineLvl w:val="0"/>
        <w:rPr>
          <w:rFonts w:ascii="Tahoma" w:hAnsi="Tahoma"/>
          <w:b/>
          <w:bCs/>
          <w:sz w:val="22"/>
          <w:szCs w:val="22"/>
          <w:lang w:val="en-US"/>
        </w:rPr>
      </w:pPr>
      <w:proofErr w:type="gramStart"/>
      <w:r>
        <w:rPr>
          <w:rFonts w:ascii="Tahoma" w:hAnsi="Tahoma"/>
          <w:sz w:val="22"/>
          <w:szCs w:val="22"/>
          <w:lang w:val="en-US"/>
        </w:rPr>
        <w:t>dated</w:t>
      </w:r>
      <w:proofErr w:type="gramEnd"/>
      <w:r w:rsidRPr="00FD4268">
        <w:rPr>
          <w:rFonts w:ascii="Tahoma" w:hAnsi="Tahoma"/>
          <w:sz w:val="22"/>
          <w:szCs w:val="22"/>
          <w:lang w:val="en-US"/>
        </w:rPr>
        <w:t xml:space="preserve"> «10» </w:t>
      </w:r>
      <w:r>
        <w:rPr>
          <w:rFonts w:ascii="Tahoma" w:hAnsi="Tahoma"/>
          <w:sz w:val="22"/>
          <w:szCs w:val="22"/>
          <w:lang w:val="en-US"/>
        </w:rPr>
        <w:t>May</w:t>
      </w:r>
      <w:r w:rsidRPr="00FD4268">
        <w:rPr>
          <w:rFonts w:ascii="Tahoma" w:hAnsi="Tahoma"/>
          <w:sz w:val="22"/>
          <w:szCs w:val="22"/>
          <w:lang w:val="en-US"/>
        </w:rPr>
        <w:t xml:space="preserve"> 2016 </w:t>
      </w:r>
      <w:r>
        <w:rPr>
          <w:rFonts w:ascii="Tahoma" w:hAnsi="Tahoma"/>
          <w:sz w:val="22"/>
          <w:szCs w:val="22"/>
          <w:lang w:val="en-US"/>
        </w:rPr>
        <w:t>#MP</w:t>
      </w:r>
      <w:r w:rsidR="001F3ED8" w:rsidRPr="0006288D">
        <w:rPr>
          <w:rFonts w:ascii="Tahoma" w:hAnsi="Tahoma"/>
          <w:sz w:val="22"/>
          <w:szCs w:val="22"/>
          <w:lang w:val="en-US"/>
        </w:rPr>
        <w:t>/2016</w:t>
      </w:r>
    </w:p>
    <w:p w14:paraId="7DE1BEA7" w14:textId="5AF4EE6B" w:rsidR="00102C08" w:rsidRPr="0006288D" w:rsidRDefault="00102C08" w:rsidP="00102C08">
      <w:pPr>
        <w:jc w:val="right"/>
        <w:rPr>
          <w:rFonts w:ascii="Tahoma" w:hAnsi="Tahoma"/>
          <w:lang w:val="en-US"/>
        </w:rPr>
      </w:pPr>
    </w:p>
    <w:p w14:paraId="429BF41A" w14:textId="77777777" w:rsidR="00586C5A" w:rsidRPr="0006288D" w:rsidRDefault="00586C5A" w:rsidP="00370C21">
      <w:pPr>
        <w:jc w:val="both"/>
        <w:rPr>
          <w:rFonts w:ascii="Tahoma" w:hAnsi="Tahoma" w:cs="Tahoma"/>
          <w:b/>
          <w:lang w:val="en-US"/>
        </w:rPr>
      </w:pPr>
    </w:p>
    <w:p w14:paraId="622ED0EF" w14:textId="08416131" w:rsidR="00370C21" w:rsidRDefault="0006288D" w:rsidP="0006288D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</w:t>
      </w:r>
      <w:r w:rsidRPr="0006288D">
        <w:rPr>
          <w:rFonts w:ascii="Tahoma" w:hAnsi="Tahoma" w:cs="Tahoma"/>
          <w:b/>
          <w:lang w:val="en-US"/>
        </w:rPr>
        <w:t xml:space="preserve">oint marketing program </w:t>
      </w:r>
      <w:r>
        <w:rPr>
          <w:rFonts w:ascii="Tahoma" w:hAnsi="Tahoma" w:cs="Tahoma"/>
          <w:b/>
          <w:lang w:val="en-US"/>
        </w:rPr>
        <w:t xml:space="preserve">by </w:t>
      </w:r>
      <w:r w:rsidRPr="0006288D">
        <w:rPr>
          <w:rFonts w:ascii="Tahoma" w:hAnsi="Tahoma" w:cs="Tahoma"/>
          <w:b/>
          <w:lang w:val="en-US"/>
        </w:rPr>
        <w:t>Moscow Exchange and MB Technolog</w:t>
      </w:r>
      <w:r>
        <w:rPr>
          <w:rFonts w:ascii="Tahoma" w:hAnsi="Tahoma" w:cs="Tahoma"/>
          <w:b/>
          <w:lang w:val="en-US"/>
        </w:rPr>
        <w:t xml:space="preserve">ies </w:t>
      </w:r>
      <w:r w:rsidRPr="0006288D">
        <w:rPr>
          <w:rFonts w:ascii="Tahoma" w:hAnsi="Tahoma" w:cs="Tahoma"/>
          <w:b/>
          <w:lang w:val="en-US"/>
        </w:rPr>
        <w:t>LLC</w:t>
      </w:r>
      <w:r>
        <w:rPr>
          <w:rFonts w:ascii="Tahoma" w:hAnsi="Tahoma" w:cs="Tahoma"/>
          <w:b/>
          <w:lang w:val="en-US"/>
        </w:rPr>
        <w:t xml:space="preserve"> for</w:t>
      </w:r>
      <w:r w:rsidRPr="0006288D">
        <w:rPr>
          <w:rFonts w:ascii="Tahoma" w:hAnsi="Tahoma" w:cs="Tahoma"/>
          <w:b/>
          <w:lang w:val="en-US"/>
        </w:rPr>
        <w:t xml:space="preserve"> IT-services and software licenses (hereinafter - the Program) </w:t>
      </w:r>
      <w:r>
        <w:rPr>
          <w:rFonts w:ascii="Tahoma" w:hAnsi="Tahoma" w:cs="Tahoma"/>
          <w:b/>
          <w:lang w:val="en-US"/>
        </w:rPr>
        <w:t xml:space="preserve">based on </w:t>
      </w:r>
      <w:r w:rsidRPr="0006288D">
        <w:rPr>
          <w:rFonts w:ascii="Tahoma" w:hAnsi="Tahoma" w:cs="Tahoma"/>
          <w:b/>
          <w:lang w:val="en-US"/>
        </w:rPr>
        <w:t>PJSC Moscow Exchange and MB Technolog</w:t>
      </w:r>
      <w:r>
        <w:rPr>
          <w:rFonts w:ascii="Tahoma" w:hAnsi="Tahoma" w:cs="Tahoma"/>
          <w:b/>
          <w:lang w:val="en-US"/>
        </w:rPr>
        <w:t xml:space="preserve">ies </w:t>
      </w:r>
      <w:r w:rsidRPr="0006288D">
        <w:rPr>
          <w:rFonts w:ascii="Tahoma" w:hAnsi="Tahoma" w:cs="Tahoma"/>
          <w:b/>
          <w:lang w:val="en-US"/>
        </w:rPr>
        <w:t>LLC</w:t>
      </w:r>
      <w:r w:rsidRPr="0006288D">
        <w:rPr>
          <w:rFonts w:ascii="Tahoma" w:hAnsi="Tahoma" w:cs="Tahoma"/>
          <w:b/>
          <w:lang w:val="en-US"/>
        </w:rPr>
        <w:t xml:space="preserve"> </w:t>
      </w:r>
      <w:r w:rsidRPr="0006288D">
        <w:rPr>
          <w:rFonts w:ascii="Tahoma" w:hAnsi="Tahoma" w:cs="Tahoma"/>
          <w:b/>
          <w:lang w:val="en-US"/>
        </w:rPr>
        <w:t xml:space="preserve">infrastructure </w:t>
      </w:r>
      <w:r>
        <w:rPr>
          <w:rFonts w:ascii="Tahoma" w:hAnsi="Tahoma" w:cs="Tahoma"/>
          <w:b/>
          <w:lang w:val="en-US"/>
        </w:rPr>
        <w:t xml:space="preserve">migration to </w:t>
      </w:r>
      <w:r w:rsidRPr="0006288D">
        <w:rPr>
          <w:rFonts w:ascii="Tahoma" w:hAnsi="Tahoma" w:cs="Tahoma"/>
          <w:b/>
          <w:lang w:val="en-US"/>
        </w:rPr>
        <w:t xml:space="preserve">the new </w:t>
      </w:r>
      <w:r w:rsidRPr="0006288D">
        <w:rPr>
          <w:rFonts w:ascii="Tahoma" w:hAnsi="Tahoma" w:cs="Tahoma"/>
          <w:b/>
          <w:lang w:val="en-US"/>
        </w:rPr>
        <w:t>DataSpace1</w:t>
      </w:r>
      <w:r>
        <w:rPr>
          <w:rFonts w:ascii="Tahoma" w:hAnsi="Tahoma" w:cs="Tahoma"/>
          <w:b/>
          <w:lang w:val="en-US"/>
        </w:rPr>
        <w:t xml:space="preserve"> </w:t>
      </w:r>
      <w:r w:rsidRPr="0006288D">
        <w:rPr>
          <w:rFonts w:ascii="Tahoma" w:hAnsi="Tahoma" w:cs="Tahoma"/>
          <w:b/>
          <w:lang w:val="en-US"/>
        </w:rPr>
        <w:t>data center</w:t>
      </w:r>
    </w:p>
    <w:p w14:paraId="0910CAB5" w14:textId="77777777" w:rsidR="0006288D" w:rsidRPr="0006288D" w:rsidRDefault="0006288D" w:rsidP="00370C21">
      <w:pPr>
        <w:jc w:val="both"/>
        <w:rPr>
          <w:rFonts w:ascii="Tahoma" w:hAnsi="Tahoma" w:cs="Tahoma"/>
          <w:b/>
          <w:lang w:val="en-US"/>
        </w:rPr>
      </w:pPr>
    </w:p>
    <w:p w14:paraId="486C6D1A" w14:textId="788CFAC2" w:rsidR="00F97456" w:rsidRPr="00C52DE2" w:rsidRDefault="0006288D" w:rsidP="00F97456">
      <w:pPr>
        <w:pStyle w:val="a3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General conditions</w:t>
      </w:r>
    </w:p>
    <w:tbl>
      <w:tblPr>
        <w:tblW w:w="9781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"/>
        <w:gridCol w:w="1753"/>
        <w:gridCol w:w="7563"/>
      </w:tblGrid>
      <w:tr w:rsidR="00C52DE2" w:rsidRPr="0006288D" w14:paraId="5866A98B" w14:textId="77777777" w:rsidTr="00586C5A">
        <w:trPr>
          <w:trHeight w:val="384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26720" w14:textId="771BF306" w:rsidR="00235B94" w:rsidRPr="0006288D" w:rsidRDefault="0006288D" w:rsidP="0006288D">
            <w:pPr>
              <w:spacing w:after="0" w:line="240" w:lineRule="auto"/>
              <w:rPr>
                <w:rFonts w:ascii="Tahoma" w:eastAsia="Times New Roman" w:hAnsi="Tahoma" w:cs="Tahoma"/>
                <w:b/>
                <w:sz w:val="36"/>
                <w:szCs w:val="36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t>Program participants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AE096" w14:textId="63688B8A" w:rsidR="00235B94" w:rsidRPr="0006288D" w:rsidRDefault="0006288D" w:rsidP="0006288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Clients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who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have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contract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with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MB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Technologies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LLC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colocation</w:t>
            </w: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services</w:t>
            </w:r>
            <w:r w:rsidR="007E1E5C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MOEX Trading members and their clients, software and market data vendors</w:t>
            </w:r>
            <w:r w:rsidR="004C522D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who receive technical access to MOEX markets from colocation facility</w:t>
            </w:r>
            <w:r w:rsidR="0067664B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C52DE2" w:rsidRPr="004476F5" w14:paraId="0101F774" w14:textId="77777777" w:rsidTr="00586C5A">
        <w:trPr>
          <w:trHeight w:val="354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31C2C" w14:textId="72CCC270" w:rsidR="00235B94" w:rsidRPr="0006288D" w:rsidRDefault="0006288D" w:rsidP="0006288D">
            <w:pPr>
              <w:spacing w:after="0" w:line="240" w:lineRule="auto"/>
              <w:rPr>
                <w:rFonts w:ascii="Tahoma" w:eastAsia="Times New Roman" w:hAnsi="Tahoma" w:cs="Tahoma"/>
                <w:b/>
                <w:sz w:val="36"/>
                <w:szCs w:val="36"/>
                <w:vertAlign w:val="superscript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t>Program period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08F47" w14:textId="6C757929" w:rsidR="00800794" w:rsidRPr="0006288D" w:rsidRDefault="0006288D" w:rsidP="002D2AA6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Program validity period</w:t>
            </w:r>
            <w:r w:rsidR="00235B94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: </w:t>
            </w:r>
          </w:p>
          <w:p w14:paraId="41DCCCA7" w14:textId="2AA3C90C" w:rsidR="00235B94" w:rsidRPr="0006288D" w:rsidRDefault="007C1373" w:rsidP="002D2AA6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</w:pPr>
            <w:r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 xml:space="preserve">1 </w:t>
            </w:r>
            <w:r w:rsid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July</w:t>
            </w:r>
            <w:r w:rsidR="00594980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="00235B94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201</w:t>
            </w:r>
            <w:r w:rsidR="007D2C8E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6</w:t>
            </w:r>
            <w:r w:rsidR="00235B94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 xml:space="preserve"> – </w:t>
            </w:r>
            <w:r w:rsidR="002D2AA6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3</w:t>
            </w:r>
            <w:r w:rsidR="007D2C8E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2D2AA6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January</w:t>
            </w:r>
            <w:r w:rsidR="00235B94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 xml:space="preserve"> 201</w:t>
            </w:r>
            <w:r w:rsidR="0061649A" w:rsidRPr="0006288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7</w:t>
            </w:r>
          </w:p>
          <w:p w14:paraId="2C400CC2" w14:textId="77777777" w:rsidR="00800794" w:rsidRPr="0006288D" w:rsidRDefault="00800794" w:rsidP="002D2AA6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</w:pPr>
          </w:p>
          <w:p w14:paraId="05E6C436" w14:textId="0C10577B" w:rsidR="00FE233D" w:rsidRPr="004476F5" w:rsidRDefault="0006288D" w:rsidP="0006288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Note</w:t>
            </w:r>
            <w:r w:rsidR="00800794" w:rsidRPr="004476F5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: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from</w:t>
            </w:r>
            <w:r w:rsidR="00800794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01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January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800794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2017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to</w:t>
            </w:r>
            <w:r w:rsidR="00800794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31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January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800794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2017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Program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conditions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apply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to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colocation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services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only in accordance with Program description</w:t>
            </w:r>
            <w:r w:rsidR="00800794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</w:tc>
      </w:tr>
      <w:tr w:rsidR="00C52DE2" w:rsidRPr="004476F5" w14:paraId="68611A9E" w14:textId="77777777" w:rsidTr="00586C5A">
        <w:trPr>
          <w:trHeight w:val="1824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EDA95" w14:textId="7CCE3A66" w:rsidR="00235B94" w:rsidRPr="004476F5" w:rsidRDefault="004476F5" w:rsidP="004476F5">
            <w:pPr>
              <w:spacing w:after="0" w:line="240" w:lineRule="auto"/>
              <w:rPr>
                <w:rFonts w:ascii="Tahoma" w:eastAsia="Times New Roman" w:hAnsi="Tahoma" w:cs="Tahoma"/>
                <w:b/>
                <w:sz w:val="36"/>
                <w:szCs w:val="36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t xml:space="preserve">Program is aimed 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45DDE" w14:textId="5A9F60BF" w:rsidR="00C317C9" w:rsidRPr="004476F5" w:rsidRDefault="004476F5" w:rsidP="00ED31F0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To complete Moscow Exchange and MB Technologies infrastructure migration to the new facility on time</w:t>
            </w:r>
            <w:r w:rsidR="00C317C9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7AE20DD9" w14:textId="4282E063" w:rsidR="00C317C9" w:rsidRPr="004476F5" w:rsidRDefault="004476F5" w:rsidP="004476F5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To effectively allocate 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engineering resources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helping clients to migrate their systems into new colocation facility</w:t>
            </w:r>
            <w:r w:rsidR="0061088D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4D3A35F1" w14:textId="1768FBD8" w:rsidR="00ED31F0" w:rsidRPr="004476F5" w:rsidRDefault="004476F5" w:rsidP="004476F5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To r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educ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e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operational and technical risks for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clients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during 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infrastructure </w:t>
            </w:r>
            <w:r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migration to the new data center</w:t>
            </w:r>
            <w:r w:rsidR="00ED31F0" w:rsidRPr="004476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4D343EFC" w14:textId="77777777" w:rsidR="00ED31F0" w:rsidRPr="004476F5" w:rsidRDefault="00ED31F0" w:rsidP="00B461D6">
            <w:pPr>
              <w:widowControl w:val="0"/>
              <w:suppressAutoHyphens/>
              <w:spacing w:after="0" w:line="240" w:lineRule="auto"/>
              <w:ind w:left="360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</w:tc>
      </w:tr>
      <w:tr w:rsidR="00C52DE2" w:rsidRPr="00B87346" w14:paraId="2575E9CE" w14:textId="77777777" w:rsidTr="00586C5A">
        <w:trPr>
          <w:trHeight w:val="2981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70DC4" w14:textId="4878C719" w:rsidR="002844EE" w:rsidRPr="00772296" w:rsidRDefault="00772296" w:rsidP="00772296">
            <w:pPr>
              <w:spacing w:after="0" w:line="240" w:lineRule="auto"/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t>Eligible software and services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54186" w14:textId="0F55231F" w:rsidR="00D54D9E" w:rsidRPr="00B87346" w:rsidRDefault="00B87346" w:rsidP="0061649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Colocation services</w:t>
            </w:r>
            <w:r w:rsidR="0061649A" w:rsidRPr="00B8734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in accordance with Moscow Exchange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colocation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agreement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14:paraId="10709CD0" w14:textId="04C1D466" w:rsidR="002844EE" w:rsidRPr="00B87346" w:rsidRDefault="002844EE" w:rsidP="00FD622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Plaza</w:t>
            </w:r>
            <w:r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II</w:t>
            </w:r>
            <w:r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logins in accordance with MB Technologies IT services agreement</w:t>
            </w:r>
          </w:p>
          <w:p w14:paraId="4B3C996D" w14:textId="5E44F0ED" w:rsidR="002844EE" w:rsidRPr="00B87346" w:rsidRDefault="00B87346" w:rsidP="00FD622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FIX for Equities and FX in accordance with Moscow Exchange IT agreement.</w:t>
            </w:r>
          </w:p>
          <w:p w14:paraId="3EFDF454" w14:textId="7D4D8AC6" w:rsidR="00D54D9E" w:rsidRPr="00B87346" w:rsidRDefault="00B92841" w:rsidP="00FD622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FIX</w:t>
            </w:r>
            <w:r w:rsidR="00A03708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="00B87346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Derivatives</w:t>
            </w:r>
            <w:r w:rsidR="00A03708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accordance with MB Technologies IT services agreement</w:t>
            </w:r>
            <w:r w:rsidR="00D54D9E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751D8A9F" w14:textId="6A97D7F6" w:rsidR="00FD622F" w:rsidRPr="00B87346" w:rsidRDefault="00B87346" w:rsidP="00FD622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Access to </w:t>
            </w:r>
            <w:r w:rsidR="002844EE"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FAST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Gate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accordance with MB Technologies IT services agreement</w:t>
            </w:r>
            <w:r w:rsidR="00D54FC3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3E4984BC" w14:textId="1067DDCC" w:rsidR="002844EE" w:rsidRPr="00B87346" w:rsidRDefault="0061649A" w:rsidP="00B87346">
            <w:pPr>
              <w:pStyle w:val="a3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ASTS Bridge</w:t>
            </w:r>
            <w:r w:rsidR="00B87346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software</w:t>
            </w:r>
            <w:r w:rsidR="00B87346"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</w:t>
            </w:r>
            <w:proofErr w:type="gramEnd"/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accordance with 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Moscow Exchange software licensing</w:t>
            </w:r>
            <w:r w:rsid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agreement</w:t>
            </w:r>
            <w:r w:rsidRPr="00B87346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</w:tc>
      </w:tr>
      <w:tr w:rsidR="00C52DE2" w:rsidRPr="00D57E46" w14:paraId="381843FE" w14:textId="77777777" w:rsidTr="00586C5A">
        <w:trPr>
          <w:trHeight w:val="4041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73E95" w14:textId="59A67877" w:rsidR="00E46698" w:rsidRPr="00B87346" w:rsidRDefault="00B87346" w:rsidP="000842DB">
            <w:pPr>
              <w:spacing w:after="0" w:line="240" w:lineRule="auto"/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lastRenderedPageBreak/>
              <w:t>Program description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F20E4C" w14:textId="13D18958" w:rsidR="008848F5" w:rsidRPr="008848F5" w:rsidRDefault="008848F5" w:rsidP="008848F5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Program p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articipants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are eligible to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order colocation services with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discount as well as IT services and software licenses provided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by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Moscow Exchange and MB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Technologies LLC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required for infrastructure testing in the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new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facility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401B6788" w14:textId="5E4ED943" w:rsidR="008848F5" w:rsidRPr="008848F5" w:rsidRDefault="008848F5" w:rsidP="008848F5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 mandatory condition for program participation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 to keep the total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amount of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IT services used by the participant in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M1 data center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no less than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amount of services used at the Program start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Reducing the volume of IT services below this level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would cause the Client to be expelled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from the Program.</w:t>
            </w:r>
          </w:p>
          <w:p w14:paraId="765F91DD" w14:textId="4BAB7ABE" w:rsidR="008848F5" w:rsidRPr="008848F5" w:rsidRDefault="008848F5" w:rsidP="008848F5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For each service consumed in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M1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center, the client has the right to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receive the same mirrored amount of services in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Dataspace1 data center with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discount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If the same services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are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ordered in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M1 and Dataspace1 data centers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simultaneously, such services are considered to be duplicated.</w:t>
            </w:r>
          </w:p>
          <w:p w14:paraId="4B6BB3BC" w14:textId="39D7CB5B" w:rsidR="008848F5" w:rsidRPr="008848F5" w:rsidRDefault="008848F5" w:rsidP="008848F5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For duplicated services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order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ed during the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Program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validity period, all </w:t>
            </w:r>
            <w:r w:rsidR="008D62AD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registration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and one-off fees are waived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6EFB41CD" w14:textId="751860CF" w:rsidR="00370C21" w:rsidRPr="008D62AD" w:rsidRDefault="008D62AD" w:rsidP="008D62AD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If the Client decides to use duplicated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set of 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af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ter the expiration of the relevant conditions of the Program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, such services are charged for 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full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amount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starting 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from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 w:rsidRPr="008D62AD">
              <w:rPr>
                <w:rFonts w:ascii="Tahoma" w:eastAsia="Tahoma" w:hAnsi="Tahoma" w:cs="Tahoma"/>
                <w:bCs/>
                <w:kern w:val="24"/>
                <w:sz w:val="20"/>
                <w:szCs w:val="20"/>
                <w:vertAlign w:val="superscript"/>
                <w:lang w:val="en-US" w:eastAsia="ru-RU"/>
              </w:rPr>
              <w:t>st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8848F5"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calendar day after the expiry of the relevant conditions of the Program.</w:t>
            </w:r>
          </w:p>
        </w:tc>
      </w:tr>
      <w:tr w:rsidR="00C52DE2" w:rsidRPr="006330DA" w14:paraId="7598C4CC" w14:textId="77777777" w:rsidTr="00586C5A">
        <w:trPr>
          <w:trHeight w:val="69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53E1E" w14:textId="77777777" w:rsidR="0002481C" w:rsidRPr="00C52DE2" w:rsidRDefault="0002481C" w:rsidP="00235B9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  <w:r w:rsidRPr="00C52DE2"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B4B69" w14:textId="56AF7F0B" w:rsidR="0002481C" w:rsidRPr="006330DA" w:rsidRDefault="006330DA" w:rsidP="00D231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MB Technologies software and IT services</w:t>
            </w:r>
          </w:p>
        </w:tc>
      </w:tr>
      <w:tr w:rsidR="00C52DE2" w:rsidRPr="002D0510" w14:paraId="49210DA7" w14:textId="77777777" w:rsidTr="00586C5A">
        <w:trPr>
          <w:trHeight w:val="4454"/>
        </w:trPr>
        <w:tc>
          <w:tcPr>
            <w:tcW w:w="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D4DF1" w14:textId="48E8C2C5" w:rsidR="0002481C" w:rsidRPr="00C52DE2" w:rsidRDefault="00D57E46" w:rsidP="00235B94">
            <w:pPr>
              <w:spacing w:after="0" w:line="240" w:lineRule="auto"/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val="en-US" w:eastAsia="ru-RU"/>
              </w:rPr>
              <w:t>A</w:t>
            </w:r>
            <w:r w:rsidR="0002481C" w:rsidRPr="00C52DE2"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3D290" w14:textId="0961D76D" w:rsidR="0002481C" w:rsidRPr="00D57E46" w:rsidRDefault="00D57E46" w:rsidP="00076B2B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>Colocation services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206F" w14:textId="7940274A" w:rsidR="008366B5" w:rsidRPr="002D0510" w:rsidRDefault="002D0510" w:rsidP="000B74B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From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01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July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2016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to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31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December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2016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 discount for relevant services is applied as follows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: </w:t>
            </w:r>
          </w:p>
          <w:p w14:paraId="295D9E63" w14:textId="77777777" w:rsidR="0002481C" w:rsidRPr="002D0510" w:rsidRDefault="0002481C" w:rsidP="00BA5567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07920579" w14:textId="49CF5A9F" w:rsidR="0002481C" w:rsidRPr="002D0510" w:rsidRDefault="002D0510" w:rsidP="00A9046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="0002481C"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and </w:t>
            </w:r>
            <w:r w:rsidR="0002481C"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centers the discount is applied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:</w:t>
            </w:r>
          </w:p>
          <w:p w14:paraId="07E8ADB4" w14:textId="58A69033" w:rsidR="0002481C" w:rsidRPr="002D0510" w:rsidRDefault="00C54936" w:rsidP="00A9046D">
            <w:pPr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50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% -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or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="002D0510"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</w:t>
            </w:r>
          </w:p>
          <w:p w14:paraId="045C9575" w14:textId="6581578E" w:rsidR="0002481C" w:rsidRPr="002D0510" w:rsidRDefault="00C54936" w:rsidP="002D0510">
            <w:pPr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50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% -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="002D0510"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="002D0510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  <w:p w14:paraId="0F50A6BE" w14:textId="6B98C309" w:rsidR="002D0510" w:rsidRPr="002D0510" w:rsidRDefault="002D0510" w:rsidP="002D051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 those services in M1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data center,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for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which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corresponding duplicated service in Dataspace1 data center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is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not ordered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, or the number of services in the M1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 exceed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the number of ordered services in the DataSpace1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center, discount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for non-duplicated services is not applied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01919580" w14:textId="5FE6A2D7" w:rsidR="008366B5" w:rsidRPr="002D0510" w:rsidRDefault="002D0510" w:rsidP="002D051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 those services in DataSpace1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data center, the amount of which exceeds the number of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services in the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M1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data center, the discount is not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applied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, and one-time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fees are not waived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</w:tc>
      </w:tr>
      <w:tr w:rsidR="00C52DE2" w:rsidRPr="002D0510" w14:paraId="13F2021D" w14:textId="77777777" w:rsidTr="00586C5A">
        <w:trPr>
          <w:trHeight w:val="5290"/>
        </w:trPr>
        <w:tc>
          <w:tcPr>
            <w:tcW w:w="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213DE" w14:textId="6C780682" w:rsidR="0002481C" w:rsidRPr="00C52DE2" w:rsidRDefault="0002481C" w:rsidP="00235B94">
            <w:pPr>
              <w:spacing w:after="0" w:line="240" w:lineRule="auto"/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</w:pPr>
            <w:r w:rsidRPr="00C52DE2"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  <w:lastRenderedPageBreak/>
              <w:t>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65668" w14:textId="7F47E904" w:rsidR="00076B2B" w:rsidRPr="00C52DE2" w:rsidRDefault="00076B2B" w:rsidP="00076B2B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</w:pPr>
            <w:r w:rsidRPr="00C52DE2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Plaza II </w:t>
            </w:r>
            <w:r w:rsidR="002D0510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>logins</w:t>
            </w:r>
            <w:r w:rsidRPr="00C52DE2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 </w:t>
            </w:r>
          </w:p>
          <w:p w14:paraId="4B42520A" w14:textId="70ACC5CC" w:rsidR="00076B2B" w:rsidRPr="00C52DE2" w:rsidRDefault="00076B2B" w:rsidP="00076B2B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</w:pPr>
            <w:r w:rsidRPr="00C52DE2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FIX </w:t>
            </w:r>
            <w:r w:rsidR="002D0510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>for Derivatives</w:t>
            </w:r>
          </w:p>
          <w:p w14:paraId="13C104BE" w14:textId="71724417" w:rsidR="0002481C" w:rsidRPr="002D0510" w:rsidRDefault="002D0510" w:rsidP="002D0510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Access to </w:t>
            </w:r>
            <w:r w:rsidR="00076B2B" w:rsidRPr="00C52DE2"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FAST </w:t>
            </w:r>
            <w:r>
              <w:rPr>
                <w:rFonts w:ascii="Tahoma" w:eastAsia="Tahoma" w:hAnsi="Tahoma" w:cs="Tahoma"/>
                <w:bCs/>
                <w:kern w:val="24"/>
                <w:sz w:val="18"/>
                <w:szCs w:val="18"/>
                <w:lang w:val="en-US" w:eastAsia="ru-RU"/>
              </w:rPr>
              <w:t xml:space="preserve">Gate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9115B" w14:textId="1D7887CF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As per the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Program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conditions, the MOEX 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Market member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is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eligible to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order </w:t>
            </w:r>
            <w:r w:rsid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discounted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set of logins/FAST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 xml:space="preserve"> connections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an amount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no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 exceeding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 number of logins/FAST connections in M1 data center ordered (duplicated services), and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between the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Client and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MB Technolog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ies LLC the new Appendix 1 to the IT services contract (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Connection Scheme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) should be signed respectively.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</w:p>
          <w:p w14:paraId="7D6F4583" w14:textId="77777777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22569037" w14:textId="77777777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he discount for relevant services is applied as follows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:</w:t>
            </w:r>
          </w:p>
          <w:p w14:paraId="4B2B4DD0" w14:textId="6DE75084" w:rsidR="0002481C" w:rsidRPr="002D0510" w:rsidRDefault="0002481C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</w:p>
          <w:p w14:paraId="7EA252B7" w14:textId="7C97652C" w:rsidR="002D0510" w:rsidRPr="002D0510" w:rsidRDefault="002D0510" w:rsidP="002D051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and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centers the discount is applied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:</w:t>
            </w:r>
          </w:p>
          <w:p w14:paraId="344C3316" w14:textId="77777777" w:rsidR="002D0510" w:rsidRPr="002D0510" w:rsidRDefault="002D0510" w:rsidP="002D0510">
            <w:pPr>
              <w:spacing w:after="0" w:line="240" w:lineRule="auto"/>
              <w:ind w:left="615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50% -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</w:t>
            </w:r>
          </w:p>
          <w:p w14:paraId="6A50AF87" w14:textId="77777777" w:rsidR="002D0510" w:rsidRPr="002D0510" w:rsidRDefault="002D0510" w:rsidP="002D0510">
            <w:pPr>
              <w:spacing w:after="0" w:line="240" w:lineRule="auto"/>
              <w:ind w:left="615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50% -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  <w:p w14:paraId="31E52FCD" w14:textId="38B9CF40" w:rsidR="0002481C" w:rsidRPr="002D0510" w:rsidRDefault="002D0510" w:rsidP="002436A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For non-duplicated services the discount is not applied and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one-time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fees are not waived</w:t>
            </w:r>
            <w:r w:rsidR="0002481C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  <w:p w14:paraId="40678EC2" w14:textId="77777777" w:rsidR="0002481C" w:rsidRPr="002D0510" w:rsidRDefault="0002481C" w:rsidP="002436A8">
            <w:pPr>
              <w:pStyle w:val="a3"/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0ABA5374" w14:textId="58F19AE3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To order 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logins/FAST connections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,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the Trading member, his client or market data vendor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should submit the corresponding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service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request form respectively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23144D3F" w14:textId="77777777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0F73735B" w14:textId="69968202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If the Client decides to use duplicated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 xml:space="preserve">set of 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logins/FAST connections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af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ter the expiration of the relevant conditions of the Program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, such 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logins/FAST connections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are charged for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full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amount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starting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from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 w:rsidRPr="008D62AD">
              <w:rPr>
                <w:rFonts w:ascii="Tahoma" w:eastAsia="Tahoma" w:hAnsi="Tahoma" w:cs="Tahoma"/>
                <w:bCs/>
                <w:kern w:val="24"/>
                <w:sz w:val="20"/>
                <w:szCs w:val="20"/>
                <w:vertAlign w:val="superscript"/>
                <w:lang w:val="en-US" w:eastAsia="ru-RU"/>
              </w:rPr>
              <w:t>st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calendar day after the expiry of the relevant conditions of the Program.</w:t>
            </w:r>
          </w:p>
          <w:p w14:paraId="069E46F9" w14:textId="77777777" w:rsidR="002D0510" w:rsidRDefault="002D0510" w:rsidP="002436A8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6EDF9F5F" w14:textId="08F9751E" w:rsidR="008366B5" w:rsidRPr="002D0510" w:rsidRDefault="002D0510" w:rsidP="002D0510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These conditions are valid between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01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July 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2016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and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31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December </w:t>
            </w:r>
            <w:r w:rsidR="008366B5"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2016.</w:t>
            </w:r>
          </w:p>
        </w:tc>
      </w:tr>
      <w:tr w:rsidR="00C52DE2" w:rsidRPr="006330DA" w14:paraId="4461AA58" w14:textId="77777777" w:rsidTr="00586C5A">
        <w:trPr>
          <w:trHeight w:val="39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2B528" w14:textId="77777777" w:rsidR="00F97456" w:rsidRPr="00C52DE2" w:rsidRDefault="00F97456" w:rsidP="00235B9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  <w:r w:rsidRPr="00C52DE2">
              <w:rPr>
                <w:rFonts w:ascii="Tahoma" w:eastAsia="Verdana" w:hAnsi="Tahoma" w:cs="Tahoma"/>
                <w:bCs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C7A80" w14:textId="77777777" w:rsidR="009C16EE" w:rsidRPr="00C52DE2" w:rsidRDefault="009C16EE" w:rsidP="00235B94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</w:pPr>
          </w:p>
          <w:p w14:paraId="1BE45878" w14:textId="77777777" w:rsidR="009C16EE" w:rsidRPr="00C52DE2" w:rsidRDefault="009C16EE" w:rsidP="00235B94">
            <w:pPr>
              <w:spacing w:after="0" w:line="240" w:lineRule="auto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</w:pPr>
          </w:p>
          <w:p w14:paraId="3761F786" w14:textId="48C2787F" w:rsidR="009C16EE" w:rsidRPr="006330DA" w:rsidRDefault="006330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Moscow Exchange</w:t>
            </w:r>
            <w:r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software and IT services</w:t>
            </w:r>
          </w:p>
        </w:tc>
      </w:tr>
      <w:tr w:rsidR="00C52DE2" w:rsidRPr="00860513" w14:paraId="3F87F3B0" w14:textId="77777777" w:rsidTr="00586C5A">
        <w:trPr>
          <w:trHeight w:val="38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0C390" w14:textId="36284A7B" w:rsidR="00076B2B" w:rsidRPr="006330DA" w:rsidRDefault="00076B2B" w:rsidP="00235B9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val="en-US" w:eastAsia="ru-RU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E6259" w14:textId="05DD286F" w:rsidR="00076B2B" w:rsidRPr="002D0510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</w:pPr>
            <w:r w:rsidRPr="00C52DE2"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  <w:t>ASTS</w:t>
            </w:r>
            <w:r w:rsidRPr="00604B4A"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  <w:t xml:space="preserve"> </w:t>
            </w:r>
            <w:r w:rsidRPr="00C52DE2"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  <w:t>Bridge</w:t>
            </w:r>
            <w:r w:rsidR="002D0510"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  <w:t xml:space="preserve"> software</w:t>
            </w:r>
          </w:p>
          <w:p w14:paraId="4FEECB93" w14:textId="5BAE0ED0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</w:pPr>
          </w:p>
          <w:p w14:paraId="1704AF9B" w14:textId="3F7B2465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</w:pPr>
          </w:p>
          <w:p w14:paraId="29D181AF" w14:textId="526DB2D1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</w:pPr>
          </w:p>
          <w:p w14:paraId="6568EF23" w14:textId="3692BEA0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</w:pPr>
          </w:p>
          <w:p w14:paraId="05AB0662" w14:textId="36A7D505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</w:pPr>
          </w:p>
          <w:p w14:paraId="0D2089F6" w14:textId="5FA3F2F0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</w:pPr>
          </w:p>
          <w:p w14:paraId="34596A39" w14:textId="2FABBE06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</w:pPr>
          </w:p>
          <w:p w14:paraId="654CEDF6" w14:textId="6AA5C80A" w:rsidR="00C54936" w:rsidRPr="00604B4A" w:rsidRDefault="00C54936" w:rsidP="00190BDB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</w:pPr>
          </w:p>
          <w:p w14:paraId="116BE56E" w14:textId="33882408" w:rsidR="00C54936" w:rsidRPr="00604B4A" w:rsidRDefault="00604B4A" w:rsidP="00370C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36"/>
                <w:lang w:val="en-US" w:eastAsia="ru-RU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36"/>
                <w:lang w:val="en-US" w:eastAsia="ru-RU"/>
              </w:rPr>
              <w:t>FIX for Equities and FX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C11D0" w14:textId="7E277AD8" w:rsidR="00860513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As per the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Program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conditions, the MOEX 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Market member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is eligible to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order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discounted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 xml:space="preserve">set of </w:t>
            </w:r>
            <w:r>
              <w:rPr>
                <w:rFonts w:ascii="Tahoma" w:eastAsia="Tahoma" w:hAnsi="Tahoma" w:cs="Tahoma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ASTS Bridge licenses/FIX IDs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an amount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no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 exceeding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number of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existing 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ASTS Bridge licenses/FIX IDs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M1 data center (duplicated services).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</w:p>
          <w:p w14:paraId="1B5717E3" w14:textId="77777777" w:rsidR="00860513" w:rsidRDefault="00860513" w:rsidP="008F29C1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213FA500" w14:textId="1165D33A" w:rsidR="00860513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discount for relevant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software/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services is applied as follows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:</w:t>
            </w:r>
          </w:p>
          <w:p w14:paraId="21A9B0FE" w14:textId="77777777" w:rsidR="00860513" w:rsidRPr="002D0510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</w:p>
          <w:p w14:paraId="05F7B866" w14:textId="0A6517B0" w:rsidR="00860513" w:rsidRPr="002D0510" w:rsidRDefault="00860513" w:rsidP="0086051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software/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and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 centers the discount is applied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:</w:t>
            </w:r>
          </w:p>
          <w:p w14:paraId="0B69D668" w14:textId="3AB3FC15" w:rsidR="00860513" w:rsidRPr="002D0510" w:rsidRDefault="00860513" w:rsidP="00860513">
            <w:pPr>
              <w:spacing w:after="0" w:line="240" w:lineRule="auto"/>
              <w:ind w:left="615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50% -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software/services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eastAsia="ru-RU"/>
              </w:rPr>
              <w:t>М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</w:t>
            </w:r>
          </w:p>
          <w:p w14:paraId="765313D8" w14:textId="25DA962F" w:rsidR="00860513" w:rsidRPr="002D0510" w:rsidRDefault="00860513" w:rsidP="00860513">
            <w:pPr>
              <w:spacing w:after="0" w:line="240" w:lineRule="auto"/>
              <w:ind w:left="615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50% -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duplicated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software/services in </w:t>
            </w:r>
            <w:r w:rsidRPr="00C52DE2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DataSpace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data center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  <w:p w14:paraId="6C2D2AEB" w14:textId="6740CC75" w:rsidR="00860513" w:rsidRPr="002D0510" w:rsidRDefault="00860513" w:rsidP="0086051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 non-duplicated software/services the discount is not applied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. </w:t>
            </w:r>
          </w:p>
          <w:p w14:paraId="375DB6EE" w14:textId="77777777" w:rsidR="00860513" w:rsidRDefault="00860513" w:rsidP="008F29C1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1BCA92B9" w14:textId="109259E8" w:rsidR="00860513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To order </w:t>
            </w:r>
            <w:r w:rsidRPr="00860513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ASTS Bridge licenses/FIX IDs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,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2D0510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the Trading member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should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conclude additional service contract of sign new Annex to existing contract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respectively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598FD4EC" w14:textId="77777777" w:rsidR="00860513" w:rsidRDefault="00860513" w:rsidP="002B3B35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2874186F" w14:textId="1064F7B0" w:rsidR="00860513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If the Client decides to use duplicated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860513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ASTS Bridge licenses/FIX IDs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af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ter the expiration of the relevant conditions of the Program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, such </w:t>
            </w:r>
            <w:r w:rsidRPr="00860513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val="en-US" w:eastAsia="ru-RU"/>
              </w:rPr>
              <w:t>ASTS Bridge licenses/FIX IDs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are charged for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in full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amount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starting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from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1</w:t>
            </w:r>
            <w:r w:rsidRPr="008D62AD">
              <w:rPr>
                <w:rFonts w:ascii="Tahoma" w:eastAsia="Tahoma" w:hAnsi="Tahoma" w:cs="Tahoma"/>
                <w:bCs/>
                <w:kern w:val="24"/>
                <w:sz w:val="20"/>
                <w:szCs w:val="20"/>
                <w:vertAlign w:val="superscript"/>
                <w:lang w:val="en-US" w:eastAsia="ru-RU"/>
              </w:rPr>
              <w:t>st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8848F5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calendar day after the expiry of the relevant conditions of the Program.</w:t>
            </w:r>
          </w:p>
          <w:p w14:paraId="08DA26AE" w14:textId="77777777" w:rsidR="00860513" w:rsidRDefault="00860513" w:rsidP="0086051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  <w:p w14:paraId="7FC4E4BC" w14:textId="79511833" w:rsidR="00076B2B" w:rsidRPr="00860513" w:rsidRDefault="00860513" w:rsidP="00CF3D3A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These conditions are valid between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01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July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2016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and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31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December </w:t>
            </w:r>
            <w:r w:rsidRPr="002D0510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2016.</w:t>
            </w:r>
          </w:p>
        </w:tc>
      </w:tr>
      <w:tr w:rsidR="00C52DE2" w:rsidRPr="00860513" w14:paraId="5DA0573F" w14:textId="77777777" w:rsidTr="00586C5A">
        <w:trPr>
          <w:trHeight w:val="259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0416C" w14:textId="060DDFD9" w:rsidR="009E514A" w:rsidRPr="00C52DE2" w:rsidRDefault="00860513" w:rsidP="00860513">
            <w:pPr>
              <w:spacing w:after="0" w:line="240" w:lineRule="auto"/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val="en-US" w:eastAsia="ru-RU"/>
              </w:rPr>
              <w:t>Program participation conditions</w:t>
            </w:r>
            <w:r w:rsidR="009E514A" w:rsidRPr="00C52DE2">
              <w:rPr>
                <w:rFonts w:ascii="Tahoma" w:eastAsia="Tahoma" w:hAnsi="Tahoma" w:cs="Tahoma"/>
                <w:b/>
                <w:bCs/>
                <w:kern w:val="2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0ABE46" w14:textId="4B1494AC" w:rsidR="0034278D" w:rsidRPr="00860513" w:rsidRDefault="00860513" w:rsidP="003427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1" w:hanging="281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Existing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contract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between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the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Client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and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MB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Technologies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LLC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for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colocation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services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or IT services</w:t>
            </w:r>
            <w:r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contract for services used to receive technical access to MOEX markets from M1 data center</w:t>
            </w:r>
            <w:r w:rsidR="00C05AAB"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51326EF3" w14:textId="470234AF" w:rsidR="0034278D" w:rsidRPr="00860513" w:rsidRDefault="00860513" w:rsidP="003427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1" w:hanging="281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>Marketing</w:t>
            </w:r>
            <w:r w:rsidRPr="00860513"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>program</w:t>
            </w:r>
            <w:r w:rsidRPr="00860513"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>participation</w:t>
            </w:r>
            <w:r w:rsidRPr="00860513"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a7"/>
                <w:rFonts w:ascii="Tahoma" w:eastAsia="Times New Roman" w:hAnsi="Tahoma" w:cs="Tahoma"/>
                <w:b w:val="0"/>
                <w:sz w:val="20"/>
                <w:szCs w:val="20"/>
                <w:lang w:val="en-US" w:eastAsia="ru-RU"/>
              </w:rPr>
              <w:t>request to MB Technologies and Moscow Exchange</w:t>
            </w:r>
            <w:r w:rsidR="006343E2" w:rsidRPr="00860513"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  <w:t>.</w:t>
            </w:r>
          </w:p>
          <w:p w14:paraId="16D75338" w14:textId="77777777" w:rsidR="008D3116" w:rsidRPr="00860513" w:rsidRDefault="008D3116" w:rsidP="00ED31F0">
            <w:pPr>
              <w:pStyle w:val="a3"/>
              <w:spacing w:after="0" w:line="240" w:lineRule="auto"/>
              <w:ind w:left="281"/>
              <w:jc w:val="both"/>
              <w:rPr>
                <w:rFonts w:ascii="Tahoma" w:eastAsia="Tahoma" w:hAnsi="Tahoma" w:cs="Tahoma"/>
                <w:bCs/>
                <w:kern w:val="24"/>
                <w:sz w:val="20"/>
                <w:szCs w:val="20"/>
                <w:lang w:val="en-US" w:eastAsia="ru-RU"/>
              </w:rPr>
            </w:pPr>
          </w:p>
        </w:tc>
      </w:tr>
    </w:tbl>
    <w:p w14:paraId="146B3F2C" w14:textId="77777777" w:rsidR="00860513" w:rsidRDefault="00860513" w:rsidP="00860513">
      <w:pPr>
        <w:pStyle w:val="Default"/>
        <w:ind w:left="360"/>
        <w:rPr>
          <w:b/>
          <w:color w:val="auto"/>
          <w:sz w:val="20"/>
          <w:szCs w:val="20"/>
          <w:lang w:val="en-US"/>
        </w:rPr>
      </w:pPr>
    </w:p>
    <w:p w14:paraId="03A425EF" w14:textId="77777777" w:rsidR="00860513" w:rsidRDefault="00860513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2DA6A7E1" w14:textId="7163258A" w:rsidR="00F97456" w:rsidRPr="00C52DE2" w:rsidRDefault="00860513" w:rsidP="00F97456">
      <w:pPr>
        <w:pStyle w:val="Default"/>
        <w:numPr>
          <w:ilvl w:val="0"/>
          <w:numId w:val="7"/>
        </w:num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lang w:val="en-US"/>
        </w:rPr>
        <w:lastRenderedPageBreak/>
        <w:t>Final provisions</w:t>
      </w:r>
      <w:r w:rsidR="00F97456" w:rsidRPr="00C52DE2">
        <w:rPr>
          <w:b/>
          <w:color w:val="auto"/>
          <w:sz w:val="20"/>
          <w:szCs w:val="20"/>
        </w:rPr>
        <w:t xml:space="preserve"> </w:t>
      </w:r>
    </w:p>
    <w:p w14:paraId="6D83384E" w14:textId="77777777" w:rsidR="00930FA3" w:rsidRPr="00C52DE2" w:rsidRDefault="00930FA3" w:rsidP="00930FA3">
      <w:pPr>
        <w:pStyle w:val="Default"/>
        <w:rPr>
          <w:b/>
          <w:color w:val="auto"/>
          <w:sz w:val="20"/>
          <w:szCs w:val="20"/>
        </w:rPr>
      </w:pPr>
    </w:p>
    <w:p w14:paraId="20310B0D" w14:textId="10236C82" w:rsidR="00974D4D" w:rsidRPr="00974D4D" w:rsidRDefault="00974D4D" w:rsidP="00974D4D">
      <w:pPr>
        <w:pStyle w:val="Default"/>
        <w:numPr>
          <w:ilvl w:val="1"/>
          <w:numId w:val="7"/>
        </w:numPr>
        <w:ind w:left="-142"/>
        <w:jc w:val="both"/>
        <w:rPr>
          <w:color w:val="auto"/>
          <w:sz w:val="20"/>
          <w:szCs w:val="20"/>
          <w:lang w:val="en-US"/>
        </w:rPr>
      </w:pPr>
      <w:r w:rsidRPr="00974D4D">
        <w:rPr>
          <w:color w:val="auto"/>
          <w:sz w:val="20"/>
          <w:szCs w:val="20"/>
          <w:lang w:val="en-US"/>
        </w:rPr>
        <w:t xml:space="preserve">The client, who wants to join the program, </w:t>
      </w:r>
      <w:r>
        <w:rPr>
          <w:color w:val="auto"/>
          <w:sz w:val="20"/>
          <w:szCs w:val="20"/>
          <w:lang w:val="en-US"/>
        </w:rPr>
        <w:t xml:space="preserve">shall </w:t>
      </w:r>
      <w:r w:rsidRPr="00974D4D">
        <w:rPr>
          <w:color w:val="auto"/>
          <w:sz w:val="20"/>
          <w:szCs w:val="20"/>
          <w:lang w:val="en-US"/>
        </w:rPr>
        <w:t xml:space="preserve">submit </w:t>
      </w:r>
      <w:r>
        <w:rPr>
          <w:color w:val="auto"/>
          <w:sz w:val="20"/>
          <w:szCs w:val="20"/>
          <w:lang w:val="en-US"/>
        </w:rPr>
        <w:t xml:space="preserve">corresponding marketing program participation request </w:t>
      </w:r>
      <w:r w:rsidRPr="00974D4D">
        <w:rPr>
          <w:color w:val="auto"/>
          <w:sz w:val="20"/>
          <w:szCs w:val="20"/>
          <w:lang w:val="en-US"/>
        </w:rPr>
        <w:t>to Moscow Exchange and</w:t>
      </w:r>
      <w:r>
        <w:rPr>
          <w:color w:val="auto"/>
          <w:sz w:val="20"/>
          <w:szCs w:val="20"/>
          <w:lang w:val="en-US"/>
        </w:rPr>
        <w:t>/or</w:t>
      </w:r>
      <w:r w:rsidRPr="00974D4D">
        <w:rPr>
          <w:color w:val="auto"/>
          <w:sz w:val="20"/>
          <w:szCs w:val="20"/>
          <w:lang w:val="en-US"/>
        </w:rPr>
        <w:t xml:space="preserve"> MB Technolog</w:t>
      </w:r>
      <w:r>
        <w:rPr>
          <w:color w:val="auto"/>
          <w:sz w:val="20"/>
          <w:szCs w:val="20"/>
          <w:lang w:val="en-US"/>
        </w:rPr>
        <w:t>ies LLC</w:t>
      </w:r>
      <w:r w:rsidRPr="00974D4D">
        <w:rPr>
          <w:color w:val="auto"/>
          <w:sz w:val="20"/>
          <w:szCs w:val="20"/>
          <w:lang w:val="en-US"/>
        </w:rPr>
        <w:t xml:space="preserve"> the form </w:t>
      </w:r>
      <w:r>
        <w:rPr>
          <w:color w:val="auto"/>
          <w:sz w:val="20"/>
          <w:szCs w:val="20"/>
          <w:lang w:val="en-US"/>
        </w:rPr>
        <w:t>defined by</w:t>
      </w:r>
      <w:r w:rsidRPr="00974D4D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Annexes</w:t>
      </w:r>
      <w:r w:rsidRPr="00974D4D">
        <w:rPr>
          <w:color w:val="auto"/>
          <w:sz w:val="20"/>
          <w:szCs w:val="20"/>
          <w:lang w:val="en-US"/>
        </w:rPr>
        <w:t xml:space="preserve"> 1 and 2 to this program.</w:t>
      </w:r>
    </w:p>
    <w:p w14:paraId="1481AB32" w14:textId="37615364" w:rsidR="00974D4D" w:rsidRPr="00974D4D" w:rsidRDefault="00974D4D" w:rsidP="00974D4D">
      <w:pPr>
        <w:pStyle w:val="Default"/>
        <w:numPr>
          <w:ilvl w:val="1"/>
          <w:numId w:val="7"/>
        </w:numPr>
        <w:ind w:left="-142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The </w:t>
      </w:r>
      <w:r w:rsidRPr="00974D4D">
        <w:rPr>
          <w:color w:val="auto"/>
          <w:sz w:val="20"/>
          <w:szCs w:val="20"/>
          <w:lang w:val="en-US"/>
        </w:rPr>
        <w:t>Program</w:t>
      </w:r>
      <w:r>
        <w:rPr>
          <w:color w:val="auto"/>
          <w:sz w:val="20"/>
          <w:szCs w:val="20"/>
          <w:lang w:val="en-US"/>
        </w:rPr>
        <w:t xml:space="preserve"> participant</w:t>
      </w:r>
      <w:r w:rsidRPr="00974D4D">
        <w:rPr>
          <w:color w:val="auto"/>
          <w:sz w:val="20"/>
          <w:szCs w:val="20"/>
          <w:lang w:val="en-US"/>
        </w:rPr>
        <w:t xml:space="preserve"> may at any time during the program period to </w:t>
      </w:r>
      <w:r>
        <w:rPr>
          <w:color w:val="auto"/>
          <w:sz w:val="20"/>
          <w:szCs w:val="20"/>
          <w:lang w:val="en-US"/>
        </w:rPr>
        <w:t>cancel his</w:t>
      </w:r>
      <w:r w:rsidRPr="00974D4D">
        <w:rPr>
          <w:color w:val="auto"/>
          <w:sz w:val="20"/>
          <w:szCs w:val="20"/>
          <w:lang w:val="en-US"/>
        </w:rPr>
        <w:t xml:space="preserve"> participat</w:t>
      </w:r>
      <w:r>
        <w:rPr>
          <w:color w:val="auto"/>
          <w:sz w:val="20"/>
          <w:szCs w:val="20"/>
          <w:lang w:val="en-US"/>
        </w:rPr>
        <w:t>ion</w:t>
      </w:r>
      <w:r w:rsidRPr="00974D4D">
        <w:rPr>
          <w:color w:val="auto"/>
          <w:sz w:val="20"/>
          <w:szCs w:val="20"/>
          <w:lang w:val="en-US"/>
        </w:rPr>
        <w:t xml:space="preserve"> by sending </w:t>
      </w:r>
      <w:r>
        <w:rPr>
          <w:color w:val="auto"/>
          <w:sz w:val="20"/>
          <w:szCs w:val="20"/>
          <w:lang w:val="en-US"/>
        </w:rPr>
        <w:t xml:space="preserve">written notice to </w:t>
      </w:r>
      <w:r w:rsidRPr="00974D4D">
        <w:rPr>
          <w:color w:val="auto"/>
          <w:sz w:val="20"/>
          <w:szCs w:val="20"/>
          <w:lang w:val="en-US"/>
        </w:rPr>
        <w:t>Moscow Exchange and</w:t>
      </w:r>
      <w:r>
        <w:rPr>
          <w:color w:val="auto"/>
          <w:sz w:val="20"/>
          <w:szCs w:val="20"/>
          <w:lang w:val="en-US"/>
        </w:rPr>
        <w:t>/or</w:t>
      </w:r>
      <w:r w:rsidRPr="00974D4D">
        <w:rPr>
          <w:color w:val="auto"/>
          <w:sz w:val="20"/>
          <w:szCs w:val="20"/>
          <w:lang w:val="en-US"/>
        </w:rPr>
        <w:t xml:space="preserve"> MB Technologies</w:t>
      </w:r>
      <w:r>
        <w:rPr>
          <w:color w:val="auto"/>
          <w:sz w:val="20"/>
          <w:szCs w:val="20"/>
          <w:lang w:val="en-US"/>
        </w:rPr>
        <w:t xml:space="preserve"> LLC</w:t>
      </w:r>
      <w:r w:rsidRPr="00974D4D">
        <w:rPr>
          <w:color w:val="auto"/>
          <w:sz w:val="20"/>
          <w:szCs w:val="20"/>
          <w:lang w:val="en-US"/>
        </w:rPr>
        <w:t>.</w:t>
      </w:r>
    </w:p>
    <w:p w14:paraId="4D915CDA" w14:textId="63FE6B15" w:rsidR="00974D4D" w:rsidRPr="00974D4D" w:rsidRDefault="00974D4D" w:rsidP="00974D4D">
      <w:pPr>
        <w:pStyle w:val="Default"/>
        <w:numPr>
          <w:ilvl w:val="1"/>
          <w:numId w:val="7"/>
        </w:numPr>
        <w:ind w:left="-142"/>
        <w:jc w:val="both"/>
        <w:rPr>
          <w:color w:val="auto"/>
          <w:sz w:val="20"/>
          <w:szCs w:val="20"/>
          <w:lang w:val="en-US"/>
        </w:rPr>
      </w:pPr>
      <w:r w:rsidRPr="00974D4D">
        <w:rPr>
          <w:color w:val="auto"/>
          <w:sz w:val="20"/>
          <w:szCs w:val="20"/>
          <w:lang w:val="en-US"/>
        </w:rPr>
        <w:t xml:space="preserve">From the date of receipt of </w:t>
      </w:r>
      <w:r>
        <w:rPr>
          <w:color w:val="auto"/>
          <w:sz w:val="20"/>
          <w:szCs w:val="20"/>
          <w:lang w:val="en-US"/>
        </w:rPr>
        <w:t>Client’s</w:t>
      </w:r>
      <w:r w:rsidRPr="00974D4D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requests</w:t>
      </w:r>
      <w:r w:rsidRPr="00974D4D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defined</w:t>
      </w:r>
      <w:r w:rsidRPr="00974D4D">
        <w:rPr>
          <w:color w:val="auto"/>
          <w:sz w:val="20"/>
          <w:szCs w:val="20"/>
          <w:lang w:val="en-US"/>
        </w:rPr>
        <w:t xml:space="preserve"> in paragraph 2.2, </w:t>
      </w:r>
      <w:r>
        <w:rPr>
          <w:color w:val="auto"/>
          <w:sz w:val="20"/>
          <w:szCs w:val="20"/>
          <w:lang w:val="en-US"/>
        </w:rPr>
        <w:t>the Client</w:t>
      </w:r>
      <w:r w:rsidRPr="00974D4D">
        <w:rPr>
          <w:color w:val="auto"/>
          <w:sz w:val="20"/>
          <w:szCs w:val="20"/>
          <w:lang w:val="en-US"/>
        </w:rPr>
        <w:t xml:space="preserve"> is ex</w:t>
      </w:r>
      <w:r>
        <w:rPr>
          <w:color w:val="auto"/>
          <w:sz w:val="20"/>
          <w:szCs w:val="20"/>
          <w:lang w:val="en-US"/>
        </w:rPr>
        <w:t>pelled</w:t>
      </w:r>
      <w:r w:rsidRPr="00974D4D">
        <w:rPr>
          <w:color w:val="auto"/>
          <w:sz w:val="20"/>
          <w:szCs w:val="20"/>
          <w:lang w:val="en-US"/>
        </w:rPr>
        <w:t xml:space="preserve"> from the </w:t>
      </w:r>
      <w:r>
        <w:rPr>
          <w:color w:val="auto"/>
          <w:sz w:val="20"/>
          <w:szCs w:val="20"/>
          <w:lang w:val="en-US"/>
        </w:rPr>
        <w:t>P</w:t>
      </w:r>
      <w:r w:rsidRPr="00974D4D">
        <w:rPr>
          <w:color w:val="auto"/>
          <w:sz w:val="20"/>
          <w:szCs w:val="20"/>
          <w:lang w:val="en-US"/>
        </w:rPr>
        <w:t>rogram.</w:t>
      </w:r>
    </w:p>
    <w:p w14:paraId="5CA4002B" w14:textId="28BC9782" w:rsidR="00974D4D" w:rsidRPr="00974D4D" w:rsidRDefault="00974D4D" w:rsidP="00974D4D">
      <w:pPr>
        <w:pStyle w:val="Default"/>
        <w:numPr>
          <w:ilvl w:val="1"/>
          <w:numId w:val="7"/>
        </w:numPr>
        <w:ind w:left="-142"/>
        <w:jc w:val="both"/>
        <w:rPr>
          <w:color w:val="auto"/>
          <w:sz w:val="20"/>
          <w:szCs w:val="20"/>
          <w:lang w:val="en-US"/>
        </w:rPr>
      </w:pPr>
      <w:r w:rsidRPr="00974D4D">
        <w:rPr>
          <w:color w:val="auto"/>
          <w:sz w:val="20"/>
          <w:szCs w:val="20"/>
          <w:lang w:val="en-US"/>
        </w:rPr>
        <w:t xml:space="preserve">In case </w:t>
      </w:r>
      <w:r>
        <w:rPr>
          <w:color w:val="auto"/>
          <w:sz w:val="20"/>
          <w:szCs w:val="20"/>
          <w:lang w:val="en-US"/>
        </w:rPr>
        <w:t xml:space="preserve">the </w:t>
      </w:r>
      <w:r w:rsidRPr="00974D4D">
        <w:rPr>
          <w:color w:val="auto"/>
          <w:sz w:val="20"/>
          <w:szCs w:val="20"/>
          <w:lang w:val="en-US"/>
        </w:rPr>
        <w:t>Client</w:t>
      </w:r>
      <w:r>
        <w:rPr>
          <w:color w:val="auto"/>
          <w:sz w:val="20"/>
          <w:szCs w:val="20"/>
          <w:lang w:val="en-US"/>
        </w:rPr>
        <w:t xml:space="preserve"> is expelled from the Program </w:t>
      </w:r>
      <w:r w:rsidRPr="00974D4D">
        <w:rPr>
          <w:color w:val="auto"/>
          <w:sz w:val="20"/>
          <w:szCs w:val="20"/>
          <w:lang w:val="en-US"/>
        </w:rPr>
        <w:t xml:space="preserve">due to violation </w:t>
      </w:r>
      <w:r>
        <w:rPr>
          <w:color w:val="auto"/>
          <w:sz w:val="20"/>
          <w:szCs w:val="20"/>
          <w:lang w:val="en-US"/>
        </w:rPr>
        <w:t xml:space="preserve">of its Terms and Conditions, corresponding </w:t>
      </w:r>
      <w:r w:rsidRPr="00974D4D">
        <w:rPr>
          <w:color w:val="auto"/>
          <w:sz w:val="20"/>
          <w:szCs w:val="20"/>
          <w:lang w:val="en-US"/>
        </w:rPr>
        <w:t>notification shall be sent</w:t>
      </w:r>
      <w:r>
        <w:rPr>
          <w:color w:val="auto"/>
          <w:sz w:val="20"/>
          <w:szCs w:val="20"/>
          <w:lang w:val="en-US"/>
        </w:rPr>
        <w:t xml:space="preserve"> to the Client</w:t>
      </w:r>
      <w:r w:rsidRPr="00974D4D">
        <w:rPr>
          <w:color w:val="auto"/>
          <w:sz w:val="20"/>
          <w:szCs w:val="20"/>
          <w:lang w:val="en-US"/>
        </w:rPr>
        <w:t>.</w:t>
      </w:r>
    </w:p>
    <w:p w14:paraId="69017EF0" w14:textId="48F56206" w:rsidR="00974D4D" w:rsidRPr="0041507E" w:rsidRDefault="00974D4D" w:rsidP="00974D4D">
      <w:pPr>
        <w:pStyle w:val="Default"/>
        <w:numPr>
          <w:ilvl w:val="1"/>
          <w:numId w:val="7"/>
        </w:numPr>
        <w:ind w:left="-142"/>
        <w:jc w:val="both"/>
        <w:rPr>
          <w:color w:val="auto"/>
          <w:sz w:val="20"/>
          <w:szCs w:val="20"/>
          <w:lang w:val="en-US"/>
        </w:rPr>
      </w:pPr>
      <w:r w:rsidRPr="00974D4D">
        <w:rPr>
          <w:color w:val="auto"/>
          <w:sz w:val="20"/>
          <w:szCs w:val="20"/>
          <w:lang w:val="en-US"/>
        </w:rPr>
        <w:t>MB Technolog</w:t>
      </w:r>
      <w:r w:rsidR="00FB3A74">
        <w:rPr>
          <w:color w:val="auto"/>
          <w:sz w:val="20"/>
          <w:szCs w:val="20"/>
          <w:lang w:val="en-US"/>
        </w:rPr>
        <w:t>ies LLC</w:t>
      </w:r>
      <w:r w:rsidRPr="00974D4D">
        <w:rPr>
          <w:color w:val="auto"/>
          <w:sz w:val="20"/>
          <w:szCs w:val="20"/>
          <w:lang w:val="en-US"/>
        </w:rPr>
        <w:t xml:space="preserve"> and Moscow Exchange</w:t>
      </w:r>
      <w:r w:rsidR="00FB3A74">
        <w:rPr>
          <w:color w:val="auto"/>
          <w:sz w:val="20"/>
          <w:szCs w:val="20"/>
          <w:lang w:val="en-US"/>
        </w:rPr>
        <w:t>, based on</w:t>
      </w:r>
      <w:r w:rsidRPr="00974D4D">
        <w:rPr>
          <w:color w:val="auto"/>
          <w:sz w:val="20"/>
          <w:szCs w:val="20"/>
          <w:lang w:val="en-US"/>
        </w:rPr>
        <w:t xml:space="preserve"> </w:t>
      </w:r>
      <w:r w:rsidR="00FB3A74">
        <w:rPr>
          <w:color w:val="auto"/>
          <w:sz w:val="20"/>
          <w:szCs w:val="20"/>
          <w:lang w:val="en-US"/>
        </w:rPr>
        <w:t>intermediate</w:t>
      </w:r>
      <w:r w:rsidRPr="00974D4D">
        <w:rPr>
          <w:color w:val="auto"/>
          <w:sz w:val="20"/>
          <w:szCs w:val="20"/>
          <w:lang w:val="en-US"/>
        </w:rPr>
        <w:t xml:space="preserve"> </w:t>
      </w:r>
      <w:r w:rsidR="00FB3A74">
        <w:rPr>
          <w:color w:val="auto"/>
          <w:sz w:val="20"/>
          <w:szCs w:val="20"/>
          <w:lang w:val="en-US"/>
        </w:rPr>
        <w:t>Program o</w:t>
      </w:r>
      <w:r w:rsidRPr="00974D4D">
        <w:rPr>
          <w:color w:val="auto"/>
          <w:sz w:val="20"/>
          <w:szCs w:val="20"/>
          <w:lang w:val="en-US"/>
        </w:rPr>
        <w:t>utcome</w:t>
      </w:r>
      <w:r w:rsidR="00FB3A74">
        <w:rPr>
          <w:color w:val="auto"/>
          <w:sz w:val="20"/>
          <w:szCs w:val="20"/>
          <w:lang w:val="en-US"/>
        </w:rPr>
        <w:t xml:space="preserve"> monitoring, are entitled </w:t>
      </w:r>
      <w:r w:rsidRPr="00974D4D">
        <w:rPr>
          <w:color w:val="auto"/>
          <w:sz w:val="20"/>
          <w:szCs w:val="20"/>
          <w:lang w:val="en-US"/>
        </w:rPr>
        <w:t>to make changes and additions to</w:t>
      </w:r>
      <w:r w:rsidR="00FB3A74">
        <w:rPr>
          <w:color w:val="auto"/>
          <w:sz w:val="20"/>
          <w:szCs w:val="20"/>
          <w:lang w:val="en-US"/>
        </w:rPr>
        <w:t xml:space="preserve"> the Program</w:t>
      </w:r>
      <w:r w:rsidRPr="00974D4D">
        <w:rPr>
          <w:color w:val="auto"/>
          <w:sz w:val="20"/>
          <w:szCs w:val="20"/>
          <w:lang w:val="en-US"/>
        </w:rPr>
        <w:t xml:space="preserve"> </w:t>
      </w:r>
      <w:r w:rsidR="00FB3A74">
        <w:rPr>
          <w:color w:val="auto"/>
          <w:sz w:val="20"/>
          <w:szCs w:val="20"/>
          <w:lang w:val="en-US"/>
        </w:rPr>
        <w:t>Terms and C</w:t>
      </w:r>
      <w:r w:rsidRPr="00974D4D">
        <w:rPr>
          <w:color w:val="auto"/>
          <w:sz w:val="20"/>
          <w:szCs w:val="20"/>
          <w:lang w:val="en-US"/>
        </w:rPr>
        <w:t xml:space="preserve">onditions and/or </w:t>
      </w:r>
      <w:r w:rsidR="00FB3A74">
        <w:rPr>
          <w:color w:val="auto"/>
          <w:sz w:val="20"/>
          <w:szCs w:val="20"/>
          <w:lang w:val="en-US"/>
        </w:rPr>
        <w:t xml:space="preserve">its </w:t>
      </w:r>
      <w:r w:rsidRPr="00974D4D">
        <w:rPr>
          <w:color w:val="auto"/>
          <w:sz w:val="20"/>
          <w:szCs w:val="20"/>
          <w:lang w:val="en-US"/>
        </w:rPr>
        <w:t xml:space="preserve">parameters. </w:t>
      </w:r>
      <w:r w:rsidRPr="0041507E">
        <w:rPr>
          <w:color w:val="auto"/>
          <w:sz w:val="20"/>
          <w:szCs w:val="20"/>
          <w:lang w:val="en-US"/>
        </w:rPr>
        <w:t>Information on amend</w:t>
      </w:r>
      <w:r w:rsidR="0041507E">
        <w:rPr>
          <w:color w:val="auto"/>
          <w:sz w:val="20"/>
          <w:szCs w:val="20"/>
          <w:lang w:val="en-US"/>
        </w:rPr>
        <w:t>ed Terms and C</w:t>
      </w:r>
      <w:r w:rsidRPr="0041507E">
        <w:rPr>
          <w:color w:val="auto"/>
          <w:sz w:val="20"/>
          <w:szCs w:val="20"/>
          <w:lang w:val="en-US"/>
        </w:rPr>
        <w:t>onditions and/or parameters of the Program is publish</w:t>
      </w:r>
      <w:r w:rsidR="0041507E">
        <w:rPr>
          <w:color w:val="auto"/>
          <w:sz w:val="20"/>
          <w:szCs w:val="20"/>
          <w:lang w:val="en-US"/>
        </w:rPr>
        <w:t>ed</w:t>
      </w:r>
      <w:r w:rsidRPr="0041507E">
        <w:rPr>
          <w:color w:val="auto"/>
          <w:sz w:val="20"/>
          <w:szCs w:val="20"/>
          <w:lang w:val="en-US"/>
        </w:rPr>
        <w:t xml:space="preserve"> on the </w:t>
      </w:r>
      <w:r w:rsidR="0041507E">
        <w:rPr>
          <w:color w:val="auto"/>
          <w:sz w:val="20"/>
          <w:szCs w:val="20"/>
          <w:lang w:val="en-US"/>
        </w:rPr>
        <w:t xml:space="preserve">Moscow Exchange </w:t>
      </w:r>
      <w:r w:rsidRPr="0041507E">
        <w:rPr>
          <w:color w:val="auto"/>
          <w:sz w:val="20"/>
          <w:szCs w:val="20"/>
          <w:lang w:val="en-US"/>
        </w:rPr>
        <w:t xml:space="preserve">website, and (if available) </w:t>
      </w:r>
      <w:r w:rsidR="0041507E">
        <w:rPr>
          <w:color w:val="auto"/>
          <w:sz w:val="20"/>
          <w:szCs w:val="20"/>
          <w:lang w:val="en-US"/>
        </w:rPr>
        <w:t xml:space="preserve">is made public to its participants by </w:t>
      </w:r>
      <w:r w:rsidRPr="0041507E">
        <w:rPr>
          <w:color w:val="auto"/>
          <w:sz w:val="20"/>
          <w:szCs w:val="20"/>
          <w:lang w:val="en-US"/>
        </w:rPr>
        <w:t>any oth</w:t>
      </w:r>
      <w:r w:rsidR="0041507E">
        <w:rPr>
          <w:color w:val="auto"/>
          <w:sz w:val="20"/>
          <w:szCs w:val="20"/>
          <w:lang w:val="en-US"/>
        </w:rPr>
        <w:t xml:space="preserve">er available means. Changes </w:t>
      </w:r>
      <w:r w:rsidRPr="0041507E">
        <w:rPr>
          <w:color w:val="auto"/>
          <w:sz w:val="20"/>
          <w:szCs w:val="20"/>
          <w:lang w:val="en-US"/>
        </w:rPr>
        <w:t xml:space="preserve">to </w:t>
      </w:r>
      <w:r w:rsidR="0041507E">
        <w:rPr>
          <w:color w:val="auto"/>
          <w:sz w:val="20"/>
          <w:szCs w:val="20"/>
          <w:lang w:val="en-US"/>
        </w:rPr>
        <w:t xml:space="preserve">the Terms and </w:t>
      </w:r>
      <w:r w:rsidRPr="0041507E">
        <w:rPr>
          <w:color w:val="auto"/>
          <w:sz w:val="20"/>
          <w:szCs w:val="20"/>
          <w:lang w:val="en-US"/>
        </w:rPr>
        <w:t>conditions and/</w:t>
      </w:r>
      <w:r w:rsidR="0041507E">
        <w:rPr>
          <w:color w:val="auto"/>
          <w:sz w:val="20"/>
          <w:szCs w:val="20"/>
          <w:lang w:val="en-US"/>
        </w:rPr>
        <w:t>or parameters of the Program</w:t>
      </w:r>
      <w:r w:rsidRPr="0041507E">
        <w:rPr>
          <w:color w:val="auto"/>
          <w:sz w:val="20"/>
          <w:szCs w:val="20"/>
          <w:lang w:val="en-US"/>
        </w:rPr>
        <w:t xml:space="preserve"> shall come into force within ten (10) calendar days from the date of their approval.</w:t>
      </w:r>
    </w:p>
    <w:p w14:paraId="06C24144" w14:textId="77777777" w:rsidR="008F7E20" w:rsidRPr="00C52DE2" w:rsidRDefault="008F7E20" w:rsidP="0019585B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</w:p>
    <w:p w14:paraId="128A532F" w14:textId="5434EBA5" w:rsidR="00845894" w:rsidRPr="00F01A56" w:rsidRDefault="001132B0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Style w:val="a7"/>
          <w:rFonts w:ascii="Tahoma" w:hAnsi="Tahoma" w:cs="Tahoma"/>
          <w:sz w:val="20"/>
          <w:szCs w:val="20"/>
          <w:lang w:val="en-US"/>
        </w:rPr>
      </w:pPr>
      <w:r w:rsidRPr="00F01A56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860513">
        <w:rPr>
          <w:rFonts w:ascii="Tahoma" w:hAnsi="Tahoma" w:cs="Tahoma"/>
          <w:b/>
          <w:sz w:val="20"/>
          <w:szCs w:val="20"/>
          <w:lang w:val="en-US"/>
        </w:rPr>
        <w:t>Annexes</w:t>
      </w:r>
      <w:r w:rsidRPr="00F01A56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5FA5EEC4" w14:textId="268444DA" w:rsidR="00504BE5" w:rsidRPr="00F01A56" w:rsidRDefault="001132B0" w:rsidP="00FD622F">
      <w:pPr>
        <w:spacing w:after="0" w:line="240" w:lineRule="auto"/>
        <w:ind w:firstLine="567"/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</w:pPr>
      <w:r w:rsidRP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1. 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Marketing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program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participation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request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to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Moscow Exchange</w:t>
      </w:r>
      <w:r w:rsidR="00504BE5" w:rsidRP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.</w:t>
      </w:r>
    </w:p>
    <w:p w14:paraId="40324CC0" w14:textId="09AE4711" w:rsidR="001132B0" w:rsidRPr="00F01A56" w:rsidRDefault="001132B0" w:rsidP="00F01A56">
      <w:pPr>
        <w:spacing w:after="0" w:line="240" w:lineRule="auto"/>
        <w:ind w:firstLine="567"/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</w:pPr>
      <w:r w:rsidRP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2. 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Marketing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program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participation</w:t>
      </w:r>
      <w:r w:rsidR="00F01A56" w:rsidRPr="00860513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 xml:space="preserve">request to </w:t>
      </w:r>
      <w:r w:rsid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MB Technologies</w:t>
      </w:r>
      <w:r w:rsidRPr="00F01A56"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  <w:t>.</w:t>
      </w:r>
    </w:p>
    <w:p w14:paraId="60C9FE6C" w14:textId="77777777" w:rsidR="001132B0" w:rsidRPr="00F01A56" w:rsidRDefault="001132B0" w:rsidP="00FD622F">
      <w:pPr>
        <w:spacing w:after="0" w:line="240" w:lineRule="auto"/>
        <w:ind w:firstLine="709"/>
        <w:rPr>
          <w:rStyle w:val="a7"/>
          <w:rFonts w:ascii="Tahoma" w:eastAsia="Times New Roman" w:hAnsi="Tahoma" w:cs="Tahoma"/>
          <w:b w:val="0"/>
          <w:sz w:val="20"/>
          <w:szCs w:val="20"/>
          <w:lang w:val="en-US" w:eastAsia="ru-RU"/>
        </w:rPr>
      </w:pPr>
    </w:p>
    <w:p w14:paraId="6A96C221" w14:textId="77777777" w:rsidR="00504BE5" w:rsidRPr="00F01A56" w:rsidRDefault="00504BE5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Style w:val="a7"/>
          <w:rFonts w:ascii="Tahoma" w:hAnsi="Tahoma" w:cs="Tahoma"/>
          <w:sz w:val="20"/>
          <w:szCs w:val="20"/>
          <w:lang w:val="en-US"/>
        </w:rPr>
      </w:pPr>
    </w:p>
    <w:p w14:paraId="34A2684C" w14:textId="77777777" w:rsidR="00504BE5" w:rsidRPr="00F01A56" w:rsidRDefault="00504BE5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Style w:val="a7"/>
          <w:rFonts w:ascii="Tahoma" w:hAnsi="Tahoma" w:cs="Tahoma"/>
          <w:sz w:val="20"/>
          <w:szCs w:val="20"/>
          <w:lang w:val="en-US"/>
        </w:rPr>
      </w:pPr>
    </w:p>
    <w:p w14:paraId="5587EC32" w14:textId="57C6851A" w:rsidR="00845894" w:rsidRPr="00C52DE2" w:rsidRDefault="00604B4A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  <w:r>
        <w:rPr>
          <w:rStyle w:val="a7"/>
          <w:rFonts w:ascii="Tahoma" w:hAnsi="Tahoma" w:cs="Tahoma"/>
          <w:sz w:val="20"/>
          <w:szCs w:val="20"/>
          <w:lang w:val="en-US"/>
        </w:rPr>
        <w:t>Contacts</w:t>
      </w:r>
      <w:r w:rsidR="00845894" w:rsidRPr="00C52DE2">
        <w:rPr>
          <w:rStyle w:val="a7"/>
          <w:rFonts w:ascii="Tahoma" w:hAnsi="Tahoma" w:cs="Tahoma"/>
          <w:sz w:val="20"/>
          <w:szCs w:val="20"/>
        </w:rPr>
        <w:t>:</w:t>
      </w:r>
    </w:p>
    <w:p w14:paraId="5A7D2A08" w14:textId="77777777" w:rsidR="00845894" w:rsidRPr="00C52DE2" w:rsidRDefault="00845894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  <w:r w:rsidRPr="00C52DE2">
        <w:rPr>
          <w:rFonts w:ascii="Tahoma" w:hAnsi="Tahoma" w:cs="Tahoma"/>
          <w:b/>
          <w:sz w:val="20"/>
          <w:szCs w:val="20"/>
          <w:lang w:val="en-US"/>
        </w:rPr>
        <w:t>T</w:t>
      </w:r>
      <w:r w:rsidRPr="00C52DE2">
        <w:rPr>
          <w:rFonts w:ascii="Tahoma" w:hAnsi="Tahoma" w:cs="Tahoma"/>
          <w:sz w:val="20"/>
          <w:szCs w:val="20"/>
        </w:rPr>
        <w:t xml:space="preserve"> +7 (495) 745-8126</w:t>
      </w:r>
    </w:p>
    <w:p w14:paraId="0EC25604" w14:textId="77777777" w:rsidR="00845894" w:rsidRPr="00C52DE2" w:rsidRDefault="00845894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  <w:r w:rsidRPr="00C52DE2">
        <w:rPr>
          <w:rFonts w:ascii="Tahoma" w:hAnsi="Tahoma" w:cs="Tahoma"/>
          <w:b/>
          <w:sz w:val="20"/>
          <w:szCs w:val="20"/>
          <w:lang w:val="en-US"/>
        </w:rPr>
        <w:t>E</w:t>
      </w:r>
      <w:r w:rsidRPr="00C52DE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C52DE2">
          <w:rPr>
            <w:rStyle w:val="a8"/>
            <w:rFonts w:ascii="Tahoma" w:hAnsi="Tahoma" w:cs="Tahoma"/>
            <w:color w:val="auto"/>
            <w:sz w:val="20"/>
            <w:szCs w:val="20"/>
            <w:lang w:val="en-US"/>
          </w:rPr>
          <w:t>mbtech</w:t>
        </w:r>
        <w:r w:rsidRPr="00C52DE2">
          <w:rPr>
            <w:rStyle w:val="a8"/>
            <w:rFonts w:ascii="Tahoma" w:hAnsi="Tahoma" w:cs="Tahoma"/>
            <w:color w:val="auto"/>
            <w:sz w:val="20"/>
            <w:szCs w:val="20"/>
          </w:rPr>
          <w:t>@</w:t>
        </w:r>
        <w:r w:rsidRPr="00C52DE2">
          <w:rPr>
            <w:rStyle w:val="a8"/>
            <w:rFonts w:ascii="Tahoma" w:hAnsi="Tahoma" w:cs="Tahoma"/>
            <w:color w:val="auto"/>
            <w:sz w:val="20"/>
            <w:szCs w:val="20"/>
            <w:lang w:val="en-US"/>
          </w:rPr>
          <w:t>moex</w:t>
        </w:r>
        <w:r w:rsidRPr="00C52DE2">
          <w:rPr>
            <w:rStyle w:val="a8"/>
            <w:rFonts w:ascii="Tahoma" w:hAnsi="Tahoma" w:cs="Tahoma"/>
            <w:color w:val="auto"/>
            <w:sz w:val="20"/>
            <w:szCs w:val="20"/>
          </w:rPr>
          <w:t>.</w:t>
        </w:r>
        <w:r w:rsidRPr="00C52DE2">
          <w:rPr>
            <w:rStyle w:val="a8"/>
            <w:rFonts w:ascii="Tahoma" w:hAnsi="Tahoma" w:cs="Tahoma"/>
            <w:color w:val="auto"/>
            <w:sz w:val="20"/>
            <w:szCs w:val="20"/>
            <w:lang w:val="en-US"/>
          </w:rPr>
          <w:t>com</w:t>
        </w:r>
      </w:hyperlink>
      <w:r w:rsidRPr="00C52DE2">
        <w:rPr>
          <w:rFonts w:ascii="Tahoma" w:hAnsi="Tahoma" w:cs="Tahoma"/>
          <w:sz w:val="20"/>
          <w:szCs w:val="20"/>
        </w:rPr>
        <w:t xml:space="preserve"> </w:t>
      </w:r>
    </w:p>
    <w:p w14:paraId="506A9A83" w14:textId="77777777" w:rsidR="00845894" w:rsidRPr="00C52DE2" w:rsidRDefault="00845894" w:rsidP="00845894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i/>
          <w:sz w:val="20"/>
          <w:szCs w:val="20"/>
        </w:rPr>
      </w:pPr>
    </w:p>
    <w:p w14:paraId="24B6833C" w14:textId="77777777" w:rsidR="001719AF" w:rsidRPr="00C52DE2" w:rsidRDefault="001719AF" w:rsidP="00DC4CC1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</w:p>
    <w:p w14:paraId="08D56101" w14:textId="77777777" w:rsidR="00832873" w:rsidRPr="00C52DE2" w:rsidRDefault="00832873" w:rsidP="00832873">
      <w:pPr>
        <w:spacing w:after="0" w:line="240" w:lineRule="auto"/>
        <w:jc w:val="both"/>
        <w:rPr>
          <w:rFonts w:ascii="Tahoma" w:eastAsia="Tahoma" w:hAnsi="Tahoma" w:cs="Tahoma"/>
          <w:bCs/>
          <w:kern w:val="24"/>
          <w:sz w:val="18"/>
          <w:szCs w:val="18"/>
          <w:lang w:eastAsia="ru-RU"/>
        </w:rPr>
      </w:pPr>
    </w:p>
    <w:p w14:paraId="7CF70C6C" w14:textId="77777777" w:rsidR="00832873" w:rsidRPr="00C52DE2" w:rsidRDefault="00832873" w:rsidP="00832873">
      <w:pPr>
        <w:spacing w:after="0" w:line="240" w:lineRule="auto"/>
        <w:jc w:val="both"/>
        <w:rPr>
          <w:rFonts w:ascii="Tahoma" w:eastAsia="Tahoma" w:hAnsi="Tahoma" w:cs="Tahoma"/>
          <w:bCs/>
          <w:kern w:val="24"/>
          <w:sz w:val="18"/>
          <w:szCs w:val="18"/>
          <w:lang w:eastAsia="ru-RU"/>
        </w:rPr>
      </w:pPr>
    </w:p>
    <w:p w14:paraId="2CA479C1" w14:textId="77777777" w:rsidR="001719AF" w:rsidRPr="00C52DE2" w:rsidRDefault="001719AF" w:rsidP="00DC4CC1">
      <w:pPr>
        <w:pStyle w:val="a4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719AF" w:rsidRPr="00C52DE2" w:rsidSect="00860513">
      <w:foot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CB7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6919" w14:textId="77777777" w:rsidR="002917B1" w:rsidRDefault="002917B1" w:rsidP="00C622CF">
      <w:pPr>
        <w:spacing w:after="0" w:line="240" w:lineRule="auto"/>
      </w:pPr>
      <w:r>
        <w:separator/>
      </w:r>
    </w:p>
  </w:endnote>
  <w:endnote w:type="continuationSeparator" w:id="0">
    <w:p w14:paraId="4BE5F8A6" w14:textId="77777777" w:rsidR="002917B1" w:rsidRDefault="002917B1" w:rsidP="00C6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031428"/>
      <w:docPartObj>
        <w:docPartGallery w:val="Page Numbers (Bottom of Page)"/>
        <w:docPartUnique/>
      </w:docPartObj>
    </w:sdtPr>
    <w:sdtEndPr/>
    <w:sdtContent>
      <w:p w14:paraId="240F09E5" w14:textId="19B58F39" w:rsidR="00C622CF" w:rsidRDefault="00C622C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7E">
          <w:rPr>
            <w:noProof/>
          </w:rPr>
          <w:t>4</w:t>
        </w:r>
        <w:r>
          <w:fldChar w:fldCharType="end"/>
        </w:r>
      </w:p>
    </w:sdtContent>
  </w:sdt>
  <w:p w14:paraId="3BFBE16E" w14:textId="77777777" w:rsidR="00C622CF" w:rsidRDefault="00C622C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B80A" w14:textId="77777777" w:rsidR="002917B1" w:rsidRDefault="002917B1" w:rsidP="00C622CF">
      <w:pPr>
        <w:spacing w:after="0" w:line="240" w:lineRule="auto"/>
      </w:pPr>
      <w:r>
        <w:separator/>
      </w:r>
    </w:p>
  </w:footnote>
  <w:footnote w:type="continuationSeparator" w:id="0">
    <w:p w14:paraId="22E5B63A" w14:textId="77777777" w:rsidR="002917B1" w:rsidRDefault="002917B1" w:rsidP="00C6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255017"/>
    <w:multiLevelType w:val="hybridMultilevel"/>
    <w:tmpl w:val="976EC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0F7"/>
    <w:multiLevelType w:val="hybridMultilevel"/>
    <w:tmpl w:val="05E0E0F0"/>
    <w:lvl w:ilvl="0" w:tplc="1B30557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1D02170A"/>
    <w:multiLevelType w:val="multilevel"/>
    <w:tmpl w:val="3F946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52C4B"/>
    <w:multiLevelType w:val="hybridMultilevel"/>
    <w:tmpl w:val="8B4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7AF0"/>
    <w:multiLevelType w:val="hybridMultilevel"/>
    <w:tmpl w:val="C26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6B6"/>
    <w:multiLevelType w:val="hybridMultilevel"/>
    <w:tmpl w:val="E5B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299E"/>
    <w:multiLevelType w:val="hybridMultilevel"/>
    <w:tmpl w:val="890C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308B5"/>
    <w:multiLevelType w:val="hybridMultilevel"/>
    <w:tmpl w:val="D4C28D96"/>
    <w:lvl w:ilvl="0" w:tplc="47367898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03931D5"/>
    <w:multiLevelType w:val="hybridMultilevel"/>
    <w:tmpl w:val="CC4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09AB"/>
    <w:multiLevelType w:val="hybridMultilevel"/>
    <w:tmpl w:val="1BB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4B6"/>
    <w:multiLevelType w:val="hybridMultilevel"/>
    <w:tmpl w:val="70E6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91A99"/>
    <w:multiLevelType w:val="hybridMultilevel"/>
    <w:tmpl w:val="1E064C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3129C"/>
    <w:multiLevelType w:val="hybridMultilevel"/>
    <w:tmpl w:val="D8E8C9BA"/>
    <w:lvl w:ilvl="0" w:tplc="87EA8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17F55"/>
    <w:multiLevelType w:val="hybridMultilevel"/>
    <w:tmpl w:val="66506CC0"/>
    <w:lvl w:ilvl="0" w:tplc="9088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A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24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E7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1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2F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6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AD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22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01805"/>
    <w:multiLevelType w:val="hybridMultilevel"/>
    <w:tmpl w:val="8D48A83C"/>
    <w:lvl w:ilvl="0" w:tplc="9B64F0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6DA1"/>
    <w:multiLevelType w:val="hybridMultilevel"/>
    <w:tmpl w:val="089CC31E"/>
    <w:lvl w:ilvl="0" w:tplc="EBD4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0D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C6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D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AF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2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A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6A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05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B4A09"/>
    <w:multiLevelType w:val="hybridMultilevel"/>
    <w:tmpl w:val="4F7CC9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04D78"/>
    <w:multiLevelType w:val="hybridMultilevel"/>
    <w:tmpl w:val="05E0E0F0"/>
    <w:lvl w:ilvl="0" w:tplc="1B30557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0">
    <w:nsid w:val="58667F8A"/>
    <w:multiLevelType w:val="hybridMultilevel"/>
    <w:tmpl w:val="4F7CC9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0FE3"/>
    <w:multiLevelType w:val="hybridMultilevel"/>
    <w:tmpl w:val="C20E1594"/>
    <w:lvl w:ilvl="0" w:tplc="86448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31403"/>
    <w:multiLevelType w:val="hybridMultilevel"/>
    <w:tmpl w:val="BD3A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0"/>
  </w:num>
  <w:num w:numId="12">
    <w:abstractNumId w:val="20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  <w:num w:numId="18">
    <w:abstractNumId w:val="21"/>
  </w:num>
  <w:num w:numId="19">
    <w:abstractNumId w:val="22"/>
  </w:num>
  <w:num w:numId="20">
    <w:abstractNumId w:val="14"/>
  </w:num>
  <w:num w:numId="21">
    <w:abstractNumId w:val="18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юнина Елена Владимировина">
    <w15:presenceInfo w15:providerId="AD" w15:userId="S-1-5-21-2110615740-823941886-1632782223-2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F6"/>
    <w:rsid w:val="00014DFA"/>
    <w:rsid w:val="00016453"/>
    <w:rsid w:val="000171A7"/>
    <w:rsid w:val="0002481C"/>
    <w:rsid w:val="00031D8E"/>
    <w:rsid w:val="0006288D"/>
    <w:rsid w:val="0006288E"/>
    <w:rsid w:val="00064757"/>
    <w:rsid w:val="00076B2B"/>
    <w:rsid w:val="000842DB"/>
    <w:rsid w:val="000A03C0"/>
    <w:rsid w:val="000A2D80"/>
    <w:rsid w:val="000B74B3"/>
    <w:rsid w:val="000D29A8"/>
    <w:rsid w:val="000E3A56"/>
    <w:rsid w:val="00102C08"/>
    <w:rsid w:val="001132B0"/>
    <w:rsid w:val="00113BFD"/>
    <w:rsid w:val="00146003"/>
    <w:rsid w:val="0015346D"/>
    <w:rsid w:val="001702A9"/>
    <w:rsid w:val="001719AF"/>
    <w:rsid w:val="0018048E"/>
    <w:rsid w:val="00183961"/>
    <w:rsid w:val="00184ED8"/>
    <w:rsid w:val="00185A53"/>
    <w:rsid w:val="00190BDB"/>
    <w:rsid w:val="001924F1"/>
    <w:rsid w:val="0019585B"/>
    <w:rsid w:val="001D07CA"/>
    <w:rsid w:val="001E79D6"/>
    <w:rsid w:val="001F365A"/>
    <w:rsid w:val="001F3ED8"/>
    <w:rsid w:val="00235B94"/>
    <w:rsid w:val="002436A8"/>
    <w:rsid w:val="002610AA"/>
    <w:rsid w:val="00280B70"/>
    <w:rsid w:val="002844EE"/>
    <w:rsid w:val="0029149A"/>
    <w:rsid w:val="002917B1"/>
    <w:rsid w:val="002A2081"/>
    <w:rsid w:val="002B3B35"/>
    <w:rsid w:val="002D0510"/>
    <w:rsid w:val="002D0F9D"/>
    <w:rsid w:val="002D2AA6"/>
    <w:rsid w:val="002D55FF"/>
    <w:rsid w:val="002E5967"/>
    <w:rsid w:val="00321B20"/>
    <w:rsid w:val="0034278D"/>
    <w:rsid w:val="00363A0E"/>
    <w:rsid w:val="003651A9"/>
    <w:rsid w:val="00370C21"/>
    <w:rsid w:val="00371EED"/>
    <w:rsid w:val="00373AF3"/>
    <w:rsid w:val="00382B17"/>
    <w:rsid w:val="003C6A87"/>
    <w:rsid w:val="003E3160"/>
    <w:rsid w:val="003E56A9"/>
    <w:rsid w:val="003F50E0"/>
    <w:rsid w:val="003F6C45"/>
    <w:rsid w:val="0041507E"/>
    <w:rsid w:val="00440F76"/>
    <w:rsid w:val="00445F58"/>
    <w:rsid w:val="004476F5"/>
    <w:rsid w:val="004918BD"/>
    <w:rsid w:val="004A7627"/>
    <w:rsid w:val="004B0AC9"/>
    <w:rsid w:val="004C522D"/>
    <w:rsid w:val="004D57E9"/>
    <w:rsid w:val="004E3D11"/>
    <w:rsid w:val="005035DE"/>
    <w:rsid w:val="00504BE5"/>
    <w:rsid w:val="00514B29"/>
    <w:rsid w:val="005233E4"/>
    <w:rsid w:val="00571F01"/>
    <w:rsid w:val="00586C5A"/>
    <w:rsid w:val="00590EA4"/>
    <w:rsid w:val="00594980"/>
    <w:rsid w:val="005C1672"/>
    <w:rsid w:val="00604B4A"/>
    <w:rsid w:val="00605F88"/>
    <w:rsid w:val="0061088D"/>
    <w:rsid w:val="00613B99"/>
    <w:rsid w:val="0061649A"/>
    <w:rsid w:val="006179EE"/>
    <w:rsid w:val="00621A59"/>
    <w:rsid w:val="006330DA"/>
    <w:rsid w:val="006343E2"/>
    <w:rsid w:val="00641ACC"/>
    <w:rsid w:val="0067511D"/>
    <w:rsid w:val="0067664B"/>
    <w:rsid w:val="00680242"/>
    <w:rsid w:val="006A4B83"/>
    <w:rsid w:val="006D7DCD"/>
    <w:rsid w:val="006F6D30"/>
    <w:rsid w:val="006F7BE0"/>
    <w:rsid w:val="0070044D"/>
    <w:rsid w:val="00720B4B"/>
    <w:rsid w:val="007451C8"/>
    <w:rsid w:val="007700E1"/>
    <w:rsid w:val="00770394"/>
    <w:rsid w:val="00772296"/>
    <w:rsid w:val="0077242F"/>
    <w:rsid w:val="007724A6"/>
    <w:rsid w:val="0078354D"/>
    <w:rsid w:val="007A0C17"/>
    <w:rsid w:val="007B0F05"/>
    <w:rsid w:val="007C1373"/>
    <w:rsid w:val="007D2C8E"/>
    <w:rsid w:val="007E18A5"/>
    <w:rsid w:val="007E1E5C"/>
    <w:rsid w:val="007F3B0E"/>
    <w:rsid w:val="00800794"/>
    <w:rsid w:val="00802995"/>
    <w:rsid w:val="0082488F"/>
    <w:rsid w:val="00832873"/>
    <w:rsid w:val="008366B5"/>
    <w:rsid w:val="0084018E"/>
    <w:rsid w:val="0084234E"/>
    <w:rsid w:val="00845894"/>
    <w:rsid w:val="0085614B"/>
    <w:rsid w:val="00860513"/>
    <w:rsid w:val="00870874"/>
    <w:rsid w:val="00883EE3"/>
    <w:rsid w:val="00883F2C"/>
    <w:rsid w:val="008848F5"/>
    <w:rsid w:val="008D3116"/>
    <w:rsid w:val="008D62AD"/>
    <w:rsid w:val="008F29C1"/>
    <w:rsid w:val="008F7E20"/>
    <w:rsid w:val="0091673E"/>
    <w:rsid w:val="00930FA3"/>
    <w:rsid w:val="00943240"/>
    <w:rsid w:val="00974D4D"/>
    <w:rsid w:val="00983029"/>
    <w:rsid w:val="009A3469"/>
    <w:rsid w:val="009A5EA9"/>
    <w:rsid w:val="009C16EE"/>
    <w:rsid w:val="009C5CC3"/>
    <w:rsid w:val="009E514A"/>
    <w:rsid w:val="009F7BE6"/>
    <w:rsid w:val="00A03708"/>
    <w:rsid w:val="00A04028"/>
    <w:rsid w:val="00A13EA4"/>
    <w:rsid w:val="00A416C0"/>
    <w:rsid w:val="00A45F15"/>
    <w:rsid w:val="00A73F44"/>
    <w:rsid w:val="00A86E69"/>
    <w:rsid w:val="00A9046D"/>
    <w:rsid w:val="00A9546E"/>
    <w:rsid w:val="00AB0003"/>
    <w:rsid w:val="00AB247E"/>
    <w:rsid w:val="00AC53F6"/>
    <w:rsid w:val="00AF2428"/>
    <w:rsid w:val="00AF551C"/>
    <w:rsid w:val="00B17441"/>
    <w:rsid w:val="00B24062"/>
    <w:rsid w:val="00B461D6"/>
    <w:rsid w:val="00B47240"/>
    <w:rsid w:val="00B66CEF"/>
    <w:rsid w:val="00B6748E"/>
    <w:rsid w:val="00B81579"/>
    <w:rsid w:val="00B87346"/>
    <w:rsid w:val="00B92841"/>
    <w:rsid w:val="00BA4032"/>
    <w:rsid w:val="00BA5567"/>
    <w:rsid w:val="00BA556D"/>
    <w:rsid w:val="00BA6942"/>
    <w:rsid w:val="00BB5A51"/>
    <w:rsid w:val="00BC0DA9"/>
    <w:rsid w:val="00BE06FC"/>
    <w:rsid w:val="00C05AAB"/>
    <w:rsid w:val="00C13D44"/>
    <w:rsid w:val="00C17BD0"/>
    <w:rsid w:val="00C22E33"/>
    <w:rsid w:val="00C317C9"/>
    <w:rsid w:val="00C41E08"/>
    <w:rsid w:val="00C46229"/>
    <w:rsid w:val="00C5261E"/>
    <w:rsid w:val="00C52DE2"/>
    <w:rsid w:val="00C54936"/>
    <w:rsid w:val="00C5759B"/>
    <w:rsid w:val="00C622CF"/>
    <w:rsid w:val="00C74EEF"/>
    <w:rsid w:val="00C85508"/>
    <w:rsid w:val="00CD4A57"/>
    <w:rsid w:val="00CF3D3A"/>
    <w:rsid w:val="00D01C65"/>
    <w:rsid w:val="00D231BF"/>
    <w:rsid w:val="00D371A3"/>
    <w:rsid w:val="00D54D9E"/>
    <w:rsid w:val="00D54FC3"/>
    <w:rsid w:val="00D558A6"/>
    <w:rsid w:val="00D57E46"/>
    <w:rsid w:val="00D755DC"/>
    <w:rsid w:val="00D825C9"/>
    <w:rsid w:val="00DB2CEA"/>
    <w:rsid w:val="00DC4CC1"/>
    <w:rsid w:val="00DF39BC"/>
    <w:rsid w:val="00E02900"/>
    <w:rsid w:val="00E06403"/>
    <w:rsid w:val="00E07091"/>
    <w:rsid w:val="00E128C6"/>
    <w:rsid w:val="00E22A6E"/>
    <w:rsid w:val="00E46698"/>
    <w:rsid w:val="00E93AF6"/>
    <w:rsid w:val="00EB0122"/>
    <w:rsid w:val="00EB12FD"/>
    <w:rsid w:val="00EC3C4C"/>
    <w:rsid w:val="00ED31F0"/>
    <w:rsid w:val="00ED3B18"/>
    <w:rsid w:val="00ED5DD4"/>
    <w:rsid w:val="00F01A56"/>
    <w:rsid w:val="00F01FCC"/>
    <w:rsid w:val="00F17A37"/>
    <w:rsid w:val="00F33BEB"/>
    <w:rsid w:val="00F457B0"/>
    <w:rsid w:val="00F562BE"/>
    <w:rsid w:val="00F56A08"/>
    <w:rsid w:val="00F70DF2"/>
    <w:rsid w:val="00F9632B"/>
    <w:rsid w:val="00F97456"/>
    <w:rsid w:val="00FB3A74"/>
    <w:rsid w:val="00FC511A"/>
    <w:rsid w:val="00FD4268"/>
    <w:rsid w:val="00FD622F"/>
    <w:rsid w:val="00FD6F37"/>
    <w:rsid w:val="00FE233D"/>
    <w:rsid w:val="00FE3009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35B94"/>
    <w:rPr>
      <w:vertAlign w:val="superscript"/>
    </w:rPr>
  </w:style>
  <w:style w:type="table" w:styleId="a6">
    <w:name w:val="Table Grid"/>
    <w:basedOn w:val="a1"/>
    <w:uiPriority w:val="59"/>
    <w:rsid w:val="001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E514A"/>
    <w:rPr>
      <w:b/>
      <w:bCs/>
    </w:rPr>
  </w:style>
  <w:style w:type="character" w:styleId="a8">
    <w:name w:val="Hyperlink"/>
    <w:basedOn w:val="a0"/>
    <w:uiPriority w:val="99"/>
    <w:unhideWhenUsed/>
    <w:rsid w:val="009E51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1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514A"/>
  </w:style>
  <w:style w:type="character" w:customStyle="1" w:styleId="a20">
    <w:name w:val="a2"/>
    <w:basedOn w:val="a0"/>
    <w:rsid w:val="0085614B"/>
  </w:style>
  <w:style w:type="paragraph" w:customStyle="1" w:styleId="Default">
    <w:name w:val="Default"/>
    <w:rsid w:val="008F7E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23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23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233D"/>
    <w:rPr>
      <w:sz w:val="20"/>
      <w:szCs w:val="20"/>
    </w:rPr>
  </w:style>
  <w:style w:type="paragraph" w:styleId="ae">
    <w:name w:val="footnote text"/>
    <w:basedOn w:val="a"/>
    <w:link w:val="af"/>
    <w:rsid w:val="0093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30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D4A57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D4A57"/>
    <w:rPr>
      <w:b/>
      <w:bCs/>
      <w:sz w:val="20"/>
      <w:szCs w:val="20"/>
    </w:rPr>
  </w:style>
  <w:style w:type="paragraph" w:customStyle="1" w:styleId="af2">
    <w:name w:val="Заголовок"/>
    <w:basedOn w:val="a"/>
    <w:next w:val="af3"/>
    <w:rsid w:val="00102C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102C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2C08"/>
  </w:style>
  <w:style w:type="paragraph" w:styleId="af5">
    <w:name w:val="header"/>
    <w:basedOn w:val="a"/>
    <w:link w:val="af6"/>
    <w:uiPriority w:val="99"/>
    <w:unhideWhenUsed/>
    <w:rsid w:val="00C6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622CF"/>
  </w:style>
  <w:style w:type="paragraph" w:styleId="af7">
    <w:name w:val="footer"/>
    <w:basedOn w:val="a"/>
    <w:link w:val="af8"/>
    <w:uiPriority w:val="99"/>
    <w:unhideWhenUsed/>
    <w:rsid w:val="00C6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6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35B94"/>
    <w:rPr>
      <w:vertAlign w:val="superscript"/>
    </w:rPr>
  </w:style>
  <w:style w:type="table" w:styleId="a6">
    <w:name w:val="Table Grid"/>
    <w:basedOn w:val="a1"/>
    <w:uiPriority w:val="59"/>
    <w:rsid w:val="001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E514A"/>
    <w:rPr>
      <w:b/>
      <w:bCs/>
    </w:rPr>
  </w:style>
  <w:style w:type="character" w:styleId="a8">
    <w:name w:val="Hyperlink"/>
    <w:basedOn w:val="a0"/>
    <w:uiPriority w:val="99"/>
    <w:unhideWhenUsed/>
    <w:rsid w:val="009E51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1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514A"/>
  </w:style>
  <w:style w:type="character" w:customStyle="1" w:styleId="a20">
    <w:name w:val="a2"/>
    <w:basedOn w:val="a0"/>
    <w:rsid w:val="0085614B"/>
  </w:style>
  <w:style w:type="paragraph" w:customStyle="1" w:styleId="Default">
    <w:name w:val="Default"/>
    <w:rsid w:val="008F7E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23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23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233D"/>
    <w:rPr>
      <w:sz w:val="20"/>
      <w:szCs w:val="20"/>
    </w:rPr>
  </w:style>
  <w:style w:type="paragraph" w:styleId="ae">
    <w:name w:val="footnote text"/>
    <w:basedOn w:val="a"/>
    <w:link w:val="af"/>
    <w:rsid w:val="0093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30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D4A57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D4A57"/>
    <w:rPr>
      <w:b/>
      <w:bCs/>
      <w:sz w:val="20"/>
      <w:szCs w:val="20"/>
    </w:rPr>
  </w:style>
  <w:style w:type="paragraph" w:customStyle="1" w:styleId="af2">
    <w:name w:val="Заголовок"/>
    <w:basedOn w:val="a"/>
    <w:next w:val="af3"/>
    <w:rsid w:val="00102C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102C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2C08"/>
  </w:style>
  <w:style w:type="paragraph" w:styleId="af5">
    <w:name w:val="header"/>
    <w:basedOn w:val="a"/>
    <w:link w:val="af6"/>
    <w:uiPriority w:val="99"/>
    <w:unhideWhenUsed/>
    <w:rsid w:val="00C6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622CF"/>
  </w:style>
  <w:style w:type="paragraph" w:styleId="af7">
    <w:name w:val="footer"/>
    <w:basedOn w:val="a"/>
    <w:link w:val="af8"/>
    <w:uiPriority w:val="99"/>
    <w:unhideWhenUsed/>
    <w:rsid w:val="00C6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6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tech@moex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D1B8-267A-414B-B42B-FD130EB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Vladimir.Nikolaev@moex.com</dc:creator>
  <cp:lastModifiedBy>Зинаида Штольц</cp:lastModifiedBy>
  <cp:revision>24</cp:revision>
  <cp:lastPrinted>2016-05-18T15:04:00Z</cp:lastPrinted>
  <dcterms:created xsi:type="dcterms:W3CDTF">2016-04-21T14:40:00Z</dcterms:created>
  <dcterms:modified xsi:type="dcterms:W3CDTF">2016-07-20T10:24:00Z</dcterms:modified>
</cp:coreProperties>
</file>