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CE" w:rsidRDefault="007F43CE">
      <w:pPr>
        <w:widowControl w:val="0"/>
        <w:autoSpaceDE w:val="0"/>
        <w:autoSpaceDN w:val="0"/>
        <w:adjustRightInd w:val="0"/>
        <w:spacing w:after="0" w:line="240" w:lineRule="auto"/>
        <w:jc w:val="both"/>
        <w:outlineLvl w:val="0"/>
        <w:rPr>
          <w:rFonts w:ascii="Calibri" w:hAnsi="Calibri" w:cs="Calibri"/>
        </w:rPr>
      </w:pPr>
    </w:p>
    <w:p w:rsidR="007F43CE" w:rsidRDefault="007F43CE">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22 марта 2010 г. N 16675</w:t>
      </w:r>
    </w:p>
    <w:p w:rsidR="007F43CE" w:rsidRDefault="007F43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ФИНАНСОВЫМ РЫНКАМ</w:t>
      </w:r>
    </w:p>
    <w:p w:rsidR="007F43CE" w:rsidRDefault="007F43CE">
      <w:pPr>
        <w:widowControl w:val="0"/>
        <w:autoSpaceDE w:val="0"/>
        <w:autoSpaceDN w:val="0"/>
        <w:adjustRightInd w:val="0"/>
        <w:spacing w:after="0" w:line="240" w:lineRule="auto"/>
        <w:jc w:val="center"/>
        <w:rPr>
          <w:rFonts w:ascii="Calibri" w:hAnsi="Calibri" w:cs="Calibri"/>
          <w:b/>
          <w:bCs/>
        </w:rPr>
      </w:pP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февраля 2010 г. N 10-5/</w:t>
      </w:r>
      <w:proofErr w:type="spellStart"/>
      <w:r>
        <w:rPr>
          <w:rFonts w:ascii="Calibri" w:hAnsi="Calibri" w:cs="Calibri"/>
          <w:b/>
          <w:bCs/>
        </w:rPr>
        <w:t>пз-н</w:t>
      </w:r>
      <w:proofErr w:type="spellEnd"/>
    </w:p>
    <w:p w:rsidR="007F43CE" w:rsidRDefault="007F43CE">
      <w:pPr>
        <w:widowControl w:val="0"/>
        <w:autoSpaceDE w:val="0"/>
        <w:autoSpaceDN w:val="0"/>
        <w:adjustRightInd w:val="0"/>
        <w:spacing w:after="0" w:line="240" w:lineRule="auto"/>
        <w:jc w:val="center"/>
        <w:rPr>
          <w:rFonts w:ascii="Calibri" w:hAnsi="Calibri" w:cs="Calibri"/>
          <w:b/>
          <w:bCs/>
        </w:rPr>
      </w:pP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СОСТАВЕ И ПОРЯДКЕ РАСЧЕТА ПОКАЗАТЕЛЕЙ, ХАРАКТЕРИЗУЮЩИХ</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ЛИКВИДНОСТИ (ПРЕДПОЛАГАЕМОЙ ЛИКВИДНОСТИ) И УРОВЕНЬ</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ИНВЕСТИЦИОННОГО РИСКА ЦЕННЫХ БУМАГ, НА ОСНОВАНИИ КОТОРЫХ</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ФЕДЕРАЛЬНЫМ ОРГАНОМ ИСПОЛНИТЕЛЬНОЙ ВЛАСТИ ПО РЫНКУ </w:t>
      </w:r>
      <w:proofErr w:type="gramStart"/>
      <w:r>
        <w:rPr>
          <w:rFonts w:ascii="Calibri" w:hAnsi="Calibri" w:cs="Calibri"/>
          <w:b/>
          <w:bCs/>
        </w:rPr>
        <w:t>ЦЕННЫХ</w:t>
      </w:r>
      <w:proofErr w:type="gramEnd"/>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БУМАГ ПРИНИМАЕТСЯ РЕШЕНИЕ О ДОПУСКЕ ЦЕННЫХ БУМАГ</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ЭМИТЕНТОВ К ПУБЛИЧНОМУ РАЗМЕЩЕНИЮ</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ПУБЛИЧНОМУ ОБРАЩЕНИЮ В РОССИЙСКОЙ ФЕДЕРАЦИИ</w:t>
      </w:r>
    </w:p>
    <w:p w:rsidR="007F43CE" w:rsidRDefault="007F43CE">
      <w:pPr>
        <w:widowControl w:val="0"/>
        <w:autoSpaceDE w:val="0"/>
        <w:autoSpaceDN w:val="0"/>
        <w:adjustRightInd w:val="0"/>
        <w:spacing w:after="0" w:line="240" w:lineRule="auto"/>
        <w:jc w:val="center"/>
        <w:rPr>
          <w:rFonts w:ascii="Calibri" w:hAnsi="Calibri" w:cs="Calibri"/>
        </w:rPr>
      </w:pPr>
    </w:p>
    <w:p w:rsidR="007F43CE" w:rsidRDefault="007F43C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ФСФР России от 26.04.2011 </w:t>
      </w:r>
      <w:hyperlink r:id="rId4" w:history="1">
        <w:r>
          <w:rPr>
            <w:rFonts w:ascii="Calibri" w:hAnsi="Calibri" w:cs="Calibri"/>
            <w:color w:val="0000FF"/>
          </w:rPr>
          <w:t>N 11-14/</w:t>
        </w:r>
        <w:proofErr w:type="spellStart"/>
        <w:r>
          <w:rPr>
            <w:rFonts w:ascii="Calibri" w:hAnsi="Calibri" w:cs="Calibri"/>
            <w:color w:val="0000FF"/>
          </w:rPr>
          <w:t>пз-н</w:t>
        </w:r>
        <w:proofErr w:type="spellEnd"/>
      </w:hyperlink>
      <w:r>
        <w:rPr>
          <w:rFonts w:ascii="Calibri" w:hAnsi="Calibri" w:cs="Calibri"/>
        </w:rPr>
        <w:t>,</w:t>
      </w:r>
      <w:proofErr w:type="gramEnd"/>
    </w:p>
    <w:p w:rsidR="007F43CE" w:rsidRDefault="007F4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26.04.2012 </w:t>
      </w:r>
      <w:hyperlink r:id="rId5" w:history="1">
        <w:r>
          <w:rPr>
            <w:rFonts w:ascii="Calibri" w:hAnsi="Calibri" w:cs="Calibri"/>
            <w:color w:val="0000FF"/>
          </w:rPr>
          <w:t>N 12-29/</w:t>
        </w:r>
        <w:proofErr w:type="spellStart"/>
        <w:r>
          <w:rPr>
            <w:rFonts w:ascii="Calibri" w:hAnsi="Calibri" w:cs="Calibri"/>
            <w:color w:val="0000FF"/>
          </w:rPr>
          <w:t>пз-н</w:t>
        </w:r>
        <w:proofErr w:type="spellEnd"/>
      </w:hyperlink>
      <w:r>
        <w:rPr>
          <w:rFonts w:ascii="Calibri" w:hAnsi="Calibri" w:cs="Calibri"/>
        </w:rPr>
        <w:t xml:space="preserve">, от 30.07.2013 </w:t>
      </w:r>
      <w:hyperlink r:id="rId6" w:history="1">
        <w:r>
          <w:rPr>
            <w:rFonts w:ascii="Calibri" w:hAnsi="Calibri" w:cs="Calibri"/>
            <w:color w:val="0000FF"/>
          </w:rPr>
          <w:t>N 13-63/</w:t>
        </w:r>
        <w:proofErr w:type="spellStart"/>
        <w:r>
          <w:rPr>
            <w:rFonts w:ascii="Calibri" w:hAnsi="Calibri" w:cs="Calibri"/>
            <w:color w:val="0000FF"/>
          </w:rPr>
          <w:t>пз-н</w:t>
        </w:r>
        <w:proofErr w:type="spellEnd"/>
      </w:hyperlink>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пунктами 3</w:t>
        </w:r>
      </w:hyperlink>
      <w:r>
        <w:rPr>
          <w:rFonts w:ascii="Calibri" w:hAnsi="Calibri" w:cs="Calibri"/>
        </w:rPr>
        <w:t xml:space="preserve">, </w:t>
      </w:r>
      <w:hyperlink r:id="rId8" w:history="1">
        <w:r>
          <w:rPr>
            <w:rFonts w:ascii="Calibri" w:hAnsi="Calibri" w:cs="Calibri"/>
            <w:color w:val="0000FF"/>
          </w:rPr>
          <w:t>4</w:t>
        </w:r>
      </w:hyperlink>
      <w:r>
        <w:rPr>
          <w:rFonts w:ascii="Calibri" w:hAnsi="Calibri" w:cs="Calibri"/>
        </w:rPr>
        <w:t xml:space="preserve"> и </w:t>
      </w:r>
      <w:hyperlink r:id="rId9" w:history="1">
        <w:r>
          <w:rPr>
            <w:rFonts w:ascii="Calibri" w:hAnsi="Calibri" w:cs="Calibri"/>
            <w:color w:val="0000FF"/>
          </w:rPr>
          <w:t>13 статьи 42</w:t>
        </w:r>
      </w:hyperlink>
      <w:r>
        <w:rPr>
          <w:rFonts w:ascii="Calibri" w:hAnsi="Calibri" w:cs="Calibri"/>
        </w:rPr>
        <w:t xml:space="preserve">, </w:t>
      </w:r>
      <w:hyperlink r:id="rId10" w:history="1">
        <w:r>
          <w:rPr>
            <w:rFonts w:ascii="Calibri" w:hAnsi="Calibri" w:cs="Calibri"/>
            <w:color w:val="0000FF"/>
          </w:rPr>
          <w:t>пунктам 7</w:t>
        </w:r>
      </w:hyperlink>
      <w:r>
        <w:rPr>
          <w:rFonts w:ascii="Calibri" w:hAnsi="Calibri" w:cs="Calibri"/>
        </w:rPr>
        <w:t xml:space="preserve"> и </w:t>
      </w:r>
      <w:hyperlink r:id="rId11" w:history="1">
        <w:r>
          <w:rPr>
            <w:rFonts w:ascii="Calibri" w:hAnsi="Calibri" w:cs="Calibri"/>
            <w:color w:val="0000FF"/>
          </w:rPr>
          <w:t>21 статьи 51.1</w:t>
        </w:r>
      </w:hyperlink>
      <w:r>
        <w:rPr>
          <w:rFonts w:ascii="Calibri" w:hAnsi="Calibri" w:cs="Calibri"/>
        </w:rPr>
        <w:t xml:space="preserve"> Федерального закона от 22 апреля 1996 г. N 39-ФЗ "О рынке ценных бумаг" (Собрание законодательства Российской Федерации, 1996, N 17, ст. 1918; 2001, N 33, ст. 3424; 2002, N 52, ст. 5141; 2006, N 1, ст. 5;</w:t>
      </w:r>
      <w:proofErr w:type="gramEnd"/>
      <w:r>
        <w:rPr>
          <w:rFonts w:ascii="Calibri" w:hAnsi="Calibri" w:cs="Calibri"/>
        </w:rPr>
        <w:t xml:space="preserve"> </w:t>
      </w:r>
      <w:proofErr w:type="gramStart"/>
      <w:r>
        <w:rPr>
          <w:rFonts w:ascii="Calibri" w:hAnsi="Calibri" w:cs="Calibri"/>
        </w:rPr>
        <w:t xml:space="preserve">N 17, ст. 1780; N 31, ст. 3437; 2009, N 18, ст. 2154) и </w:t>
      </w:r>
      <w:hyperlink r:id="rId12" w:history="1">
        <w:r>
          <w:rPr>
            <w:rFonts w:ascii="Calibri" w:hAnsi="Calibri" w:cs="Calibri"/>
            <w:color w:val="0000FF"/>
          </w:rPr>
          <w:t>Положением</w:t>
        </w:r>
      </w:hyperlink>
      <w:r>
        <w:rPr>
          <w:rFonts w:ascii="Calibri" w:hAnsi="Calibri" w:cs="Calibri"/>
        </w:rPr>
        <w:t xml:space="preserve"> о Федеральной службе по финансовым рынкам, утвержденным Постановлением Правительства Российской Федерации от 30 июня 2004 г. N 317 (Собрание законодательства Российской Федерации, 2004, N 27, ст. 2780; 2005, N 33, ст. 3429; 2006, N 13, ст. 1400;</w:t>
      </w:r>
      <w:proofErr w:type="gramEnd"/>
      <w:r>
        <w:rPr>
          <w:rFonts w:ascii="Calibri" w:hAnsi="Calibri" w:cs="Calibri"/>
        </w:rPr>
        <w:t xml:space="preserve"> </w:t>
      </w:r>
      <w:proofErr w:type="gramStart"/>
      <w:r>
        <w:rPr>
          <w:rFonts w:ascii="Calibri" w:hAnsi="Calibri" w:cs="Calibri"/>
        </w:rPr>
        <w:t>N 52, ст. 5587; 2007, N 12, ст. 1417; 2008, N 19, ст. 2192; N 46, ст. 5337; 2009, N 3, ст. 378; N 6, ст. 738), приказываю:</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прилагаемое </w:t>
      </w:r>
      <w:hyperlink w:anchor="Par62" w:history="1">
        <w:r>
          <w:rPr>
            <w:rFonts w:ascii="Calibri" w:hAnsi="Calibri" w:cs="Calibri"/>
            <w:color w:val="0000FF"/>
          </w:rPr>
          <w:t>Положение</w:t>
        </w:r>
      </w:hyperlink>
      <w:r>
        <w:rPr>
          <w:rFonts w:ascii="Calibri" w:hAnsi="Calibri" w:cs="Calibri"/>
        </w:rPr>
        <w:t xml:space="preserve"> о составе и порядке расчета показателей, характеризующих уровень ликвидности (предполагаемой ликвидности) и уровень инвестиционного риска ценных бумаг, на основании которых федеральным органом исполнительной власти по рынку ценных бумаг принимается решение о допуске ценных бумаг иностранных эмитентов к публичному размещению и (или) публичному обращению в Российской Федерации.</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ценные бумаги иностранных инвестиционных фондов (инвестиционных компаний), которые в соответствии с личным законом этих фондов (компаний) относятся к схемам коллективного инвестирования, созданным с единственной целью инвестировать публично привлеченные средства на принципе пропорционального распределения риска, и проспект ценных бумаг (правила) которых предусматривает выкуп (приобретение) ценных бумаг этих фондов (компаний) по цене, существенно не отличающейся от цены, определенной исходя из</w:t>
      </w:r>
      <w:proofErr w:type="gramEnd"/>
      <w:r>
        <w:rPr>
          <w:rFonts w:ascii="Calibri" w:hAnsi="Calibri" w:cs="Calibri"/>
        </w:rPr>
        <w:t xml:space="preserve"> стоимости их чистых активов, а также прохождение процедуры листинга этих ценных бумаг на бирже (далее - иностранные биржевые инвестиционные фонды), могут быть допущены к торгам на российской бирже при условии соблюдения требований, предусмотренных </w:t>
      </w:r>
      <w:hyperlink w:anchor="Par25" w:history="1">
        <w:r>
          <w:rPr>
            <w:rFonts w:ascii="Calibri" w:hAnsi="Calibri" w:cs="Calibri"/>
            <w:color w:val="0000FF"/>
          </w:rPr>
          <w:t>пунктом 3</w:t>
        </w:r>
      </w:hyperlink>
      <w:r>
        <w:rPr>
          <w:rFonts w:ascii="Calibri" w:hAnsi="Calibri" w:cs="Calibri"/>
        </w:rPr>
        <w:t xml:space="preserve"> настоящего Приказа, если иное не предусмотрено </w:t>
      </w:r>
      <w:hyperlink w:anchor="Par32" w:history="1">
        <w:r>
          <w:rPr>
            <w:rFonts w:ascii="Calibri" w:hAnsi="Calibri" w:cs="Calibri"/>
            <w:color w:val="0000FF"/>
          </w:rPr>
          <w:t>пунктами 3.1</w:t>
        </w:r>
      </w:hyperlink>
      <w:r>
        <w:rPr>
          <w:rFonts w:ascii="Calibri" w:hAnsi="Calibri" w:cs="Calibri"/>
        </w:rPr>
        <w:t xml:space="preserve"> и </w:t>
      </w:r>
      <w:hyperlink w:anchor="Par34" w:history="1">
        <w:r>
          <w:rPr>
            <w:rFonts w:ascii="Calibri" w:hAnsi="Calibri" w:cs="Calibri"/>
            <w:color w:val="0000FF"/>
          </w:rPr>
          <w:t>3.2</w:t>
        </w:r>
      </w:hyperlink>
      <w:r>
        <w:rPr>
          <w:rFonts w:ascii="Calibri" w:hAnsi="Calibri" w:cs="Calibri"/>
        </w:rPr>
        <w:t xml:space="preserve"> настоящего Приказа.</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ФСФР России от 26.04.2012 </w:t>
      </w:r>
      <w:hyperlink r:id="rId13" w:history="1">
        <w:r>
          <w:rPr>
            <w:rFonts w:ascii="Calibri" w:hAnsi="Calibri" w:cs="Calibri"/>
            <w:color w:val="0000FF"/>
          </w:rPr>
          <w:t>N 12-29/</w:t>
        </w:r>
        <w:proofErr w:type="spellStart"/>
        <w:r>
          <w:rPr>
            <w:rFonts w:ascii="Calibri" w:hAnsi="Calibri" w:cs="Calibri"/>
            <w:color w:val="0000FF"/>
          </w:rPr>
          <w:t>пз-н</w:t>
        </w:r>
        <w:proofErr w:type="spellEnd"/>
      </w:hyperlink>
      <w:r>
        <w:rPr>
          <w:rFonts w:ascii="Calibri" w:hAnsi="Calibri" w:cs="Calibri"/>
        </w:rPr>
        <w:t xml:space="preserve">, от 30.07.2013 </w:t>
      </w:r>
      <w:hyperlink r:id="rId14" w:history="1">
        <w:r>
          <w:rPr>
            <w:rFonts w:ascii="Calibri" w:hAnsi="Calibri" w:cs="Calibri"/>
            <w:color w:val="0000FF"/>
          </w:rPr>
          <w:t>N 13-63/</w:t>
        </w:r>
        <w:proofErr w:type="spellStart"/>
        <w:r>
          <w:rPr>
            <w:rFonts w:ascii="Calibri" w:hAnsi="Calibri" w:cs="Calibri"/>
            <w:color w:val="0000FF"/>
          </w:rPr>
          <w:t>пз-н</w:t>
        </w:r>
        <w:proofErr w:type="spellEnd"/>
      </w:hyperlink>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3. Условиями допуска ценных бумаг иностранного биржевого инвестиционного фонда к торгам на российской бирже являются:</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2" w:name="Par26"/>
      <w:bookmarkEnd w:id="2"/>
      <w:proofErr w:type="gramStart"/>
      <w:r>
        <w:rPr>
          <w:rFonts w:ascii="Calibri" w:hAnsi="Calibri" w:cs="Calibri"/>
        </w:rPr>
        <w:t>1) наличие в проспекте ценных бумаг (правилах) иностранного биржевого инвестиционного фонда, одобренном соответствующим уполномоченным органом иностранного государства в соответствии с личным законом иностранного биржевого инвестиционного фонда, и (или) приложениях к нему (к ним) указания на российскую биржу, на торгах которой должны осуществляться покупка и продажа ценных бумаг этого иностранного биржевого инвестиционного фонда по цене, существенно не отличающейся от расчетной цены</w:t>
      </w:r>
      <w:proofErr w:type="gramEnd"/>
      <w:r>
        <w:rPr>
          <w:rFonts w:ascii="Calibri" w:hAnsi="Calibri" w:cs="Calibri"/>
        </w:rPr>
        <w:t xml:space="preserve">, </w:t>
      </w:r>
      <w:proofErr w:type="gramStart"/>
      <w:r>
        <w:rPr>
          <w:rFonts w:ascii="Calibri" w:hAnsi="Calibri" w:cs="Calibri"/>
        </w:rPr>
        <w:t>определенной в соответствии с личным законом этого фонда, исходя из стоимости его чистых активов (далее - расчетная стоимость), а также права владельца ценных бумаг иностранного биржевого инвестиционного фонда требовать от уполномоченного лица покупки (приобретения) этих ценных бумаг по цене, существенно не отличающейся от цены, определенной исходя из стоимости чистых активов иностранного биржевого инвестиционного фонда;</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включение в перечень уполномоченных лиц, осуществляющих покупку ценных бумаг этого иностранного биржевого инвестиционного фонда по требованию владельцев этих ценных бумаг (далее - перечень уполномоченных лиц иностранного биржевого инвестиционного фонда), российского брокера, а также принятие иностранным биржевым инвестиционным фондом обязательств по представлению российской бирже информации о внесении изменений в перечень уполномоченных лиц иностранного биржевого инвестиционного фонда;</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привлечение российской биржей, предусмотренной </w:t>
      </w:r>
      <w:hyperlink w:anchor="Par26" w:history="1">
        <w:r>
          <w:rPr>
            <w:rFonts w:ascii="Calibri" w:hAnsi="Calibri" w:cs="Calibri"/>
            <w:color w:val="0000FF"/>
          </w:rPr>
          <w:t>подпунктом 1</w:t>
        </w:r>
      </w:hyperlink>
      <w:r>
        <w:rPr>
          <w:rFonts w:ascii="Calibri" w:hAnsi="Calibri" w:cs="Calibri"/>
        </w:rPr>
        <w:t xml:space="preserve"> настоящего пункта, участника (участников) торгов для выполнения последним (последними) обязательств </w:t>
      </w:r>
      <w:proofErr w:type="spellStart"/>
      <w:r>
        <w:rPr>
          <w:rFonts w:ascii="Calibri" w:hAnsi="Calibri" w:cs="Calibri"/>
        </w:rPr>
        <w:t>маркет-мейкера</w:t>
      </w:r>
      <w:proofErr w:type="spellEnd"/>
      <w:r>
        <w:rPr>
          <w:rFonts w:ascii="Calibri" w:hAnsi="Calibri" w:cs="Calibri"/>
        </w:rPr>
        <w:t xml:space="preserve"> в отношении ценных бумаг этого биржевого инвестиционного фонда, которые предусматривают подачу на торгах российской биржи в течение не менее 60 процентов времени каждой основной торговой сессии заявок на покупку и заявок на продажу ценных бумаг этого иностранного биржевого инвестиционного фонда по цене</w:t>
      </w:r>
      <w:proofErr w:type="gramEnd"/>
      <w:r>
        <w:rPr>
          <w:rFonts w:ascii="Calibri" w:hAnsi="Calibri" w:cs="Calibri"/>
        </w:rPr>
        <w:t xml:space="preserve">, </w:t>
      </w:r>
      <w:proofErr w:type="gramStart"/>
      <w:r>
        <w:rPr>
          <w:rFonts w:ascii="Calibri" w:hAnsi="Calibri" w:cs="Calibri"/>
        </w:rPr>
        <w:t>отклоняющейся от их расчетной стоимости не более чем на 5 процентов, а также объем указанных заявок на покупку ценных бумаг, составляющий не менее 1 млн. рублей.</w:t>
      </w:r>
      <w:proofErr w:type="gramEnd"/>
      <w:r>
        <w:rPr>
          <w:rFonts w:ascii="Calibri" w:hAnsi="Calibri" w:cs="Calibri"/>
        </w:rPr>
        <w:t xml:space="preserve"> </w:t>
      </w:r>
      <w:proofErr w:type="gramStart"/>
      <w:r>
        <w:rPr>
          <w:rFonts w:ascii="Calibri" w:hAnsi="Calibri" w:cs="Calibri"/>
        </w:rPr>
        <w:t>При этом подача заявок на покупку и заявок на продажу ценных бумаг иностранного биржевого инвестиционного фонда по цене, отклоняющейся от их расчетной стоимости не более чем на 5 процентов, может осуществляться на иных условиях, если средний дневной объем рыночных сделок, с указанными ценными бумагами, совершенных на торгах, на которых подаются указанные заявки, за предыдущие три месяца составляет более 50 млн</w:t>
      </w:r>
      <w:proofErr w:type="gramEnd"/>
      <w:r>
        <w:rPr>
          <w:rFonts w:ascii="Calibri" w:hAnsi="Calibri" w:cs="Calibri"/>
        </w:rPr>
        <w:t xml:space="preserve">. рублей. Биржа вправе установить количество торговых дней, в которые обязательства </w:t>
      </w:r>
      <w:proofErr w:type="spellStart"/>
      <w:r>
        <w:rPr>
          <w:rFonts w:ascii="Calibri" w:hAnsi="Calibri" w:cs="Calibri"/>
        </w:rPr>
        <w:t>маркет-мейкера</w:t>
      </w:r>
      <w:proofErr w:type="spellEnd"/>
      <w:r>
        <w:rPr>
          <w:rFonts w:ascii="Calibri" w:hAnsi="Calibri" w:cs="Calibri"/>
        </w:rPr>
        <w:t xml:space="preserve"> по ценным бумагам иностранного биржевого фонда могут не исполняться, если такое количество не превышает 3 торговых дня в месяц. Биржа вправе приостановить организованные торги ценными бумагами иностранного биржевого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w:t>
      </w:r>
      <w:proofErr w:type="spellStart"/>
      <w:r>
        <w:rPr>
          <w:rFonts w:ascii="Calibri" w:hAnsi="Calibri" w:cs="Calibri"/>
        </w:rPr>
        <w:t>маркет-мейкера</w:t>
      </w:r>
      <w:proofErr w:type="spellEnd"/>
      <w:r>
        <w:rPr>
          <w:rFonts w:ascii="Calibri" w:hAnsi="Calibri" w:cs="Calibri"/>
        </w:rPr>
        <w:t xml:space="preserve"> по таким ценным бумагам исполнить обязанность </w:t>
      </w:r>
      <w:proofErr w:type="spellStart"/>
      <w:r>
        <w:rPr>
          <w:rFonts w:ascii="Calibri" w:hAnsi="Calibri" w:cs="Calibri"/>
        </w:rPr>
        <w:t>маркет-мейкера</w:t>
      </w:r>
      <w:proofErr w:type="spellEnd"/>
      <w:r>
        <w:rPr>
          <w:rFonts w:ascii="Calibri" w:hAnsi="Calibri" w:cs="Calibri"/>
        </w:rPr>
        <w:t xml:space="preserve"> в случае, если это предусмотрено внутренними документами биржи;</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3" w:name="Par29"/>
      <w:bookmarkEnd w:id="3"/>
      <w:proofErr w:type="gramStart"/>
      <w:r>
        <w:rPr>
          <w:rFonts w:ascii="Calibri" w:hAnsi="Calibri" w:cs="Calibri"/>
        </w:rPr>
        <w:t>4) наличие в проспекте ценных бумаг (правилах) иностранного биржевого инвестиционного фонда, одобренном соответствующим уполномоченным органом иностранного государства в соответствии с личным законом этого иностранного биржевого инвестиционного фонда, и (или) приложениях к нему (к ним) ограничения на привлечение заемных средств, подлежащих возврату за счет средств указанного фонда, до 10 процентов стоимости составляющих его активов, а также положений, в соответствии с которыми</w:t>
      </w:r>
      <w:proofErr w:type="gramEnd"/>
      <w:r>
        <w:rPr>
          <w:rFonts w:ascii="Calibri" w:hAnsi="Calibri" w:cs="Calibri"/>
        </w:rPr>
        <w:t xml:space="preserve"> не допускается совершение сделок, увеличивающих риск снижения стоимости чистых активов иностранного биржевого инвестиционного фонда по отношению к рыночному риску снижения стоимости активов, предусмотренных в проспекте ценных бумаг (правилах) иностранного биржевого инвестиционного фонда, в том числе договоров </w:t>
      </w:r>
      <w:proofErr w:type="spellStart"/>
      <w:r>
        <w:rPr>
          <w:rFonts w:ascii="Calibri" w:hAnsi="Calibri" w:cs="Calibri"/>
        </w:rPr>
        <w:t>репо</w:t>
      </w:r>
      <w:proofErr w:type="spellEnd"/>
      <w:r>
        <w:rPr>
          <w:rFonts w:ascii="Calibri" w:hAnsi="Calibri" w:cs="Calibri"/>
        </w:rPr>
        <w:t xml:space="preserve"> и договоров, являющихся производными финансовыми инструментами;</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5) в соответствии с проспектом ценных бумаг (правилами) иностранного биржевого инвестиционного фонда и (или) приложениями к нему (к ним) общий размер обязательств за счет активов иностранного биржевого инвестиционного фонда по договорам, являющимся производными финансовыми инструментами, может составлять не более 10 процентов стоимости активов этого биржевого инвестиционного фонда.</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 w:history="1">
        <w:r>
          <w:rPr>
            <w:rFonts w:ascii="Calibri" w:hAnsi="Calibri" w:cs="Calibri"/>
            <w:color w:val="0000FF"/>
          </w:rPr>
          <w:t>Приказа</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5" w:name="Par32"/>
      <w:bookmarkEnd w:id="5"/>
      <w:r>
        <w:rPr>
          <w:rFonts w:ascii="Calibri" w:hAnsi="Calibri" w:cs="Calibri"/>
        </w:rPr>
        <w:t xml:space="preserve">3.1. </w:t>
      </w:r>
      <w:proofErr w:type="gramStart"/>
      <w:r>
        <w:rPr>
          <w:rFonts w:ascii="Calibri" w:hAnsi="Calibri" w:cs="Calibri"/>
        </w:rPr>
        <w:t xml:space="preserve">Требования </w:t>
      </w:r>
      <w:hyperlink w:anchor="Par26" w:history="1">
        <w:r>
          <w:rPr>
            <w:rFonts w:ascii="Calibri" w:hAnsi="Calibri" w:cs="Calibri"/>
            <w:color w:val="0000FF"/>
          </w:rPr>
          <w:t>подпунктов 1</w:t>
        </w:r>
      </w:hyperlink>
      <w:r>
        <w:rPr>
          <w:rFonts w:ascii="Calibri" w:hAnsi="Calibri" w:cs="Calibri"/>
        </w:rPr>
        <w:t xml:space="preserve"> и </w:t>
      </w:r>
      <w:hyperlink w:anchor="Par29" w:history="1">
        <w:r>
          <w:rPr>
            <w:rFonts w:ascii="Calibri" w:hAnsi="Calibri" w:cs="Calibri"/>
            <w:color w:val="0000FF"/>
          </w:rPr>
          <w:t>4 пункта 3</w:t>
        </w:r>
      </w:hyperlink>
      <w:r>
        <w:rPr>
          <w:rFonts w:ascii="Calibri" w:hAnsi="Calibri" w:cs="Calibri"/>
        </w:rPr>
        <w:t xml:space="preserve"> настоящего Приказа не применяются, если ценные бумаги иностранного биржевого инвестиционного фонда прошли процедуру листинга на Ирландской фондовой бирже (</w:t>
      </w:r>
      <w:proofErr w:type="spellStart"/>
      <w:r>
        <w:rPr>
          <w:rFonts w:ascii="Calibri" w:hAnsi="Calibri" w:cs="Calibri"/>
        </w:rPr>
        <w:t>Irish</w:t>
      </w:r>
      <w:proofErr w:type="spellEnd"/>
      <w:r>
        <w:rPr>
          <w:rFonts w:ascii="Calibri" w:hAnsi="Calibri" w:cs="Calibri"/>
        </w:rPr>
        <w:t xml:space="preserve"> </w:t>
      </w:r>
      <w:proofErr w:type="spellStart"/>
      <w:r>
        <w:rPr>
          <w:rFonts w:ascii="Calibri" w:hAnsi="Calibri" w:cs="Calibri"/>
        </w:rPr>
        <w:t>Stock</w:t>
      </w:r>
      <w:proofErr w:type="spellEnd"/>
      <w:r>
        <w:rPr>
          <w:rFonts w:ascii="Calibri" w:hAnsi="Calibri" w:cs="Calibri"/>
        </w:rPr>
        <w:t xml:space="preserve"> </w:t>
      </w:r>
      <w:proofErr w:type="spellStart"/>
      <w:r>
        <w:rPr>
          <w:rFonts w:ascii="Calibri" w:hAnsi="Calibri" w:cs="Calibri"/>
        </w:rPr>
        <w:t>Exchange</w:t>
      </w:r>
      <w:proofErr w:type="spellEnd"/>
      <w:r>
        <w:rPr>
          <w:rFonts w:ascii="Calibri" w:hAnsi="Calibri" w:cs="Calibri"/>
        </w:rPr>
        <w:t>), Лондонской фондовой бирже (</w:t>
      </w:r>
      <w:proofErr w:type="spellStart"/>
      <w:r>
        <w:rPr>
          <w:rFonts w:ascii="Calibri" w:hAnsi="Calibri" w:cs="Calibri"/>
        </w:rPr>
        <w:t>London</w:t>
      </w:r>
      <w:proofErr w:type="spellEnd"/>
      <w:r>
        <w:rPr>
          <w:rFonts w:ascii="Calibri" w:hAnsi="Calibri" w:cs="Calibri"/>
        </w:rPr>
        <w:t xml:space="preserve"> </w:t>
      </w:r>
      <w:proofErr w:type="spellStart"/>
      <w:r>
        <w:rPr>
          <w:rFonts w:ascii="Calibri" w:hAnsi="Calibri" w:cs="Calibri"/>
        </w:rPr>
        <w:t>Stock</w:t>
      </w:r>
      <w:proofErr w:type="spellEnd"/>
      <w:r>
        <w:rPr>
          <w:rFonts w:ascii="Calibri" w:hAnsi="Calibri" w:cs="Calibri"/>
        </w:rPr>
        <w:t xml:space="preserve"> </w:t>
      </w:r>
      <w:proofErr w:type="spellStart"/>
      <w:r>
        <w:rPr>
          <w:rFonts w:ascii="Calibri" w:hAnsi="Calibri" w:cs="Calibri"/>
        </w:rPr>
        <w:t>Exchange</w:t>
      </w:r>
      <w:proofErr w:type="spellEnd"/>
      <w:r>
        <w:rPr>
          <w:rFonts w:ascii="Calibri" w:hAnsi="Calibri" w:cs="Calibri"/>
        </w:rPr>
        <w:t xml:space="preserve">), </w:t>
      </w:r>
      <w:proofErr w:type="spellStart"/>
      <w:r>
        <w:rPr>
          <w:rFonts w:ascii="Calibri" w:hAnsi="Calibri" w:cs="Calibri"/>
        </w:rPr>
        <w:t>Насдак</w:t>
      </w:r>
      <w:proofErr w:type="spellEnd"/>
      <w:r>
        <w:rPr>
          <w:rFonts w:ascii="Calibri" w:hAnsi="Calibri" w:cs="Calibri"/>
        </w:rPr>
        <w:t xml:space="preserve"> </w:t>
      </w:r>
      <w:proofErr w:type="spellStart"/>
      <w:r>
        <w:rPr>
          <w:rFonts w:ascii="Calibri" w:hAnsi="Calibri" w:cs="Calibri"/>
        </w:rPr>
        <w:t>ОЭмЭкс</w:t>
      </w:r>
      <w:proofErr w:type="spellEnd"/>
      <w:r>
        <w:rPr>
          <w:rFonts w:ascii="Calibri" w:hAnsi="Calibri" w:cs="Calibri"/>
        </w:rPr>
        <w:t xml:space="preserve"> (NASDAQ OMX), </w:t>
      </w:r>
      <w:proofErr w:type="spellStart"/>
      <w:r>
        <w:rPr>
          <w:rFonts w:ascii="Calibri" w:hAnsi="Calibri" w:cs="Calibri"/>
        </w:rPr>
        <w:t>Франкфуртской</w:t>
      </w:r>
      <w:proofErr w:type="spellEnd"/>
      <w:r>
        <w:rPr>
          <w:rFonts w:ascii="Calibri" w:hAnsi="Calibri" w:cs="Calibri"/>
        </w:rPr>
        <w:t xml:space="preserve"> фондовой бирже (</w:t>
      </w:r>
      <w:proofErr w:type="spellStart"/>
      <w:r>
        <w:rPr>
          <w:rFonts w:ascii="Calibri" w:hAnsi="Calibri" w:cs="Calibri"/>
        </w:rPr>
        <w:t>Frankfurt</w:t>
      </w:r>
      <w:proofErr w:type="spellEnd"/>
      <w:r>
        <w:rPr>
          <w:rFonts w:ascii="Calibri" w:hAnsi="Calibri" w:cs="Calibri"/>
        </w:rPr>
        <w:t xml:space="preserve"> </w:t>
      </w:r>
      <w:proofErr w:type="spellStart"/>
      <w:r>
        <w:rPr>
          <w:rFonts w:ascii="Calibri" w:hAnsi="Calibri" w:cs="Calibri"/>
        </w:rPr>
        <w:t>Stock</w:t>
      </w:r>
      <w:proofErr w:type="spellEnd"/>
      <w:r>
        <w:rPr>
          <w:rFonts w:ascii="Calibri" w:hAnsi="Calibri" w:cs="Calibri"/>
        </w:rPr>
        <w:t xml:space="preserve"> </w:t>
      </w:r>
      <w:proofErr w:type="spellStart"/>
      <w:r>
        <w:rPr>
          <w:rFonts w:ascii="Calibri" w:hAnsi="Calibri" w:cs="Calibri"/>
        </w:rPr>
        <w:t>Exchange</w:t>
      </w:r>
      <w:proofErr w:type="spellEnd"/>
      <w:r>
        <w:rPr>
          <w:rFonts w:ascii="Calibri" w:hAnsi="Calibri" w:cs="Calibri"/>
        </w:rPr>
        <w:t xml:space="preserve">), или на бирже, входящей в группу </w:t>
      </w:r>
      <w:proofErr w:type="spellStart"/>
      <w:r>
        <w:rPr>
          <w:rFonts w:ascii="Calibri" w:hAnsi="Calibri" w:cs="Calibri"/>
        </w:rPr>
        <w:t>Найс</w:t>
      </w:r>
      <w:proofErr w:type="spellEnd"/>
      <w:r>
        <w:rPr>
          <w:rFonts w:ascii="Calibri" w:hAnsi="Calibri" w:cs="Calibri"/>
        </w:rPr>
        <w:t xml:space="preserve"> </w:t>
      </w:r>
      <w:proofErr w:type="spellStart"/>
      <w:r>
        <w:rPr>
          <w:rFonts w:ascii="Calibri" w:hAnsi="Calibri" w:cs="Calibri"/>
        </w:rPr>
        <w:t>Евронекст</w:t>
      </w:r>
      <w:proofErr w:type="spellEnd"/>
      <w:r>
        <w:rPr>
          <w:rFonts w:ascii="Calibri" w:hAnsi="Calibri" w:cs="Calibri"/>
        </w:rPr>
        <w:t xml:space="preserve"> (NYSE </w:t>
      </w:r>
      <w:proofErr w:type="spellStart"/>
      <w:r>
        <w:rPr>
          <w:rFonts w:ascii="Calibri" w:hAnsi="Calibri" w:cs="Calibri"/>
        </w:rPr>
        <w:t>Euronext</w:t>
      </w:r>
      <w:proofErr w:type="spellEnd"/>
      <w:r>
        <w:rPr>
          <w:rFonts w:ascii="Calibri" w:hAnsi="Calibri" w:cs="Calibri"/>
        </w:rPr>
        <w:t>).</w:t>
      </w:r>
      <w:proofErr w:type="gramEnd"/>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16" w:history="1">
        <w:r>
          <w:rPr>
            <w:rFonts w:ascii="Calibri" w:hAnsi="Calibri" w:cs="Calibri"/>
            <w:color w:val="0000FF"/>
          </w:rPr>
          <w:t>Приказом</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6" w:name="Par34"/>
      <w:bookmarkEnd w:id="6"/>
      <w:r>
        <w:rPr>
          <w:rFonts w:ascii="Calibri" w:hAnsi="Calibri" w:cs="Calibri"/>
        </w:rPr>
        <w:t xml:space="preserve">3.2. Требования </w:t>
      </w:r>
      <w:hyperlink w:anchor="Par29" w:history="1">
        <w:r>
          <w:rPr>
            <w:rFonts w:ascii="Calibri" w:hAnsi="Calibri" w:cs="Calibri"/>
            <w:color w:val="0000FF"/>
          </w:rPr>
          <w:t>подпунктов 4</w:t>
        </w:r>
      </w:hyperlink>
      <w:r>
        <w:rPr>
          <w:rFonts w:ascii="Calibri" w:hAnsi="Calibri" w:cs="Calibri"/>
        </w:rPr>
        <w:t xml:space="preserve"> и </w:t>
      </w:r>
      <w:hyperlink w:anchor="Par30" w:history="1">
        <w:r>
          <w:rPr>
            <w:rFonts w:ascii="Calibri" w:hAnsi="Calibri" w:cs="Calibri"/>
            <w:color w:val="0000FF"/>
          </w:rPr>
          <w:t>5 пункта 3</w:t>
        </w:r>
      </w:hyperlink>
      <w:r>
        <w:rPr>
          <w:rFonts w:ascii="Calibri" w:hAnsi="Calibri" w:cs="Calibri"/>
        </w:rPr>
        <w:t xml:space="preserve"> настоящего Приказа не применяются, если в соответствии с проспектом ценных бумаг (правилами) иностранного биржевого инвестиционного фонда его инвестиционная политика предусматривает следование доходности этого фонда индексу, в расчет которого входит не менее десяти ценных бумаг одного вида или биржевых товаров одного рода. При этом указанная инвестиционная политика не может предусматривать следование доходности иностранного биржевого инвестиционного фонда индексу, противоположно изменяющемуся по отношению к индексу, предусмотренному настоящим пунктом, или изменяющемуся по отношению к нему в большее число раз.</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введен </w:t>
      </w:r>
      <w:hyperlink r:id="rId17" w:history="1">
        <w:r>
          <w:rPr>
            <w:rFonts w:ascii="Calibri" w:hAnsi="Calibri" w:cs="Calibri"/>
            <w:color w:val="0000FF"/>
          </w:rPr>
          <w:t>Приказом</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допуска к торгам ценных бумаг иностранного биржевого инвестиционного фонда российская биржа обязана раскрывать на своем сайте в сети Интернет следующую информацию:</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уполномоченных лиц иностранного биржевого инвестиционного фонда. Указанная информация должна раскрываться не позднее дня, следующего за днем принятия российской биржей решения о допуске к торгам ценных бумаг иностранного биржевого инвестиционного фонда;</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внесенные в перечень уполномоченных лиц иностранного биржевого инвестиционного фонда. Указанная информация должна раскрываться не позднее дня раскрытия этой информации иностранным биржевым инвестиционным фондом;</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последнюю известную расчетную стоимость ценных бумаг иностранного биржевого инвестиционного фонда. Указанная информация должна раскрываться не реже одного раза в 10 минут основной торговой сессии российской биржи;</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максимально допустимое отклонение от расчетной стоимости ценных бумаг иностранного биржевого инвестиционного фонда, которое может быть предусмотрено в заявках на их покупку и (или) продажу, подаваемых на торгах российской биржи лицами, включенными в перечень уполномоченных лиц иностранного биржевого инвестиционного фонда. Указанная информация должна раскрываться не позднее дня раскрытия этой информации иностранным биржевым инвестиционным фондом;</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ФСФР России от 30.07.2013 N 13-63/</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средний дневной объем рыночных сделок с ценными бумагами иностранного биржевого инвестиционного фонда за предыдущие три месяца, совершенных на торгах, на которых подаются заявки участниками торгов, указанными в </w:t>
      </w:r>
      <w:hyperlink w:anchor="Par25" w:history="1">
        <w:r>
          <w:rPr>
            <w:rFonts w:ascii="Calibri" w:hAnsi="Calibri" w:cs="Calibri"/>
            <w:color w:val="0000FF"/>
          </w:rPr>
          <w:t>подпункте 3 пункта 3</w:t>
        </w:r>
      </w:hyperlink>
      <w:r>
        <w:rPr>
          <w:rFonts w:ascii="Calibri" w:hAnsi="Calibri" w:cs="Calibri"/>
        </w:rPr>
        <w:t xml:space="preserve"> настоящего Приказа.</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Приказом</w:t>
        </w:r>
      </w:hyperlink>
      <w:r>
        <w:rPr>
          <w:rFonts w:ascii="Calibri" w:hAnsi="Calibri" w:cs="Calibri"/>
        </w:rPr>
        <w:t xml:space="preserve"> ФСФР России от 26.04.2012 N 12-29/</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24" w:history="1">
        <w:r>
          <w:rPr>
            <w:rFonts w:ascii="Calibri" w:hAnsi="Calibri" w:cs="Calibri"/>
            <w:color w:val="0000FF"/>
          </w:rPr>
          <w:t>Приказ</w:t>
        </w:r>
      </w:hyperlink>
      <w:r>
        <w:rPr>
          <w:rFonts w:ascii="Calibri" w:hAnsi="Calibri" w:cs="Calibri"/>
        </w:rPr>
        <w:t xml:space="preserve"> ФСФР России от 26.04.2012 N 12-29/</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7F43CE" w:rsidRDefault="007F43CE">
      <w:pPr>
        <w:widowControl w:val="0"/>
        <w:autoSpaceDE w:val="0"/>
        <w:autoSpaceDN w:val="0"/>
        <w:adjustRightInd w:val="0"/>
        <w:spacing w:after="0" w:line="240" w:lineRule="auto"/>
        <w:jc w:val="right"/>
        <w:rPr>
          <w:rFonts w:ascii="Calibri" w:hAnsi="Calibri" w:cs="Calibri"/>
        </w:rPr>
      </w:pPr>
      <w:r>
        <w:rPr>
          <w:rFonts w:ascii="Calibri" w:hAnsi="Calibri" w:cs="Calibri"/>
        </w:rPr>
        <w:t>В.Д.МИЛОВИДОВ</w:t>
      </w:r>
    </w:p>
    <w:p w:rsidR="007F43CE" w:rsidRDefault="007F43CE">
      <w:pPr>
        <w:widowControl w:val="0"/>
        <w:autoSpaceDE w:val="0"/>
        <w:autoSpaceDN w:val="0"/>
        <w:adjustRightInd w:val="0"/>
        <w:spacing w:after="0" w:line="240" w:lineRule="auto"/>
        <w:jc w:val="right"/>
        <w:rPr>
          <w:rFonts w:ascii="Calibri" w:hAnsi="Calibri" w:cs="Calibri"/>
        </w:rPr>
      </w:pPr>
    </w:p>
    <w:p w:rsidR="007F43CE" w:rsidRDefault="007F43CE">
      <w:pPr>
        <w:widowControl w:val="0"/>
        <w:autoSpaceDE w:val="0"/>
        <w:autoSpaceDN w:val="0"/>
        <w:adjustRightInd w:val="0"/>
        <w:spacing w:after="0" w:line="240" w:lineRule="auto"/>
        <w:jc w:val="right"/>
        <w:rPr>
          <w:rFonts w:ascii="Calibri" w:hAnsi="Calibri" w:cs="Calibri"/>
        </w:rPr>
      </w:pPr>
    </w:p>
    <w:p w:rsidR="007F43CE" w:rsidRDefault="007F43CE">
      <w:pPr>
        <w:widowControl w:val="0"/>
        <w:autoSpaceDE w:val="0"/>
        <w:autoSpaceDN w:val="0"/>
        <w:adjustRightInd w:val="0"/>
        <w:spacing w:after="0" w:line="240" w:lineRule="auto"/>
        <w:jc w:val="right"/>
        <w:rPr>
          <w:rFonts w:ascii="Calibri" w:hAnsi="Calibri" w:cs="Calibri"/>
        </w:rPr>
      </w:pPr>
    </w:p>
    <w:p w:rsidR="007F43CE" w:rsidRDefault="007F43CE">
      <w:pPr>
        <w:widowControl w:val="0"/>
        <w:autoSpaceDE w:val="0"/>
        <w:autoSpaceDN w:val="0"/>
        <w:adjustRightInd w:val="0"/>
        <w:spacing w:after="0" w:line="240" w:lineRule="auto"/>
        <w:jc w:val="right"/>
        <w:rPr>
          <w:rFonts w:ascii="Calibri" w:hAnsi="Calibri" w:cs="Calibri"/>
        </w:rPr>
      </w:pPr>
    </w:p>
    <w:p w:rsidR="007F43CE" w:rsidRDefault="007F43CE">
      <w:pPr>
        <w:widowControl w:val="0"/>
        <w:autoSpaceDE w:val="0"/>
        <w:autoSpaceDN w:val="0"/>
        <w:adjustRightInd w:val="0"/>
        <w:spacing w:after="0" w:line="240" w:lineRule="auto"/>
        <w:jc w:val="right"/>
        <w:rPr>
          <w:rFonts w:ascii="Calibri" w:hAnsi="Calibri" w:cs="Calibri"/>
        </w:rPr>
      </w:pPr>
    </w:p>
    <w:p w:rsidR="007F43CE" w:rsidRDefault="007F43CE">
      <w:pPr>
        <w:widowControl w:val="0"/>
        <w:autoSpaceDE w:val="0"/>
        <w:autoSpaceDN w:val="0"/>
        <w:adjustRightInd w:val="0"/>
        <w:spacing w:after="0" w:line="240" w:lineRule="auto"/>
        <w:jc w:val="right"/>
        <w:outlineLvl w:val="0"/>
        <w:rPr>
          <w:rFonts w:ascii="Calibri" w:hAnsi="Calibri" w:cs="Calibri"/>
        </w:rPr>
      </w:pPr>
      <w:bookmarkStart w:id="7" w:name="Par57"/>
      <w:bookmarkEnd w:id="7"/>
      <w:r>
        <w:rPr>
          <w:rFonts w:ascii="Calibri" w:hAnsi="Calibri" w:cs="Calibri"/>
        </w:rPr>
        <w:t>Утверждено</w:t>
      </w:r>
    </w:p>
    <w:p w:rsidR="007F43CE" w:rsidRDefault="007F43C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7F43CE" w:rsidRDefault="007F43CE">
      <w:pPr>
        <w:widowControl w:val="0"/>
        <w:autoSpaceDE w:val="0"/>
        <w:autoSpaceDN w:val="0"/>
        <w:adjustRightInd w:val="0"/>
        <w:spacing w:after="0" w:line="240" w:lineRule="auto"/>
        <w:jc w:val="right"/>
        <w:rPr>
          <w:rFonts w:ascii="Calibri" w:hAnsi="Calibri" w:cs="Calibri"/>
        </w:rPr>
      </w:pPr>
      <w:r>
        <w:rPr>
          <w:rFonts w:ascii="Calibri" w:hAnsi="Calibri" w:cs="Calibri"/>
        </w:rPr>
        <w:t>по финансовым рынкам</w:t>
      </w:r>
    </w:p>
    <w:p w:rsidR="007F43CE" w:rsidRDefault="007F43CE">
      <w:pPr>
        <w:widowControl w:val="0"/>
        <w:autoSpaceDE w:val="0"/>
        <w:autoSpaceDN w:val="0"/>
        <w:adjustRightInd w:val="0"/>
        <w:spacing w:after="0" w:line="240" w:lineRule="auto"/>
        <w:jc w:val="right"/>
        <w:rPr>
          <w:rFonts w:ascii="Calibri" w:hAnsi="Calibri" w:cs="Calibri"/>
        </w:rPr>
      </w:pPr>
      <w:r>
        <w:rPr>
          <w:rFonts w:ascii="Calibri" w:hAnsi="Calibri" w:cs="Calibri"/>
        </w:rPr>
        <w:t>от 9 февраля 2010 г. N 10-5/</w:t>
      </w:r>
      <w:proofErr w:type="spellStart"/>
      <w:r>
        <w:rPr>
          <w:rFonts w:ascii="Calibri" w:hAnsi="Calibri" w:cs="Calibri"/>
        </w:rPr>
        <w:t>пз-н</w:t>
      </w:r>
      <w:proofErr w:type="spellEnd"/>
    </w:p>
    <w:p w:rsidR="007F43CE" w:rsidRDefault="007F43CE">
      <w:pPr>
        <w:widowControl w:val="0"/>
        <w:autoSpaceDE w:val="0"/>
        <w:autoSpaceDN w:val="0"/>
        <w:adjustRightInd w:val="0"/>
        <w:spacing w:after="0" w:line="240" w:lineRule="auto"/>
        <w:jc w:val="right"/>
        <w:rPr>
          <w:rFonts w:ascii="Calibri" w:hAnsi="Calibri" w:cs="Calibri"/>
        </w:rPr>
      </w:pPr>
    </w:p>
    <w:p w:rsidR="007F43CE" w:rsidRDefault="007F43CE">
      <w:pPr>
        <w:widowControl w:val="0"/>
        <w:autoSpaceDE w:val="0"/>
        <w:autoSpaceDN w:val="0"/>
        <w:adjustRightInd w:val="0"/>
        <w:spacing w:after="0" w:line="240" w:lineRule="auto"/>
        <w:jc w:val="center"/>
        <w:rPr>
          <w:rFonts w:ascii="Calibri" w:hAnsi="Calibri" w:cs="Calibri"/>
          <w:b/>
          <w:bCs/>
        </w:rPr>
      </w:pPr>
      <w:bookmarkStart w:id="8" w:name="Par62"/>
      <w:bookmarkEnd w:id="8"/>
      <w:r>
        <w:rPr>
          <w:rFonts w:ascii="Calibri" w:hAnsi="Calibri" w:cs="Calibri"/>
          <w:b/>
          <w:bCs/>
        </w:rPr>
        <w:t>ПОЛОЖЕНИЕ</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СОСТАВЕ И ПОРЯДКЕ РАСЧЕТА ПОКАЗАТЕЛЕЙ, ХАРАКТЕРИЗУЮЩИХ</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ЛИКВИДНОСТИ (ПРЕДПОЛАГАЕМОЙ ЛИКВИДНОСТИ) И УРОВЕНЬ</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ИНВЕСТИЦИОННОГО РИСКА ЦЕННЫХ БУМАГ, НА ОСНОВАНИИ КОТОРЫХ</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ФЕДЕРАЛЬНЫМ ОРГАНОМ ИСПОЛНИТЕЛЬНОЙ ВЛАСТИ ПО РЫНКУ </w:t>
      </w:r>
      <w:proofErr w:type="gramStart"/>
      <w:r>
        <w:rPr>
          <w:rFonts w:ascii="Calibri" w:hAnsi="Calibri" w:cs="Calibri"/>
          <w:b/>
          <w:bCs/>
        </w:rPr>
        <w:t>ЦЕННЫХ</w:t>
      </w:r>
      <w:proofErr w:type="gramEnd"/>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БУМАГ ПРИНИМАЕТСЯ РЕШЕНИЕ О ДОПУСКЕ ЦЕННЫХ БУМАГ</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ЭМИТЕНТОВ К ПУБЛИЧНОМУ РАЗМЕЩЕНИЮ</w:t>
      </w:r>
    </w:p>
    <w:p w:rsidR="007F43CE" w:rsidRDefault="007F43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ПУБЛИЧНОМУ ОБРАЩЕНИЮ В РОССИЙСКОЙ ФЕДЕРАЦИИ</w:t>
      </w:r>
    </w:p>
    <w:p w:rsidR="007F43CE" w:rsidRDefault="007F43CE">
      <w:pPr>
        <w:widowControl w:val="0"/>
        <w:autoSpaceDE w:val="0"/>
        <w:autoSpaceDN w:val="0"/>
        <w:adjustRightInd w:val="0"/>
        <w:spacing w:after="0" w:line="240" w:lineRule="auto"/>
        <w:jc w:val="center"/>
        <w:rPr>
          <w:rFonts w:ascii="Calibri" w:hAnsi="Calibri" w:cs="Calibri"/>
        </w:rPr>
      </w:pPr>
    </w:p>
    <w:p w:rsidR="007F43CE" w:rsidRDefault="007F43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ФСФР России от 26.04.2011 N 11-14/</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jc w:val="center"/>
        <w:outlineLvl w:val="1"/>
        <w:rPr>
          <w:rFonts w:ascii="Calibri" w:hAnsi="Calibri" w:cs="Calibri"/>
        </w:rPr>
      </w:pPr>
      <w:bookmarkStart w:id="9" w:name="Par73"/>
      <w:bookmarkEnd w:id="9"/>
      <w:r>
        <w:rPr>
          <w:rFonts w:ascii="Calibri" w:hAnsi="Calibri" w:cs="Calibri"/>
        </w:rPr>
        <w:t>I. Общие положения</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Настоящее Положение устанавливает состав и порядок расчета показателей, характеризующих уровень ликвидности (предполагаемой ликвидности) и уровень инвестиционного риска ценных бумаг, на основании которых федеральным органом исполнительной власти по рынку ценных бумаг принимается решение о допуске ценных бумаг иностранных эмитентов к публичному размещению и (или) публичному обращению в Российской Федерации.</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Российская фондовая биржа самостоятельно определяет ценную бумагу, допущенную к торгам на этой фондовой бирже, с которой производится сравнение ценной бумаги иностранного эмитента по показателям, характеризующим уровень ликвидности (предполагаемой ликвидности) и инвестиционного риска. При этом такое сравнение не допускается, если соответствующий показатель по ценной бумаге, допущенной к торгам на российской фондовой бирже, в соответствии с настоящим Положением не может быть рассчитан.</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jc w:val="center"/>
        <w:outlineLvl w:val="1"/>
        <w:rPr>
          <w:rFonts w:ascii="Calibri" w:hAnsi="Calibri" w:cs="Calibri"/>
        </w:rPr>
      </w:pPr>
      <w:bookmarkStart w:id="10" w:name="Par78"/>
      <w:bookmarkEnd w:id="10"/>
      <w:r>
        <w:rPr>
          <w:rFonts w:ascii="Calibri" w:hAnsi="Calibri" w:cs="Calibri"/>
        </w:rPr>
        <w:t>II. Состав и порядок расчета показателей,</w:t>
      </w:r>
    </w:p>
    <w:p w:rsidR="007F43CE" w:rsidRDefault="007F43C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характеризующих уровень ликвидности ценных бумаг</w:t>
      </w:r>
    </w:p>
    <w:p w:rsidR="007F43CE" w:rsidRDefault="007F43CE">
      <w:pPr>
        <w:widowControl w:val="0"/>
        <w:autoSpaceDE w:val="0"/>
        <w:autoSpaceDN w:val="0"/>
        <w:adjustRightInd w:val="0"/>
        <w:spacing w:after="0" w:line="240" w:lineRule="auto"/>
        <w:jc w:val="center"/>
        <w:rPr>
          <w:rFonts w:ascii="Calibri" w:hAnsi="Calibri" w:cs="Calibri"/>
        </w:rPr>
      </w:pP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2.1. Показателями, характеризующими уровень ликвидности (предполагаемой ликвидности) ценных бумаг, являются:</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2" w:name="Par82"/>
      <w:bookmarkEnd w:id="12"/>
      <w:r>
        <w:rPr>
          <w:rFonts w:ascii="Calibri" w:hAnsi="Calibri" w:cs="Calibri"/>
        </w:rPr>
        <w:t>1) разница между лучшей ценой предложения на продажу и лучшей ценой предложения на покупку ценных бумаг;</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3" w:name="Par83"/>
      <w:bookmarkEnd w:id="13"/>
      <w:r>
        <w:rPr>
          <w:rFonts w:ascii="Calibri" w:hAnsi="Calibri" w:cs="Calibri"/>
        </w:rPr>
        <w:t>2) объем подаваемых заявок на продажу и покупку ценных бумаг;</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4" w:name="Par84"/>
      <w:bookmarkEnd w:id="14"/>
      <w:r>
        <w:rPr>
          <w:rFonts w:ascii="Calibri" w:hAnsi="Calibri" w:cs="Calibri"/>
        </w:rPr>
        <w:t>3) объем торгов ценными бумагами. Указанный показатель применяется только к ценным бумагам (облигациям) иностранного государства (центрального банка иностранного государства), допускаемым к публичному размещению и (или) публичному обращению в Российской Федерации, и сравниваемым с ними ценным бумагам (облигациям), уже допущенным к торгам на российской фондовой бирже.</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 случае если уровень ликвидности (предполагаемой ликвидности) ценных бумаг (облигаций) иностранного государства (центрального банка иностранного государства), допускаемых к публичному размещению и (или) публичному обращению в Российской Федерации, определяется на основании показателя, предусмотренного </w:t>
      </w:r>
      <w:hyperlink w:anchor="Par82" w:history="1">
        <w:r>
          <w:rPr>
            <w:rFonts w:ascii="Calibri" w:hAnsi="Calibri" w:cs="Calibri"/>
            <w:color w:val="0000FF"/>
          </w:rPr>
          <w:t>подпунктом 1 пункта 2.1</w:t>
        </w:r>
      </w:hyperlink>
      <w:r>
        <w:rPr>
          <w:rFonts w:ascii="Calibri" w:hAnsi="Calibri" w:cs="Calibri"/>
        </w:rPr>
        <w:t xml:space="preserve"> настоящего Положения и рассчитанного в соответствии с </w:t>
      </w:r>
      <w:hyperlink w:anchor="Par87" w:history="1">
        <w:r>
          <w:rPr>
            <w:rFonts w:ascii="Calibri" w:hAnsi="Calibri" w:cs="Calibri"/>
            <w:color w:val="0000FF"/>
          </w:rPr>
          <w:t>пунктом 2.4</w:t>
        </w:r>
      </w:hyperlink>
      <w:r>
        <w:rPr>
          <w:rFonts w:ascii="Calibri" w:hAnsi="Calibri" w:cs="Calibri"/>
        </w:rPr>
        <w:t xml:space="preserve"> настоящего Положения, и (или) показателя, предусмотренного </w:t>
      </w:r>
      <w:hyperlink w:anchor="Par84" w:history="1">
        <w:r>
          <w:rPr>
            <w:rFonts w:ascii="Calibri" w:hAnsi="Calibri" w:cs="Calibri"/>
            <w:color w:val="0000FF"/>
          </w:rPr>
          <w:t>подпунктом 3 пункта 2.1</w:t>
        </w:r>
      </w:hyperlink>
      <w:r>
        <w:rPr>
          <w:rFonts w:ascii="Calibri" w:hAnsi="Calibri" w:cs="Calibri"/>
        </w:rPr>
        <w:t xml:space="preserve"> настоящего Положения, иные показатели, предусмотренные</w:t>
      </w:r>
      <w:proofErr w:type="gramEnd"/>
      <w:r>
        <w:rPr>
          <w:rFonts w:ascii="Calibri" w:hAnsi="Calibri" w:cs="Calibri"/>
        </w:rPr>
        <w:t xml:space="preserve"> </w:t>
      </w:r>
      <w:hyperlink w:anchor="Par81" w:history="1">
        <w:r>
          <w:rPr>
            <w:rFonts w:ascii="Calibri" w:hAnsi="Calibri" w:cs="Calibri"/>
            <w:color w:val="0000FF"/>
          </w:rPr>
          <w:t>пунктом 2.1</w:t>
        </w:r>
      </w:hyperlink>
      <w:r>
        <w:rPr>
          <w:rFonts w:ascii="Calibri" w:hAnsi="Calibri" w:cs="Calibri"/>
        </w:rPr>
        <w:t xml:space="preserve"> настоящего Положения, в отношении указанных ценных бумаг могут не рассчитываться.</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Показатель, предусмотренный </w:t>
      </w:r>
      <w:hyperlink w:anchor="Par82" w:history="1">
        <w:r>
          <w:rPr>
            <w:rFonts w:ascii="Calibri" w:hAnsi="Calibri" w:cs="Calibri"/>
            <w:color w:val="0000FF"/>
          </w:rPr>
          <w:t>подпунктом 1 пункта 2.1</w:t>
        </w:r>
      </w:hyperlink>
      <w:r>
        <w:rPr>
          <w:rFonts w:ascii="Calibri" w:hAnsi="Calibri" w:cs="Calibri"/>
        </w:rPr>
        <w:t xml:space="preserve"> настоящего Положения, в отношении ценных бумаг иностранного эмитента, допускаемых к публичному размещению и (или) публичному обращению в Российской Федерации, определяется на основании договора российской фондовой биржи с участником торгов, принявшим перед этой фондовой биржей обязательства </w:t>
      </w:r>
      <w:proofErr w:type="spellStart"/>
      <w:r>
        <w:rPr>
          <w:rFonts w:ascii="Calibri" w:hAnsi="Calibri" w:cs="Calibri"/>
        </w:rPr>
        <w:t>маркет-мейкера</w:t>
      </w:r>
      <w:proofErr w:type="spellEnd"/>
      <w:r>
        <w:rPr>
          <w:rFonts w:ascii="Calibri" w:hAnsi="Calibri" w:cs="Calibri"/>
        </w:rPr>
        <w:t xml:space="preserve">. При этом под разницей между лучшей ценой предложения на продажу и лучшей ценой предложения на покупку указанных ценных бумаг понимается максимальная разница между лучшей ценой предложения на их продажу и лучшей ценой предложения на их покупку, предусмотренная договором российской фондовой биржи с </w:t>
      </w:r>
      <w:proofErr w:type="spellStart"/>
      <w:r>
        <w:rPr>
          <w:rFonts w:ascii="Calibri" w:hAnsi="Calibri" w:cs="Calibri"/>
        </w:rPr>
        <w:t>маркет-мейкером</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5" w:name="Par87"/>
      <w:bookmarkEnd w:id="15"/>
      <w:r>
        <w:rPr>
          <w:rFonts w:ascii="Calibri" w:hAnsi="Calibri" w:cs="Calibri"/>
        </w:rPr>
        <w:t xml:space="preserve">2.4. </w:t>
      </w:r>
      <w:proofErr w:type="gramStart"/>
      <w:r>
        <w:rPr>
          <w:rFonts w:ascii="Calibri" w:hAnsi="Calibri" w:cs="Calibri"/>
        </w:rPr>
        <w:t xml:space="preserve">Показатель, предусмотренный </w:t>
      </w:r>
      <w:hyperlink w:anchor="Par82" w:history="1">
        <w:r>
          <w:rPr>
            <w:rFonts w:ascii="Calibri" w:hAnsi="Calibri" w:cs="Calibri"/>
            <w:color w:val="0000FF"/>
          </w:rPr>
          <w:t>подпунктом 1 пункта 2.1</w:t>
        </w:r>
      </w:hyperlink>
      <w:r>
        <w:rPr>
          <w:rFonts w:ascii="Calibri" w:hAnsi="Calibri" w:cs="Calibri"/>
        </w:rPr>
        <w:t xml:space="preserve"> настоящего Положения, в отношении ценных бумаг (облигаций) иностранного государства (центрального банка иностранного государства), допускаемых к публичному размещению и (или) публичному обращению в Российской Федерации, может определяться на основании заявок, выставленных в информационной системе "</w:t>
      </w:r>
      <w:proofErr w:type="spellStart"/>
      <w:r>
        <w:rPr>
          <w:rFonts w:ascii="Calibri" w:hAnsi="Calibri" w:cs="Calibri"/>
        </w:rPr>
        <w:t>Блумберг</w:t>
      </w:r>
      <w:proofErr w:type="spellEnd"/>
      <w:r>
        <w:rPr>
          <w:rFonts w:ascii="Calibri" w:hAnsi="Calibri" w:cs="Calibri"/>
        </w:rPr>
        <w:t>" (</w:t>
      </w:r>
      <w:proofErr w:type="spellStart"/>
      <w:r>
        <w:rPr>
          <w:rFonts w:ascii="Calibri" w:hAnsi="Calibri" w:cs="Calibri"/>
        </w:rPr>
        <w:t>Bloomberg</w:t>
      </w:r>
      <w:proofErr w:type="spellEnd"/>
      <w:r>
        <w:rPr>
          <w:rFonts w:ascii="Calibri" w:hAnsi="Calibri" w:cs="Calibri"/>
        </w:rPr>
        <w:t xml:space="preserve">) либо в информационной системе "Томсон </w:t>
      </w:r>
      <w:proofErr w:type="spellStart"/>
      <w:r>
        <w:rPr>
          <w:rFonts w:ascii="Calibri" w:hAnsi="Calibri" w:cs="Calibri"/>
        </w:rPr>
        <w:t>Рейтерс</w:t>
      </w:r>
      <w:proofErr w:type="spellEnd"/>
      <w:r>
        <w:rPr>
          <w:rFonts w:ascii="Calibri" w:hAnsi="Calibri" w:cs="Calibri"/>
        </w:rPr>
        <w:t>" (</w:t>
      </w:r>
      <w:proofErr w:type="spellStart"/>
      <w:r>
        <w:rPr>
          <w:rFonts w:ascii="Calibri" w:hAnsi="Calibri" w:cs="Calibri"/>
        </w:rPr>
        <w:t>Thompson</w:t>
      </w:r>
      <w:proofErr w:type="spellEnd"/>
      <w:r>
        <w:rPr>
          <w:rFonts w:ascii="Calibri" w:hAnsi="Calibri" w:cs="Calibri"/>
        </w:rPr>
        <w:t xml:space="preserve"> </w:t>
      </w:r>
      <w:proofErr w:type="spellStart"/>
      <w:r>
        <w:rPr>
          <w:rFonts w:ascii="Calibri" w:hAnsi="Calibri" w:cs="Calibri"/>
        </w:rPr>
        <w:t>Reuters</w:t>
      </w:r>
      <w:proofErr w:type="spellEnd"/>
      <w:r>
        <w:rPr>
          <w:rFonts w:ascii="Calibri" w:hAnsi="Calibri" w:cs="Calibri"/>
        </w:rPr>
        <w:t>), при условии, что указанные заявки выставлены в соответствующей информационной системе как</w:t>
      </w:r>
      <w:proofErr w:type="gramEnd"/>
      <w:r>
        <w:rPr>
          <w:rFonts w:ascii="Calibri" w:hAnsi="Calibri" w:cs="Calibri"/>
        </w:rPr>
        <w:t xml:space="preserve"> минимум тремя дилерами, каждый из которых одновременно выставил заявку на покупку и заявку на продажу указанных ценных бумаг, а в случае, если такие ценные бумаги не размещены - заявку на покупку и заявку на продажу иных ценных бумаг (облигаций) того же иностранного государства (центрального банка того же иностранного государства).</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6" w:name="Par88"/>
      <w:bookmarkEnd w:id="16"/>
      <w:r>
        <w:rPr>
          <w:rFonts w:ascii="Calibri" w:hAnsi="Calibri" w:cs="Calibri"/>
        </w:rPr>
        <w:t xml:space="preserve">2.5. Показатель, предусмотренный </w:t>
      </w:r>
      <w:hyperlink w:anchor="Par82" w:history="1">
        <w:r>
          <w:rPr>
            <w:rFonts w:ascii="Calibri" w:hAnsi="Calibri" w:cs="Calibri"/>
            <w:color w:val="0000FF"/>
          </w:rPr>
          <w:t>подпунктом 1 пункта 2.1</w:t>
        </w:r>
      </w:hyperlink>
      <w:r>
        <w:rPr>
          <w:rFonts w:ascii="Calibri" w:hAnsi="Calibri" w:cs="Calibri"/>
        </w:rPr>
        <w:t xml:space="preserve"> настоящего Положения, в отношении ценных бумаг, уже допущенных к торгам на российской фондовой бирже, рассчитывается по следующей формуле:</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Pr="007F43CE" w:rsidRDefault="007F43CE">
      <w:pPr>
        <w:pStyle w:val="ConsPlusNonformat"/>
        <w:rPr>
          <w:lang w:val="en-US"/>
        </w:rPr>
      </w:pPr>
      <w:r>
        <w:t xml:space="preserve">                                  </w:t>
      </w:r>
      <w:r w:rsidRPr="007F43CE">
        <w:rPr>
          <w:lang w:val="en-US"/>
        </w:rPr>
        <w:t>Ask  - Bid</w:t>
      </w:r>
    </w:p>
    <w:p w:rsidR="007F43CE" w:rsidRPr="007F43CE" w:rsidRDefault="007F43CE">
      <w:pPr>
        <w:pStyle w:val="ConsPlusNonformat"/>
        <w:rPr>
          <w:lang w:val="en-US"/>
        </w:rPr>
      </w:pPr>
      <w:r w:rsidRPr="007F43CE">
        <w:rPr>
          <w:lang w:val="en-US"/>
        </w:rPr>
        <w:t xml:space="preserve">                               n     </w:t>
      </w:r>
      <w:proofErr w:type="spellStart"/>
      <w:r w:rsidRPr="007F43CE">
        <w:rPr>
          <w:lang w:val="en-US"/>
        </w:rPr>
        <w:t>i</w:t>
      </w:r>
      <w:proofErr w:type="spellEnd"/>
      <w:r w:rsidRPr="007F43CE">
        <w:rPr>
          <w:lang w:val="en-US"/>
        </w:rPr>
        <w:t xml:space="preserve">      </w:t>
      </w:r>
      <w:proofErr w:type="spellStart"/>
      <w:r w:rsidRPr="007F43CE">
        <w:rPr>
          <w:lang w:val="en-US"/>
        </w:rPr>
        <w:t>i</w:t>
      </w:r>
      <w:proofErr w:type="spellEnd"/>
    </w:p>
    <w:p w:rsidR="007F43CE" w:rsidRPr="007F43CE" w:rsidRDefault="007F43CE">
      <w:pPr>
        <w:pStyle w:val="ConsPlusNonformat"/>
        <w:rPr>
          <w:lang w:val="en-US"/>
        </w:rPr>
      </w:pPr>
      <w:r w:rsidRPr="007F43CE">
        <w:rPr>
          <w:lang w:val="en-US"/>
        </w:rPr>
        <w:t xml:space="preserve">                              SUM(-----------)</w:t>
      </w:r>
    </w:p>
    <w:p w:rsidR="007F43CE" w:rsidRDefault="007F43CE">
      <w:pPr>
        <w:pStyle w:val="ConsPlusNonformat"/>
      </w:pPr>
      <w:r w:rsidRPr="007F43CE">
        <w:rPr>
          <w:lang w:val="en-US"/>
        </w:rPr>
        <w:t xml:space="preserve">                              </w:t>
      </w:r>
      <w:r>
        <w:t xml:space="preserve">i=1    </w:t>
      </w:r>
      <w:proofErr w:type="spellStart"/>
      <w:r>
        <w:t>Bid</w:t>
      </w:r>
      <w:proofErr w:type="spellEnd"/>
    </w:p>
    <w:p w:rsidR="007F43CE" w:rsidRDefault="007F43CE">
      <w:pPr>
        <w:pStyle w:val="ConsPlusNonformat"/>
      </w:pPr>
      <w:r>
        <w:t xml:space="preserve">                                        </w:t>
      </w:r>
      <w:proofErr w:type="spellStart"/>
      <w:r>
        <w:t>i</w:t>
      </w:r>
      <w:proofErr w:type="spellEnd"/>
    </w:p>
    <w:p w:rsidR="007F43CE" w:rsidRDefault="007F43CE">
      <w:pPr>
        <w:pStyle w:val="ConsPlusNonformat"/>
      </w:pPr>
      <w:r>
        <w:t xml:space="preserve">                         P = -------------------, где:</w:t>
      </w:r>
    </w:p>
    <w:p w:rsidR="007F43CE" w:rsidRDefault="007F43CE">
      <w:pPr>
        <w:pStyle w:val="ConsPlusNonformat"/>
      </w:pPr>
      <w:r>
        <w:t xml:space="preserve">                                      </w:t>
      </w:r>
      <w:proofErr w:type="spellStart"/>
      <w:r>
        <w:t>n</w:t>
      </w:r>
      <w:proofErr w:type="spellEnd"/>
    </w:p>
    <w:p w:rsidR="007F43CE" w:rsidRDefault="007F43CE">
      <w:pPr>
        <w:pStyle w:val="ConsPlusNonformat"/>
      </w:pPr>
    </w:p>
    <w:p w:rsidR="007F43CE" w:rsidRDefault="007F43CE">
      <w:pPr>
        <w:pStyle w:val="ConsPlusNonformat"/>
      </w:pPr>
      <w:r>
        <w:t xml:space="preserve">    P  -  разница  между лучшей ценой предложения на покупку и лучшей ценой</w:t>
      </w:r>
    </w:p>
    <w:p w:rsidR="007F43CE" w:rsidRDefault="007F43CE">
      <w:pPr>
        <w:pStyle w:val="ConsPlusNonformat"/>
      </w:pPr>
      <w:r>
        <w:t xml:space="preserve">предложения  на  продажу  ценной  бумаги, допущенной к торгам </w:t>
      </w:r>
      <w:proofErr w:type="gramStart"/>
      <w:r>
        <w:t>на</w:t>
      </w:r>
      <w:proofErr w:type="gramEnd"/>
      <w:r>
        <w:t xml:space="preserve"> российской</w:t>
      </w:r>
    </w:p>
    <w:p w:rsidR="007F43CE" w:rsidRDefault="007F43CE">
      <w:pPr>
        <w:pStyle w:val="ConsPlusNonformat"/>
      </w:pPr>
      <w:r>
        <w:t>фондовой бирже;</w:t>
      </w:r>
    </w:p>
    <w:p w:rsidR="007F43CE" w:rsidRDefault="007F43CE">
      <w:pPr>
        <w:pStyle w:val="ConsPlusNonformat"/>
      </w:pPr>
      <w:r>
        <w:t xml:space="preserve">    </w:t>
      </w:r>
      <w:proofErr w:type="spellStart"/>
      <w:r>
        <w:t>Bid</w:t>
      </w:r>
      <w:proofErr w:type="spellEnd"/>
      <w:r>
        <w:t xml:space="preserve">   -  лучшая  цена  предложения  на покупку ценной бумаги по заявке,</w:t>
      </w:r>
    </w:p>
    <w:p w:rsidR="007F43CE" w:rsidRDefault="007F43CE">
      <w:pPr>
        <w:pStyle w:val="ConsPlusNonformat"/>
      </w:pPr>
      <w:r>
        <w:t xml:space="preserve">       </w:t>
      </w:r>
      <w:proofErr w:type="spellStart"/>
      <w:r>
        <w:t>i</w:t>
      </w:r>
      <w:proofErr w:type="spellEnd"/>
    </w:p>
    <w:p w:rsidR="007F43CE" w:rsidRDefault="007F43CE">
      <w:pPr>
        <w:pStyle w:val="ConsPlusNonformat"/>
      </w:pPr>
      <w:proofErr w:type="gramStart"/>
      <w:r>
        <w:t>которая</w:t>
      </w:r>
      <w:proofErr w:type="gramEnd"/>
      <w:r>
        <w:t xml:space="preserve">  подана  на  торгах российской фондовой биржи и на момент окончания</w:t>
      </w:r>
    </w:p>
    <w:p w:rsidR="007F43CE" w:rsidRDefault="007F43CE">
      <w:pPr>
        <w:pStyle w:val="ConsPlusNonformat"/>
      </w:pPr>
      <w:r>
        <w:t xml:space="preserve">основной торговой сессии i-го торгового дня не </w:t>
      </w:r>
      <w:proofErr w:type="gramStart"/>
      <w:r>
        <w:t>удалена</w:t>
      </w:r>
      <w:proofErr w:type="gramEnd"/>
      <w:r>
        <w:t xml:space="preserve"> (не отозвана)  и  не</w:t>
      </w:r>
    </w:p>
    <w:p w:rsidR="007F43CE" w:rsidRDefault="007F43CE">
      <w:pPr>
        <w:pStyle w:val="ConsPlusNonformat"/>
      </w:pPr>
      <w:proofErr w:type="gramStart"/>
      <w:r>
        <w:t>исполнена</w:t>
      </w:r>
      <w:proofErr w:type="gramEnd"/>
      <w:r>
        <w:t xml:space="preserve"> или исполнена не в полном объеме;</w:t>
      </w:r>
    </w:p>
    <w:p w:rsidR="007F43CE" w:rsidRDefault="007F43CE">
      <w:pPr>
        <w:pStyle w:val="ConsPlusNonformat"/>
      </w:pPr>
      <w:r>
        <w:t xml:space="preserve">    </w:t>
      </w:r>
      <w:proofErr w:type="spellStart"/>
      <w:r>
        <w:t>Ask</w:t>
      </w:r>
      <w:proofErr w:type="spellEnd"/>
      <w:r>
        <w:t xml:space="preserve">   -  лучшая  цена  предложения  на продажу ценной бумаги по заявке,</w:t>
      </w:r>
    </w:p>
    <w:p w:rsidR="007F43CE" w:rsidRDefault="007F43CE">
      <w:pPr>
        <w:pStyle w:val="ConsPlusNonformat"/>
      </w:pPr>
      <w:r>
        <w:t xml:space="preserve">       </w:t>
      </w:r>
      <w:proofErr w:type="spellStart"/>
      <w:r>
        <w:t>i</w:t>
      </w:r>
      <w:proofErr w:type="spellEnd"/>
    </w:p>
    <w:p w:rsidR="007F43CE" w:rsidRDefault="007F43CE">
      <w:pPr>
        <w:pStyle w:val="ConsPlusNonformat"/>
      </w:pPr>
      <w:proofErr w:type="gramStart"/>
      <w:r>
        <w:t>которая</w:t>
      </w:r>
      <w:proofErr w:type="gramEnd"/>
      <w:r>
        <w:t xml:space="preserve">  подана  на  торгах российской фондовой биржи и на момент окончания</w:t>
      </w:r>
    </w:p>
    <w:p w:rsidR="007F43CE" w:rsidRDefault="007F43CE">
      <w:pPr>
        <w:pStyle w:val="ConsPlusNonformat"/>
      </w:pPr>
      <w:r>
        <w:t xml:space="preserve">основной  торговой  сессии i-го торгового дня не </w:t>
      </w:r>
      <w:proofErr w:type="gramStart"/>
      <w:r>
        <w:t>удалена</w:t>
      </w:r>
      <w:proofErr w:type="gramEnd"/>
      <w:r>
        <w:t xml:space="preserve">  (не  отозвана)  и</w:t>
      </w:r>
    </w:p>
    <w:p w:rsidR="007F43CE" w:rsidRDefault="007F43CE">
      <w:pPr>
        <w:pStyle w:val="ConsPlusNonformat"/>
      </w:pPr>
      <w:r>
        <w:t xml:space="preserve">не </w:t>
      </w:r>
      <w:proofErr w:type="gramStart"/>
      <w:r>
        <w:t>исполнена</w:t>
      </w:r>
      <w:proofErr w:type="gramEnd"/>
      <w:r>
        <w:t xml:space="preserve"> или исполнена не в полном объеме;</w:t>
      </w:r>
    </w:p>
    <w:p w:rsidR="007F43CE" w:rsidRDefault="007F43CE">
      <w:pPr>
        <w:pStyle w:val="ConsPlusNonformat"/>
      </w:pPr>
      <w:r>
        <w:t xml:space="preserve">    </w:t>
      </w:r>
      <w:proofErr w:type="spellStart"/>
      <w:r>
        <w:t>n</w:t>
      </w:r>
      <w:proofErr w:type="spellEnd"/>
      <w:r>
        <w:t xml:space="preserve"> - количество торговых дней, за которые произведен расчет.</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Показатель, предусмотренный </w:t>
      </w:r>
      <w:hyperlink w:anchor="Par82" w:history="1">
        <w:r>
          <w:rPr>
            <w:rFonts w:ascii="Calibri" w:hAnsi="Calibri" w:cs="Calibri"/>
            <w:color w:val="0000FF"/>
          </w:rPr>
          <w:t>подпунктом 1 пункта 2.1</w:t>
        </w:r>
      </w:hyperlink>
      <w:r>
        <w:rPr>
          <w:rFonts w:ascii="Calibri" w:hAnsi="Calibri" w:cs="Calibri"/>
        </w:rPr>
        <w:t xml:space="preserve"> настоящего Положения, рассчитанный в отношении ценных бумаг иностранного эмитента, допускаемых к публичному размещению и (или) публичному обращению в Российской Федерации, считается не </w:t>
      </w:r>
      <w:proofErr w:type="gramStart"/>
      <w:r>
        <w:rPr>
          <w:rFonts w:ascii="Calibri" w:hAnsi="Calibri" w:cs="Calibri"/>
        </w:rPr>
        <w:t>ниже указанного</w:t>
      </w:r>
      <w:proofErr w:type="gramEnd"/>
      <w:r>
        <w:rPr>
          <w:rFonts w:ascii="Calibri" w:hAnsi="Calibri" w:cs="Calibri"/>
        </w:rPr>
        <w:t xml:space="preserve"> показателя, рассчитанного в отношении ценных бумаг, уже допущенных к торгам на российской фондовой бирже, если соблюдается следующее соотношение:</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pStyle w:val="ConsPlusNonformat"/>
      </w:pPr>
      <w:r>
        <w:t xml:space="preserve">                             1         </w:t>
      </w:r>
      <w:proofErr w:type="spellStart"/>
      <w:r>
        <w:t>1</w:t>
      </w:r>
      <w:proofErr w:type="spellEnd"/>
    </w:p>
    <w:p w:rsidR="007F43CE" w:rsidRDefault="007F43CE">
      <w:pPr>
        <w:pStyle w:val="ConsPlusNonformat"/>
      </w:pPr>
      <w:r>
        <w:t xml:space="preserve">                           ------ &gt;= -------, где:</w:t>
      </w:r>
    </w:p>
    <w:p w:rsidR="007F43CE" w:rsidRDefault="007F43CE">
      <w:pPr>
        <w:pStyle w:val="ConsPlusNonformat"/>
      </w:pPr>
      <w:r>
        <w:t xml:space="preserve">                               N          D</w:t>
      </w:r>
    </w:p>
    <w:p w:rsidR="007F43CE" w:rsidRDefault="007F43CE">
      <w:pPr>
        <w:pStyle w:val="ConsPlusNonformat"/>
      </w:pPr>
      <w:r>
        <w:t xml:space="preserve">                            ПЛ         </w:t>
      </w:r>
      <w:proofErr w:type="spellStart"/>
      <w:proofErr w:type="gramStart"/>
      <w:r>
        <w:t>ПЛ</w:t>
      </w:r>
      <w:proofErr w:type="spellEnd"/>
      <w:proofErr w:type="gramEnd"/>
    </w:p>
    <w:p w:rsidR="007F43CE" w:rsidRDefault="007F43CE">
      <w:pPr>
        <w:pStyle w:val="ConsPlusNonformat"/>
      </w:pPr>
      <w:r>
        <w:t xml:space="preserve">                              1          </w:t>
      </w:r>
      <w:proofErr w:type="spellStart"/>
      <w:r>
        <w:t>1</w:t>
      </w:r>
      <w:proofErr w:type="spellEnd"/>
    </w:p>
    <w:p w:rsidR="007F43CE" w:rsidRDefault="007F43CE">
      <w:pPr>
        <w:pStyle w:val="ConsPlusNonformat"/>
      </w:pPr>
    </w:p>
    <w:p w:rsidR="007F43CE" w:rsidRDefault="007F43CE">
      <w:pPr>
        <w:pStyle w:val="ConsPlusNonformat"/>
      </w:pPr>
      <w:r>
        <w:t xml:space="preserve">       N</w:t>
      </w:r>
    </w:p>
    <w:p w:rsidR="007F43CE" w:rsidRDefault="007F43CE">
      <w:pPr>
        <w:pStyle w:val="ConsPlusNonformat"/>
      </w:pPr>
      <w:r>
        <w:t xml:space="preserve">    </w:t>
      </w:r>
      <w:proofErr w:type="gramStart"/>
      <w:r>
        <w:t>ПЛ</w:t>
      </w:r>
      <w:proofErr w:type="gramEnd"/>
      <w:r>
        <w:t xml:space="preserve">    -  показатель, предусмотренный </w:t>
      </w:r>
      <w:hyperlink w:anchor="Par82" w:history="1">
        <w:r>
          <w:rPr>
            <w:color w:val="0000FF"/>
          </w:rPr>
          <w:t>подпунктом 1 пункта 2.1</w:t>
        </w:r>
      </w:hyperlink>
      <w:r>
        <w:t xml:space="preserve"> настоящего</w:t>
      </w:r>
    </w:p>
    <w:p w:rsidR="007F43CE" w:rsidRDefault="007F43CE">
      <w:pPr>
        <w:pStyle w:val="ConsPlusNonformat"/>
      </w:pPr>
      <w:r>
        <w:t xml:space="preserve">      1</w:t>
      </w:r>
    </w:p>
    <w:p w:rsidR="007F43CE" w:rsidRDefault="007F43CE">
      <w:pPr>
        <w:pStyle w:val="ConsPlusNonformat"/>
      </w:pPr>
      <w:r>
        <w:t xml:space="preserve">Положения,  </w:t>
      </w:r>
      <w:proofErr w:type="gramStart"/>
      <w:r>
        <w:t>рассчитанный</w:t>
      </w:r>
      <w:proofErr w:type="gramEnd"/>
      <w:r>
        <w:t xml:space="preserve">  в  отношении  ценных бумаг иностранного эмитента,</w:t>
      </w:r>
    </w:p>
    <w:p w:rsidR="007F43CE" w:rsidRDefault="007F43CE">
      <w:pPr>
        <w:pStyle w:val="ConsPlusNonformat"/>
      </w:pPr>
      <w:proofErr w:type="gramStart"/>
      <w:r>
        <w:t>допускаемых</w:t>
      </w:r>
      <w:proofErr w:type="gramEnd"/>
      <w:r>
        <w:t xml:space="preserve">   к  публичному  размещению  и  (или)  публичному  обращению  в</w:t>
      </w:r>
    </w:p>
    <w:p w:rsidR="007F43CE" w:rsidRDefault="007F43CE">
      <w:pPr>
        <w:pStyle w:val="ConsPlusNonformat"/>
      </w:pPr>
      <w:r>
        <w:t>Российской Федерации;</w:t>
      </w:r>
    </w:p>
    <w:p w:rsidR="007F43CE" w:rsidRDefault="007F43CE">
      <w:pPr>
        <w:pStyle w:val="ConsPlusNonformat"/>
      </w:pPr>
      <w:r>
        <w:t xml:space="preserve">       D</w:t>
      </w:r>
    </w:p>
    <w:p w:rsidR="007F43CE" w:rsidRDefault="007F43CE">
      <w:pPr>
        <w:pStyle w:val="ConsPlusNonformat"/>
      </w:pPr>
      <w:r>
        <w:t xml:space="preserve">    </w:t>
      </w:r>
      <w:proofErr w:type="gramStart"/>
      <w:r>
        <w:t>ПЛ</w:t>
      </w:r>
      <w:proofErr w:type="gramEnd"/>
      <w:r>
        <w:t xml:space="preserve">    -  показатель, предусмотренный </w:t>
      </w:r>
      <w:hyperlink w:anchor="Par82" w:history="1">
        <w:r>
          <w:rPr>
            <w:color w:val="0000FF"/>
          </w:rPr>
          <w:t>подпунктом 1 пункта 2.1</w:t>
        </w:r>
      </w:hyperlink>
      <w:r>
        <w:t xml:space="preserve"> настоящего</w:t>
      </w:r>
    </w:p>
    <w:p w:rsidR="007F43CE" w:rsidRDefault="007F43CE">
      <w:pPr>
        <w:pStyle w:val="ConsPlusNonformat"/>
      </w:pPr>
      <w:r>
        <w:t xml:space="preserve">      1</w:t>
      </w:r>
    </w:p>
    <w:p w:rsidR="007F43CE" w:rsidRDefault="007F43CE">
      <w:pPr>
        <w:pStyle w:val="ConsPlusNonformat"/>
      </w:pPr>
      <w:r>
        <w:t xml:space="preserve">Положения,  </w:t>
      </w:r>
      <w:proofErr w:type="gramStart"/>
      <w:r>
        <w:t>рассчитанный</w:t>
      </w:r>
      <w:proofErr w:type="gramEnd"/>
      <w:r>
        <w:t xml:space="preserve">  в отношении ценных бумаг, уже допущенных к торгам</w:t>
      </w:r>
    </w:p>
    <w:p w:rsidR="007F43CE" w:rsidRDefault="007F43CE">
      <w:pPr>
        <w:pStyle w:val="ConsPlusNonformat"/>
      </w:pPr>
      <w:r>
        <w:t>на российской фондовой бирже.</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Показатель, предусмотренный </w:t>
      </w:r>
      <w:hyperlink w:anchor="Par83" w:history="1">
        <w:r>
          <w:rPr>
            <w:rFonts w:ascii="Calibri" w:hAnsi="Calibri" w:cs="Calibri"/>
            <w:color w:val="0000FF"/>
          </w:rPr>
          <w:t>подпунктом 2 пункта 2.1</w:t>
        </w:r>
      </w:hyperlink>
      <w:r>
        <w:rPr>
          <w:rFonts w:ascii="Calibri" w:hAnsi="Calibri" w:cs="Calibri"/>
        </w:rPr>
        <w:t xml:space="preserve"> настоящего Положения, в отношении ценных бумаг иностранного эмитента, допускаемых к публичному размещению и (или) публичному обращению в Российской Федерации, определяется на основании договора российской фондовой биржи с </w:t>
      </w:r>
      <w:proofErr w:type="spellStart"/>
      <w:r>
        <w:rPr>
          <w:rFonts w:ascii="Calibri" w:hAnsi="Calibri" w:cs="Calibri"/>
        </w:rPr>
        <w:t>маркет-мейкером</w:t>
      </w:r>
      <w:proofErr w:type="spellEnd"/>
      <w:r>
        <w:rPr>
          <w:rFonts w:ascii="Calibri" w:hAnsi="Calibri" w:cs="Calibri"/>
        </w:rPr>
        <w:t xml:space="preserve">. При этом под объемом подаваемых заявок на продажу и покупку указанных ценных бумаг понимается минимальный объем подаваемых </w:t>
      </w:r>
      <w:proofErr w:type="spellStart"/>
      <w:r>
        <w:rPr>
          <w:rFonts w:ascii="Calibri" w:hAnsi="Calibri" w:cs="Calibri"/>
        </w:rPr>
        <w:t>маркет-мейкером</w:t>
      </w:r>
      <w:proofErr w:type="spellEnd"/>
      <w:r>
        <w:rPr>
          <w:rFonts w:ascii="Calibri" w:hAnsi="Calibri" w:cs="Calibri"/>
        </w:rPr>
        <w:t xml:space="preserve"> заявок, предусмотренный договором российской фондовой биржи с </w:t>
      </w:r>
      <w:proofErr w:type="spellStart"/>
      <w:r>
        <w:rPr>
          <w:rFonts w:ascii="Calibri" w:hAnsi="Calibri" w:cs="Calibri"/>
        </w:rPr>
        <w:t>маркет-мейкером</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Показатель, предусмотренный </w:t>
      </w:r>
      <w:hyperlink w:anchor="Par83" w:history="1">
        <w:r>
          <w:rPr>
            <w:rFonts w:ascii="Calibri" w:hAnsi="Calibri" w:cs="Calibri"/>
            <w:color w:val="0000FF"/>
          </w:rPr>
          <w:t>подпунктом 2 пункта 2.1</w:t>
        </w:r>
      </w:hyperlink>
      <w:r>
        <w:rPr>
          <w:rFonts w:ascii="Calibri" w:hAnsi="Calibri" w:cs="Calibri"/>
        </w:rPr>
        <w:t xml:space="preserve"> настоящего Положения, в отношении ценных бумаг, уже допущенных к торгам на российской фондовой бирже, рассчитывается по следующей формуле:</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Pr="007F43CE" w:rsidRDefault="007F43CE">
      <w:pPr>
        <w:pStyle w:val="ConsPlusNonformat"/>
        <w:rPr>
          <w:lang w:val="en-US"/>
        </w:rPr>
      </w:pPr>
      <w:r>
        <w:t xml:space="preserve">                         </w:t>
      </w:r>
      <w:r w:rsidRPr="007F43CE">
        <w:rPr>
          <w:lang w:val="en-US"/>
        </w:rPr>
        <w:t>m               m</w:t>
      </w:r>
    </w:p>
    <w:p w:rsidR="007F43CE" w:rsidRPr="007F43CE" w:rsidRDefault="007F43CE">
      <w:pPr>
        <w:pStyle w:val="ConsPlusNonformat"/>
        <w:rPr>
          <w:lang w:val="en-US"/>
        </w:rPr>
      </w:pPr>
      <w:r w:rsidRPr="007F43CE">
        <w:rPr>
          <w:lang w:val="en-US"/>
        </w:rPr>
        <w:t xml:space="preserve">                     n    1               2</w:t>
      </w:r>
    </w:p>
    <w:p w:rsidR="007F43CE" w:rsidRPr="007F43CE" w:rsidRDefault="007F43CE">
      <w:pPr>
        <w:pStyle w:val="ConsPlusNonformat"/>
        <w:rPr>
          <w:lang w:val="en-US"/>
        </w:rPr>
      </w:pPr>
      <w:r w:rsidRPr="007F43CE">
        <w:rPr>
          <w:lang w:val="en-US"/>
        </w:rPr>
        <w:t xml:space="preserve">                    SUM(SUM PB  x QB  + SUM PA  x QA )</w:t>
      </w:r>
    </w:p>
    <w:p w:rsidR="007F43CE" w:rsidRPr="007F43CE" w:rsidRDefault="007F43CE">
      <w:pPr>
        <w:pStyle w:val="ConsPlusNonformat"/>
        <w:rPr>
          <w:lang w:val="en-US"/>
        </w:rPr>
      </w:pPr>
      <w:r w:rsidRPr="007F43CE">
        <w:rPr>
          <w:lang w:val="en-US"/>
        </w:rPr>
        <w:t xml:space="preserve">                    i=1 l=1   l     l   j=1   j     j</w:t>
      </w:r>
    </w:p>
    <w:p w:rsidR="007F43CE" w:rsidRPr="007F43CE" w:rsidRDefault="007F43CE">
      <w:pPr>
        <w:pStyle w:val="ConsPlusNonformat"/>
        <w:rPr>
          <w:lang w:val="en-US"/>
        </w:rPr>
      </w:pPr>
      <w:r w:rsidRPr="007F43CE">
        <w:rPr>
          <w:lang w:val="en-US"/>
        </w:rPr>
        <w:t xml:space="preserve">               V = ------------------------------------, </w:t>
      </w:r>
      <w:r>
        <w:t>где</w:t>
      </w:r>
      <w:r w:rsidRPr="007F43CE">
        <w:rPr>
          <w:lang w:val="en-US"/>
        </w:rPr>
        <w:t>:</w:t>
      </w:r>
    </w:p>
    <w:p w:rsidR="007F43CE" w:rsidRDefault="007F43CE">
      <w:pPr>
        <w:pStyle w:val="ConsPlusNonformat"/>
      </w:pPr>
      <w:r w:rsidRPr="007F43CE">
        <w:rPr>
          <w:lang w:val="en-US"/>
        </w:rPr>
        <w:t xml:space="preserve">                                    </w:t>
      </w:r>
      <w:proofErr w:type="spellStart"/>
      <w:r>
        <w:t>n</w:t>
      </w:r>
      <w:proofErr w:type="spellEnd"/>
    </w:p>
    <w:p w:rsidR="007F43CE" w:rsidRDefault="007F43CE">
      <w:pPr>
        <w:pStyle w:val="ConsPlusNonformat"/>
      </w:pPr>
    </w:p>
    <w:p w:rsidR="007F43CE" w:rsidRDefault="007F43CE">
      <w:pPr>
        <w:pStyle w:val="ConsPlusNonformat"/>
      </w:pPr>
      <w:r>
        <w:t xml:space="preserve">    V - объем заявок на продажу и покупку ценных бумаг, допущенных к торгам</w:t>
      </w:r>
    </w:p>
    <w:p w:rsidR="007F43CE" w:rsidRDefault="007F43CE">
      <w:pPr>
        <w:pStyle w:val="ConsPlusNonformat"/>
      </w:pPr>
      <w:r>
        <w:t>на российской фондовой бирже;</w:t>
      </w:r>
    </w:p>
    <w:p w:rsidR="007F43CE" w:rsidRDefault="007F43CE">
      <w:pPr>
        <w:pStyle w:val="ConsPlusNonformat"/>
      </w:pPr>
      <w:r>
        <w:t xml:space="preserve">    PB   -  цена, указанная в </w:t>
      </w:r>
      <w:proofErr w:type="spellStart"/>
      <w:r>
        <w:t>l-й</w:t>
      </w:r>
      <w:proofErr w:type="spellEnd"/>
      <w:r>
        <w:t xml:space="preserve"> заявке на покупку ценных  бумаг,  которая</w:t>
      </w:r>
    </w:p>
    <w:p w:rsidR="007F43CE" w:rsidRDefault="007F43CE">
      <w:pPr>
        <w:pStyle w:val="ConsPlusNonformat"/>
      </w:pPr>
      <w:r>
        <w:t xml:space="preserve">      </w:t>
      </w:r>
      <w:proofErr w:type="spellStart"/>
      <w:r>
        <w:t>l</w:t>
      </w:r>
      <w:proofErr w:type="spellEnd"/>
    </w:p>
    <w:p w:rsidR="007F43CE" w:rsidRDefault="007F43CE">
      <w:pPr>
        <w:pStyle w:val="ConsPlusNonformat"/>
      </w:pPr>
      <w:proofErr w:type="gramStart"/>
      <w:r>
        <w:t>подана</w:t>
      </w:r>
      <w:proofErr w:type="gramEnd"/>
      <w:r>
        <w:t xml:space="preserve">  на  торгах российской фондовой биржи и на момент окончания основной</w:t>
      </w:r>
    </w:p>
    <w:p w:rsidR="007F43CE" w:rsidRDefault="007F43CE">
      <w:pPr>
        <w:pStyle w:val="ConsPlusNonformat"/>
      </w:pPr>
      <w:r>
        <w:t xml:space="preserve">торговой  сессии  i-го   торгового   дня  не  </w:t>
      </w:r>
      <w:proofErr w:type="gramStart"/>
      <w:r>
        <w:t>удалена</w:t>
      </w:r>
      <w:proofErr w:type="gramEnd"/>
      <w:r>
        <w:t xml:space="preserve">  (не  отозвана)  и не</w:t>
      </w:r>
    </w:p>
    <w:p w:rsidR="007F43CE" w:rsidRDefault="007F43CE">
      <w:pPr>
        <w:pStyle w:val="ConsPlusNonformat"/>
      </w:pPr>
      <w:proofErr w:type="gramStart"/>
      <w:r>
        <w:t>исполнена</w:t>
      </w:r>
      <w:proofErr w:type="gramEnd"/>
      <w:r>
        <w:t xml:space="preserve"> или исполнена не в полном объеме;</w:t>
      </w:r>
    </w:p>
    <w:p w:rsidR="007F43CE" w:rsidRDefault="007F43CE">
      <w:pPr>
        <w:pStyle w:val="ConsPlusNonformat"/>
      </w:pPr>
      <w:r>
        <w:t xml:space="preserve">    QB   -  количество  ценных  бумаг,  указанное в </w:t>
      </w:r>
      <w:proofErr w:type="spellStart"/>
      <w:r>
        <w:t>l-й</w:t>
      </w:r>
      <w:proofErr w:type="spellEnd"/>
      <w:r>
        <w:t xml:space="preserve">  заявке на  покупку</w:t>
      </w:r>
    </w:p>
    <w:p w:rsidR="007F43CE" w:rsidRDefault="007F43CE">
      <w:pPr>
        <w:pStyle w:val="ConsPlusNonformat"/>
      </w:pPr>
      <w:r>
        <w:t xml:space="preserve">      </w:t>
      </w:r>
      <w:proofErr w:type="spellStart"/>
      <w:r>
        <w:t>l</w:t>
      </w:r>
      <w:proofErr w:type="spellEnd"/>
    </w:p>
    <w:p w:rsidR="007F43CE" w:rsidRDefault="007F43CE">
      <w:pPr>
        <w:pStyle w:val="ConsPlusNonformat"/>
      </w:pPr>
      <w:r>
        <w:t xml:space="preserve">ценных  бумаг,  </w:t>
      </w:r>
      <w:proofErr w:type="gramStart"/>
      <w:r>
        <w:t>которая</w:t>
      </w:r>
      <w:proofErr w:type="gramEnd"/>
      <w:r>
        <w:t xml:space="preserve">  подана  на  торгах  российской фондовой биржи и на</w:t>
      </w:r>
    </w:p>
    <w:p w:rsidR="007F43CE" w:rsidRDefault="007F43CE">
      <w:pPr>
        <w:pStyle w:val="ConsPlusNonformat"/>
      </w:pPr>
      <w:r>
        <w:t xml:space="preserve">момент  окончания  основной торговой  сессии i-го торгового  дня не </w:t>
      </w:r>
      <w:proofErr w:type="gramStart"/>
      <w:r>
        <w:t>удалена</w:t>
      </w:r>
      <w:proofErr w:type="gramEnd"/>
    </w:p>
    <w:p w:rsidR="007F43CE" w:rsidRDefault="007F43CE">
      <w:pPr>
        <w:pStyle w:val="ConsPlusNonformat"/>
      </w:pPr>
      <w:r>
        <w:t xml:space="preserve">(не </w:t>
      </w:r>
      <w:proofErr w:type="gramStart"/>
      <w:r>
        <w:t>отозвана</w:t>
      </w:r>
      <w:proofErr w:type="gramEnd"/>
      <w:r>
        <w:t>) и не исполнена или исполнена не в полном объеме;</w:t>
      </w:r>
    </w:p>
    <w:p w:rsidR="007F43CE" w:rsidRDefault="007F43CE">
      <w:pPr>
        <w:pStyle w:val="ConsPlusNonformat"/>
      </w:pPr>
      <w:r>
        <w:t xml:space="preserve">    PA   -  цена, указанная в </w:t>
      </w:r>
      <w:proofErr w:type="spellStart"/>
      <w:r>
        <w:t>j-й</w:t>
      </w:r>
      <w:proofErr w:type="spellEnd"/>
      <w:r>
        <w:t xml:space="preserve">  заявке  на продажу ценных бумаг, которая</w:t>
      </w:r>
    </w:p>
    <w:p w:rsidR="007F43CE" w:rsidRDefault="007F43CE">
      <w:pPr>
        <w:pStyle w:val="ConsPlusNonformat"/>
      </w:pPr>
      <w:r>
        <w:t xml:space="preserve">      </w:t>
      </w:r>
      <w:proofErr w:type="spellStart"/>
      <w:r>
        <w:t>j</w:t>
      </w:r>
      <w:proofErr w:type="spellEnd"/>
    </w:p>
    <w:p w:rsidR="007F43CE" w:rsidRDefault="007F43CE">
      <w:pPr>
        <w:pStyle w:val="ConsPlusNonformat"/>
      </w:pPr>
      <w:proofErr w:type="gramStart"/>
      <w:r>
        <w:t>подана</w:t>
      </w:r>
      <w:proofErr w:type="gramEnd"/>
      <w:r>
        <w:t xml:space="preserve">  на  торгах российской фондовой биржи и на момент окончания основной</w:t>
      </w:r>
    </w:p>
    <w:p w:rsidR="007F43CE" w:rsidRDefault="007F43CE">
      <w:pPr>
        <w:pStyle w:val="ConsPlusNonformat"/>
      </w:pPr>
      <w:r>
        <w:t xml:space="preserve">торговой  сессии   i-го  торгового   дня  не  </w:t>
      </w:r>
      <w:proofErr w:type="gramStart"/>
      <w:r>
        <w:t>удалена</w:t>
      </w:r>
      <w:proofErr w:type="gramEnd"/>
      <w:r>
        <w:t xml:space="preserve">  (не  отозвана)  и не</w:t>
      </w:r>
    </w:p>
    <w:p w:rsidR="007F43CE" w:rsidRDefault="007F43CE">
      <w:pPr>
        <w:pStyle w:val="ConsPlusNonformat"/>
      </w:pPr>
      <w:proofErr w:type="gramStart"/>
      <w:r>
        <w:t>исполнена</w:t>
      </w:r>
      <w:proofErr w:type="gramEnd"/>
      <w:r>
        <w:t xml:space="preserve"> или исполнена не в полном объеме;</w:t>
      </w:r>
    </w:p>
    <w:p w:rsidR="007F43CE" w:rsidRDefault="007F43CE">
      <w:pPr>
        <w:pStyle w:val="ConsPlusNonformat"/>
      </w:pPr>
      <w:r>
        <w:t xml:space="preserve">    QA   -  количество  ценных  бумаг,  указанное в </w:t>
      </w:r>
      <w:proofErr w:type="spellStart"/>
      <w:r>
        <w:t>j-й</w:t>
      </w:r>
      <w:proofErr w:type="spellEnd"/>
      <w:r>
        <w:t xml:space="preserve"> заявке  на  продажу</w:t>
      </w:r>
    </w:p>
    <w:p w:rsidR="007F43CE" w:rsidRDefault="007F43CE">
      <w:pPr>
        <w:pStyle w:val="ConsPlusNonformat"/>
      </w:pPr>
      <w:r>
        <w:t xml:space="preserve">      </w:t>
      </w:r>
      <w:proofErr w:type="spellStart"/>
      <w:r>
        <w:t>j</w:t>
      </w:r>
      <w:proofErr w:type="spellEnd"/>
    </w:p>
    <w:p w:rsidR="007F43CE" w:rsidRDefault="007F43CE">
      <w:pPr>
        <w:pStyle w:val="ConsPlusNonformat"/>
      </w:pPr>
      <w:r>
        <w:t xml:space="preserve">ценных  бумаг,  </w:t>
      </w:r>
      <w:proofErr w:type="gramStart"/>
      <w:r>
        <w:t>которая</w:t>
      </w:r>
      <w:proofErr w:type="gramEnd"/>
      <w:r>
        <w:t xml:space="preserve">  подана  на  торгах  российской фондовой биржи и на</w:t>
      </w:r>
    </w:p>
    <w:p w:rsidR="007F43CE" w:rsidRDefault="007F43CE">
      <w:pPr>
        <w:pStyle w:val="ConsPlusNonformat"/>
      </w:pPr>
      <w:r>
        <w:t xml:space="preserve">момент  окончания  основной торговой сессии i-го  торгового  дня не </w:t>
      </w:r>
      <w:proofErr w:type="gramStart"/>
      <w:r>
        <w:t>удалена</w:t>
      </w:r>
      <w:proofErr w:type="gramEnd"/>
    </w:p>
    <w:p w:rsidR="007F43CE" w:rsidRDefault="007F43CE">
      <w:pPr>
        <w:pStyle w:val="ConsPlusNonformat"/>
      </w:pPr>
      <w:r>
        <w:t xml:space="preserve">(не </w:t>
      </w:r>
      <w:proofErr w:type="gramStart"/>
      <w:r>
        <w:t>отозвана</w:t>
      </w:r>
      <w:proofErr w:type="gramEnd"/>
      <w:r>
        <w:t>) и не исполнена или исполнена не в полном объеме;</w:t>
      </w:r>
    </w:p>
    <w:p w:rsidR="007F43CE" w:rsidRDefault="007F43CE">
      <w:pPr>
        <w:pStyle w:val="ConsPlusNonformat"/>
      </w:pPr>
      <w:r>
        <w:t xml:space="preserve">    </w:t>
      </w:r>
      <w:proofErr w:type="spellStart"/>
      <w:r>
        <w:t>m</w:t>
      </w:r>
      <w:proofErr w:type="spellEnd"/>
      <w:r>
        <w:t xml:space="preserve">   -  количество  заявок  на  покупку  ценных бумаг, которые поданы </w:t>
      </w:r>
      <w:proofErr w:type="gramStart"/>
      <w:r>
        <w:t>на</w:t>
      </w:r>
      <w:proofErr w:type="gramEnd"/>
    </w:p>
    <w:p w:rsidR="007F43CE" w:rsidRDefault="007F43CE">
      <w:pPr>
        <w:pStyle w:val="ConsPlusNonformat"/>
      </w:pPr>
      <w:r>
        <w:t xml:space="preserve">     1</w:t>
      </w:r>
    </w:p>
    <w:p w:rsidR="007F43CE" w:rsidRDefault="007F43CE">
      <w:pPr>
        <w:pStyle w:val="ConsPlusNonformat"/>
      </w:pPr>
      <w:proofErr w:type="gramStart"/>
      <w:r>
        <w:t>торгах</w:t>
      </w:r>
      <w:proofErr w:type="gramEnd"/>
      <w:r>
        <w:t xml:space="preserve">  российской  фондовой  биржи и на момент окончания основной торговой</w:t>
      </w:r>
    </w:p>
    <w:p w:rsidR="007F43CE" w:rsidRDefault="007F43CE">
      <w:pPr>
        <w:pStyle w:val="ConsPlusNonformat"/>
      </w:pPr>
      <w:r>
        <w:t>сессии  i-го  торгового  дня  не  удалены  (не отозваны) и не исполнены или</w:t>
      </w:r>
    </w:p>
    <w:p w:rsidR="007F43CE" w:rsidRDefault="007F43CE">
      <w:pPr>
        <w:pStyle w:val="ConsPlusNonformat"/>
      </w:pPr>
      <w:r>
        <w:t xml:space="preserve">исполнены  не  в полном объеме, в </w:t>
      </w:r>
      <w:proofErr w:type="gramStart"/>
      <w:r>
        <w:t>которых</w:t>
      </w:r>
      <w:proofErr w:type="gramEnd"/>
      <w:r>
        <w:t xml:space="preserve"> указаны цены, входящие в диапазон</w:t>
      </w:r>
    </w:p>
    <w:p w:rsidR="007F43CE" w:rsidRDefault="007F43CE">
      <w:pPr>
        <w:pStyle w:val="ConsPlusNonformat"/>
      </w:pPr>
      <w:r>
        <w:t>[</w:t>
      </w:r>
      <w:proofErr w:type="spellStart"/>
      <w:r>
        <w:t>Bid</w:t>
      </w:r>
      <w:proofErr w:type="spellEnd"/>
      <w:r>
        <w:t xml:space="preserve">   -  0,2(</w:t>
      </w:r>
      <w:proofErr w:type="spellStart"/>
      <w:r>
        <w:t>Ask</w:t>
      </w:r>
      <w:proofErr w:type="spellEnd"/>
      <w:r>
        <w:t xml:space="preserve">   - </w:t>
      </w:r>
      <w:proofErr w:type="spellStart"/>
      <w:r>
        <w:t>Bid</w:t>
      </w:r>
      <w:proofErr w:type="spellEnd"/>
      <w:proofErr w:type="gramStart"/>
      <w:r>
        <w:t xml:space="preserve"> )</w:t>
      </w:r>
      <w:proofErr w:type="gramEnd"/>
      <w:r>
        <w:t xml:space="preserve">; </w:t>
      </w:r>
      <w:proofErr w:type="spellStart"/>
      <w:r>
        <w:t>Bid</w:t>
      </w:r>
      <w:proofErr w:type="spellEnd"/>
      <w:r>
        <w:t xml:space="preserve"> ], где </w:t>
      </w:r>
      <w:proofErr w:type="spellStart"/>
      <w:r>
        <w:t>Ask</w:t>
      </w:r>
      <w:proofErr w:type="spellEnd"/>
      <w:r>
        <w:t xml:space="preserve">  и </w:t>
      </w:r>
      <w:proofErr w:type="spellStart"/>
      <w:r>
        <w:t>Bid</w:t>
      </w:r>
      <w:proofErr w:type="spellEnd"/>
      <w:r>
        <w:t xml:space="preserve">  - величины, указанные в</w:t>
      </w:r>
    </w:p>
    <w:p w:rsidR="007F43CE" w:rsidRDefault="007F43CE">
      <w:pPr>
        <w:pStyle w:val="ConsPlusNonformat"/>
      </w:pPr>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p>
    <w:p w:rsidR="007F43CE" w:rsidRDefault="007F43CE">
      <w:pPr>
        <w:pStyle w:val="ConsPlusNonformat"/>
      </w:pPr>
      <w:hyperlink w:anchor="Par88" w:history="1">
        <w:proofErr w:type="gramStart"/>
        <w:r>
          <w:rPr>
            <w:color w:val="0000FF"/>
          </w:rPr>
          <w:t>пункте</w:t>
        </w:r>
        <w:proofErr w:type="gramEnd"/>
        <w:r>
          <w:rPr>
            <w:color w:val="0000FF"/>
          </w:rPr>
          <w:t xml:space="preserve"> 2.5</w:t>
        </w:r>
      </w:hyperlink>
      <w:r>
        <w:t xml:space="preserve"> настоящего Положения;</w:t>
      </w:r>
    </w:p>
    <w:p w:rsidR="007F43CE" w:rsidRDefault="007F43CE">
      <w:pPr>
        <w:pStyle w:val="ConsPlusNonformat"/>
      </w:pPr>
      <w:r>
        <w:t xml:space="preserve">    </w:t>
      </w:r>
      <w:proofErr w:type="spellStart"/>
      <w:r>
        <w:t>m</w:t>
      </w:r>
      <w:proofErr w:type="spellEnd"/>
      <w:r>
        <w:t xml:space="preserve">   -  количество  заявок  на  продажу  ценных бумаг, которые поданы </w:t>
      </w:r>
      <w:proofErr w:type="gramStart"/>
      <w:r>
        <w:t>на</w:t>
      </w:r>
      <w:proofErr w:type="gramEnd"/>
    </w:p>
    <w:p w:rsidR="007F43CE" w:rsidRDefault="007F43CE">
      <w:pPr>
        <w:pStyle w:val="ConsPlusNonformat"/>
      </w:pPr>
      <w:r>
        <w:t xml:space="preserve">     2</w:t>
      </w:r>
    </w:p>
    <w:p w:rsidR="007F43CE" w:rsidRDefault="007F43CE">
      <w:pPr>
        <w:pStyle w:val="ConsPlusNonformat"/>
      </w:pPr>
      <w:proofErr w:type="gramStart"/>
      <w:r>
        <w:t>торгах</w:t>
      </w:r>
      <w:proofErr w:type="gramEnd"/>
      <w:r>
        <w:t xml:space="preserve">  российской  фондовой  биржи и на момент окончания основной торговой</w:t>
      </w:r>
    </w:p>
    <w:p w:rsidR="007F43CE" w:rsidRDefault="007F43CE">
      <w:pPr>
        <w:pStyle w:val="ConsPlusNonformat"/>
      </w:pPr>
      <w:r>
        <w:t>сессии  i-го  торгового   дня  не  удалены (не отозваны) и не исполнены или</w:t>
      </w:r>
    </w:p>
    <w:p w:rsidR="007F43CE" w:rsidRDefault="007F43CE">
      <w:pPr>
        <w:pStyle w:val="ConsPlusNonformat"/>
      </w:pPr>
      <w:r>
        <w:t>исполнены  не  в  полном  объеме, в которых цены указаны в диапазоне [</w:t>
      </w:r>
      <w:proofErr w:type="spellStart"/>
      <w:r>
        <w:t>Ask</w:t>
      </w:r>
      <w:proofErr w:type="spellEnd"/>
      <w:proofErr w:type="gramStart"/>
      <w:r>
        <w:t xml:space="preserve"> ;</w:t>
      </w:r>
      <w:proofErr w:type="gramEnd"/>
    </w:p>
    <w:p w:rsidR="007F43CE" w:rsidRDefault="007F43CE">
      <w:pPr>
        <w:pStyle w:val="ConsPlusNonformat"/>
      </w:pPr>
      <w:r>
        <w:t xml:space="preserve">                                                                         </w:t>
      </w:r>
      <w:proofErr w:type="spellStart"/>
      <w:r>
        <w:t>i</w:t>
      </w:r>
      <w:proofErr w:type="spellEnd"/>
    </w:p>
    <w:p w:rsidR="007F43CE" w:rsidRDefault="007F43CE">
      <w:pPr>
        <w:pStyle w:val="ConsPlusNonformat"/>
      </w:pPr>
      <w:proofErr w:type="spellStart"/>
      <w:r>
        <w:t>Ask</w:t>
      </w:r>
      <w:proofErr w:type="spellEnd"/>
      <w:r>
        <w:t xml:space="preserve">   +  0,2(</w:t>
      </w:r>
      <w:proofErr w:type="spellStart"/>
      <w:r>
        <w:t>Ask</w:t>
      </w:r>
      <w:proofErr w:type="spellEnd"/>
      <w:r>
        <w:t xml:space="preserve">   - </w:t>
      </w:r>
      <w:proofErr w:type="spellStart"/>
      <w:r>
        <w:t>Bid</w:t>
      </w:r>
      <w:proofErr w:type="spellEnd"/>
      <w:proofErr w:type="gramStart"/>
      <w:r>
        <w:t xml:space="preserve"> )</w:t>
      </w:r>
      <w:proofErr w:type="gramEnd"/>
      <w:r>
        <w:t xml:space="preserve">], где </w:t>
      </w:r>
      <w:proofErr w:type="spellStart"/>
      <w:r>
        <w:t>Ask</w:t>
      </w:r>
      <w:proofErr w:type="spellEnd"/>
      <w:r>
        <w:t xml:space="preserve">  и </w:t>
      </w:r>
      <w:proofErr w:type="spellStart"/>
      <w:r>
        <w:t>Bid</w:t>
      </w:r>
      <w:proofErr w:type="spellEnd"/>
      <w:r>
        <w:t xml:space="preserve">  - величины, указанные в пункте</w:t>
      </w:r>
    </w:p>
    <w:p w:rsidR="007F43CE" w:rsidRDefault="007F43CE">
      <w:pPr>
        <w:pStyle w:val="ConsPlusNonformat"/>
      </w:pPr>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p>
    <w:p w:rsidR="007F43CE" w:rsidRDefault="007F43CE">
      <w:pPr>
        <w:pStyle w:val="ConsPlusNonformat"/>
      </w:pPr>
      <w:hyperlink w:anchor="Par88" w:history="1">
        <w:r>
          <w:rPr>
            <w:color w:val="0000FF"/>
          </w:rPr>
          <w:t>2.5</w:t>
        </w:r>
      </w:hyperlink>
      <w:r>
        <w:t xml:space="preserve"> настоящего Положения;</w:t>
      </w:r>
    </w:p>
    <w:p w:rsidR="007F43CE" w:rsidRDefault="007F43CE">
      <w:pPr>
        <w:pStyle w:val="ConsPlusNonformat"/>
      </w:pPr>
      <w:r>
        <w:t xml:space="preserve">    </w:t>
      </w:r>
      <w:proofErr w:type="spellStart"/>
      <w:r>
        <w:t>n</w:t>
      </w:r>
      <w:proofErr w:type="spellEnd"/>
      <w:r>
        <w:t xml:space="preserve"> - количество торговых дней, за которые произведен расчет.</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2.9. </w:t>
      </w:r>
      <w:proofErr w:type="gramStart"/>
      <w:r>
        <w:rPr>
          <w:rFonts w:ascii="Calibri" w:hAnsi="Calibri" w:cs="Calibri"/>
        </w:rPr>
        <w:t xml:space="preserve">Показатель, предусмотренный </w:t>
      </w:r>
      <w:hyperlink w:anchor="Par84" w:history="1">
        <w:r>
          <w:rPr>
            <w:rFonts w:ascii="Calibri" w:hAnsi="Calibri" w:cs="Calibri"/>
            <w:color w:val="0000FF"/>
          </w:rPr>
          <w:t>подпунктом 3 пункта 2.1</w:t>
        </w:r>
      </w:hyperlink>
      <w:r>
        <w:rPr>
          <w:rFonts w:ascii="Calibri" w:hAnsi="Calibri" w:cs="Calibri"/>
        </w:rPr>
        <w:t xml:space="preserve"> настоящего Положения, в отношении ценных бумаг (облигаций) иностранного государства (центрального банка иностранного государства), допускаемых к публичному размещению и (или) публичному обращению в Российской Федерации, определяется по результатам торгов указанными ценными бумагами, а в случае, если такие ценные бумаги не размещены - по результатам торгов иными ценными бумагами (облигациями) того же иностранного государства (центрального банка того</w:t>
      </w:r>
      <w:proofErr w:type="gramEnd"/>
      <w:r>
        <w:rPr>
          <w:rFonts w:ascii="Calibri" w:hAnsi="Calibri" w:cs="Calibri"/>
        </w:rPr>
        <w:t xml:space="preserve"> </w:t>
      </w:r>
      <w:proofErr w:type="gramStart"/>
      <w:r>
        <w:rPr>
          <w:rFonts w:ascii="Calibri" w:hAnsi="Calibri" w:cs="Calibri"/>
        </w:rPr>
        <w:t>же</w:t>
      </w:r>
      <w:proofErr w:type="gramEnd"/>
      <w:r>
        <w:rPr>
          <w:rFonts w:ascii="Calibri" w:hAnsi="Calibri" w:cs="Calibri"/>
        </w:rPr>
        <w:t xml:space="preserve"> иностранного государства) на иностранной фондовой бирже или ином иностранном организованном (регулируемом) финансовом рынке. При этом период, за который осуществляется расчет указанного в настоящем пункте показателя, не может составлять менее 3 месяцев.</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Показатель, предусмотренный </w:t>
      </w:r>
      <w:hyperlink w:anchor="Par84" w:history="1">
        <w:r>
          <w:rPr>
            <w:rFonts w:ascii="Calibri" w:hAnsi="Calibri" w:cs="Calibri"/>
            <w:color w:val="0000FF"/>
          </w:rPr>
          <w:t>подпунктом 3 пункта 2.1</w:t>
        </w:r>
      </w:hyperlink>
      <w:r>
        <w:rPr>
          <w:rFonts w:ascii="Calibri" w:hAnsi="Calibri" w:cs="Calibri"/>
        </w:rPr>
        <w:t xml:space="preserve"> настоящего Положения, в отношении ценных бумаг, уже допущенных к торгам на российской фондовой бирже, определяется по результатам торгов на этой фондовой бирже. При этом период, за который осуществляется расчет указанного в настоящем пункте показателя, должен соответствовать периоду, за который осуществляется расчет показателя, указанного в </w:t>
      </w:r>
      <w:hyperlink w:anchor="Par181" w:history="1">
        <w:r>
          <w:rPr>
            <w:rFonts w:ascii="Calibri" w:hAnsi="Calibri" w:cs="Calibri"/>
            <w:color w:val="0000FF"/>
          </w:rPr>
          <w:t>пункте 2.9</w:t>
        </w:r>
      </w:hyperlink>
      <w:r>
        <w:rPr>
          <w:rFonts w:ascii="Calibri" w:hAnsi="Calibri" w:cs="Calibri"/>
        </w:rPr>
        <w:t xml:space="preserve"> настоящего Положения.</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Показатели, характеризующие уровень ликвидности ценных бумаг, допущенных к торгам на российской фондовой бирже, рассчитываются (определяются) только в отношении ценных бумаг, по которым не менее двух третей рабочих дней календарного месяца на момент окончания основной торговой </w:t>
      </w:r>
      <w:proofErr w:type="gramStart"/>
      <w:r>
        <w:rPr>
          <w:rFonts w:ascii="Calibri" w:hAnsi="Calibri" w:cs="Calibri"/>
        </w:rPr>
        <w:t>сессии</w:t>
      </w:r>
      <w:proofErr w:type="gramEnd"/>
      <w:r>
        <w:rPr>
          <w:rFonts w:ascii="Calibri" w:hAnsi="Calibri" w:cs="Calibri"/>
        </w:rPr>
        <w:t xml:space="preserve"> выставленные заявки на их покупку и продажу не удалены (не отозваны) и не исполнены или исполнены не в полном объеме.</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случае</w:t>
      </w:r>
      <w:proofErr w:type="gramStart"/>
      <w:r>
        <w:rPr>
          <w:rFonts w:ascii="Calibri" w:hAnsi="Calibri" w:cs="Calibri"/>
        </w:rPr>
        <w:t>,</w:t>
      </w:r>
      <w:proofErr w:type="gramEnd"/>
      <w:r>
        <w:rPr>
          <w:rFonts w:ascii="Calibri" w:hAnsi="Calibri" w:cs="Calibri"/>
        </w:rPr>
        <w:t xml:space="preserve"> если цена ценной бумаги или объем торгов ценными бумагами, в отношении которых рассчитываются (определяются) показатели, предусмотренные </w:t>
      </w:r>
      <w:hyperlink w:anchor="Par81" w:history="1">
        <w:r>
          <w:rPr>
            <w:rFonts w:ascii="Calibri" w:hAnsi="Calibri" w:cs="Calibri"/>
            <w:color w:val="0000FF"/>
          </w:rPr>
          <w:t>пунктом 2.1</w:t>
        </w:r>
      </w:hyperlink>
      <w:r>
        <w:rPr>
          <w:rFonts w:ascii="Calibri" w:hAnsi="Calibri" w:cs="Calibri"/>
        </w:rPr>
        <w:t xml:space="preserve"> настоящего Положения, выражены в иностранной валюте, для расчета соответствующих показателей пересчет в рубли осуществляется по курсу соответствующей иностранной валюты, установленному Центральным банком Российской Федерации на день расчета,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 на указанный день.</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jc w:val="center"/>
        <w:outlineLvl w:val="1"/>
        <w:rPr>
          <w:rFonts w:ascii="Calibri" w:hAnsi="Calibri" w:cs="Calibri"/>
        </w:rPr>
      </w:pPr>
      <w:bookmarkStart w:id="18" w:name="Par186"/>
      <w:bookmarkEnd w:id="18"/>
      <w:r>
        <w:rPr>
          <w:rFonts w:ascii="Calibri" w:hAnsi="Calibri" w:cs="Calibri"/>
        </w:rPr>
        <w:t>III. Состав и порядок расчета показателей,</w:t>
      </w:r>
    </w:p>
    <w:p w:rsidR="007F43CE" w:rsidRDefault="007F43C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характеризующих уровень инвестиционного риска ценных бумаг</w:t>
      </w:r>
    </w:p>
    <w:p w:rsidR="007F43CE" w:rsidRDefault="007F43CE">
      <w:pPr>
        <w:widowControl w:val="0"/>
        <w:autoSpaceDE w:val="0"/>
        <w:autoSpaceDN w:val="0"/>
        <w:adjustRightInd w:val="0"/>
        <w:spacing w:after="0" w:line="240" w:lineRule="auto"/>
        <w:jc w:val="center"/>
        <w:rPr>
          <w:rFonts w:ascii="Calibri" w:hAnsi="Calibri" w:cs="Calibri"/>
        </w:rPr>
      </w:pP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Показателями, характеризующими уровень инвестиционного риска ценных бумаг, являются:</w:t>
      </w:r>
    </w:p>
    <w:p w:rsidR="007F43CE" w:rsidRDefault="007F43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облигаций (депозитарных расписок на облигации) - значение кредитного рейтинга (рейтинга долгосрочной кредитоспособности), присвоенного по международной шкале таким облигациям или эмитенту таких облигаций международными рейтинговыми агентствами "</w:t>
      </w:r>
      <w:proofErr w:type="spellStart"/>
      <w:r>
        <w:rPr>
          <w:rFonts w:ascii="Calibri" w:hAnsi="Calibri" w:cs="Calibri"/>
        </w:rPr>
        <w:t>Фитч</w:t>
      </w:r>
      <w:proofErr w:type="spellEnd"/>
      <w:r>
        <w:rPr>
          <w:rFonts w:ascii="Calibri" w:hAnsi="Calibri" w:cs="Calibri"/>
        </w:rPr>
        <w:t xml:space="preserve"> </w:t>
      </w:r>
      <w:proofErr w:type="spellStart"/>
      <w:r>
        <w:rPr>
          <w:rFonts w:ascii="Calibri" w:hAnsi="Calibri" w:cs="Calibri"/>
        </w:rPr>
        <w:t>Рейтингс</w:t>
      </w:r>
      <w:proofErr w:type="spellEnd"/>
      <w:r>
        <w:rPr>
          <w:rFonts w:ascii="Calibri" w:hAnsi="Calibri" w:cs="Calibri"/>
        </w:rPr>
        <w:t>" (</w:t>
      </w:r>
      <w:proofErr w:type="spellStart"/>
      <w:r>
        <w:rPr>
          <w:rFonts w:ascii="Calibri" w:hAnsi="Calibri" w:cs="Calibri"/>
        </w:rPr>
        <w:t>Fitch</w:t>
      </w:r>
      <w:proofErr w:type="spellEnd"/>
      <w:r>
        <w:rPr>
          <w:rFonts w:ascii="Calibri" w:hAnsi="Calibri" w:cs="Calibri"/>
        </w:rPr>
        <w:t xml:space="preserve"> </w:t>
      </w:r>
      <w:proofErr w:type="spellStart"/>
      <w:r>
        <w:rPr>
          <w:rFonts w:ascii="Calibri" w:hAnsi="Calibri" w:cs="Calibri"/>
        </w:rPr>
        <w:t>Ratings</w:t>
      </w:r>
      <w:proofErr w:type="spellEnd"/>
      <w:r>
        <w:rPr>
          <w:rFonts w:ascii="Calibri" w:hAnsi="Calibri" w:cs="Calibri"/>
        </w:rPr>
        <w:t xml:space="preserve">), "Стандарт </w:t>
      </w:r>
      <w:proofErr w:type="spellStart"/>
      <w:r>
        <w:rPr>
          <w:rFonts w:ascii="Calibri" w:hAnsi="Calibri" w:cs="Calibri"/>
        </w:rPr>
        <w:t>энд</w:t>
      </w:r>
      <w:proofErr w:type="spellEnd"/>
      <w:r>
        <w:rPr>
          <w:rFonts w:ascii="Calibri" w:hAnsi="Calibri" w:cs="Calibri"/>
        </w:rPr>
        <w:t xml:space="preserve"> </w:t>
      </w:r>
      <w:proofErr w:type="spellStart"/>
      <w:r>
        <w:rPr>
          <w:rFonts w:ascii="Calibri" w:hAnsi="Calibri" w:cs="Calibri"/>
        </w:rPr>
        <w:t>Пурс</w:t>
      </w:r>
      <w:proofErr w:type="spellEnd"/>
      <w:r>
        <w:rPr>
          <w:rFonts w:ascii="Calibri" w:hAnsi="Calibri" w:cs="Calibri"/>
        </w:rPr>
        <w:t>" (</w:t>
      </w:r>
      <w:proofErr w:type="spellStart"/>
      <w:r>
        <w:rPr>
          <w:rFonts w:ascii="Calibri" w:hAnsi="Calibri" w:cs="Calibri"/>
        </w:rPr>
        <w:t>Standart</w:t>
      </w:r>
      <w:proofErr w:type="spellEnd"/>
      <w:r>
        <w:rPr>
          <w:rFonts w:ascii="Calibri" w:hAnsi="Calibri" w:cs="Calibri"/>
        </w:rPr>
        <w:t xml:space="preserve"> &amp; </w:t>
      </w:r>
      <w:proofErr w:type="spellStart"/>
      <w:r>
        <w:rPr>
          <w:rFonts w:ascii="Calibri" w:hAnsi="Calibri" w:cs="Calibri"/>
        </w:rPr>
        <w:t>Poor's</w:t>
      </w:r>
      <w:proofErr w:type="spellEnd"/>
      <w:r>
        <w:rPr>
          <w:rFonts w:ascii="Calibri" w:hAnsi="Calibri" w:cs="Calibri"/>
        </w:rPr>
        <w:t>) либо "</w:t>
      </w:r>
      <w:proofErr w:type="spellStart"/>
      <w:r>
        <w:rPr>
          <w:rFonts w:ascii="Calibri" w:hAnsi="Calibri" w:cs="Calibri"/>
        </w:rPr>
        <w:t>Мудис</w:t>
      </w:r>
      <w:proofErr w:type="spellEnd"/>
      <w:r>
        <w:rPr>
          <w:rFonts w:ascii="Calibri" w:hAnsi="Calibri" w:cs="Calibri"/>
        </w:rPr>
        <w:t xml:space="preserve"> </w:t>
      </w:r>
      <w:proofErr w:type="spellStart"/>
      <w:r>
        <w:rPr>
          <w:rFonts w:ascii="Calibri" w:hAnsi="Calibri" w:cs="Calibri"/>
        </w:rPr>
        <w:t>Инвесторс</w:t>
      </w:r>
      <w:proofErr w:type="spellEnd"/>
      <w:r>
        <w:rPr>
          <w:rFonts w:ascii="Calibri" w:hAnsi="Calibri" w:cs="Calibri"/>
        </w:rPr>
        <w:t xml:space="preserve"> Сервис" (</w:t>
      </w:r>
      <w:proofErr w:type="spellStart"/>
      <w:r>
        <w:rPr>
          <w:rFonts w:ascii="Calibri" w:hAnsi="Calibri" w:cs="Calibri"/>
        </w:rPr>
        <w:t>Moody's</w:t>
      </w:r>
      <w:proofErr w:type="spellEnd"/>
      <w:r>
        <w:rPr>
          <w:rFonts w:ascii="Calibri" w:hAnsi="Calibri" w:cs="Calibri"/>
        </w:rPr>
        <w:t xml:space="preserve"> </w:t>
      </w:r>
      <w:proofErr w:type="spellStart"/>
      <w:r>
        <w:rPr>
          <w:rFonts w:ascii="Calibri" w:hAnsi="Calibri" w:cs="Calibri"/>
        </w:rPr>
        <w:t>Investors</w:t>
      </w:r>
      <w:proofErr w:type="spellEnd"/>
      <w:r>
        <w:rPr>
          <w:rFonts w:ascii="Calibri" w:hAnsi="Calibri" w:cs="Calibri"/>
        </w:rPr>
        <w:t xml:space="preserve"> </w:t>
      </w:r>
      <w:proofErr w:type="spellStart"/>
      <w:r>
        <w:rPr>
          <w:rFonts w:ascii="Calibri" w:hAnsi="Calibri" w:cs="Calibri"/>
        </w:rPr>
        <w:t>Service</w:t>
      </w:r>
      <w:proofErr w:type="spellEnd"/>
      <w:r>
        <w:rPr>
          <w:rFonts w:ascii="Calibri" w:hAnsi="Calibri" w:cs="Calibri"/>
        </w:rPr>
        <w:t>), а для облигаций иностранного эмитента, допускаемых к публичному размещению в Российской Федерации, - значение предварительного кредитного рейтинга</w:t>
      </w:r>
      <w:proofErr w:type="gramEnd"/>
      <w:r>
        <w:rPr>
          <w:rFonts w:ascii="Calibri" w:hAnsi="Calibri" w:cs="Calibri"/>
        </w:rPr>
        <w:t xml:space="preserve"> (рейтинга долгосрочной кредитоспособности), присвоенного по международной шкале данным облигациям, или значение кредитного рейтинга (рейтинга долгосрочной кредитоспособности), присвоенного по международной шкале иностранному эмитенту данных облигаций указанными международными рейтинговыми агентствами;</w:t>
      </w:r>
    </w:p>
    <w:p w:rsidR="007F43CE" w:rsidRDefault="007F43C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26" w:history="1">
        <w:r>
          <w:rPr>
            <w:rFonts w:ascii="Calibri" w:hAnsi="Calibri" w:cs="Calibri"/>
            <w:color w:val="0000FF"/>
          </w:rPr>
          <w:t>Приказа</w:t>
        </w:r>
      </w:hyperlink>
      <w:r>
        <w:rPr>
          <w:rFonts w:ascii="Calibri" w:hAnsi="Calibri" w:cs="Calibri"/>
        </w:rPr>
        <w:t xml:space="preserve"> ФСФР России от 26.04.2011 N 11-14/</w:t>
      </w:r>
      <w:proofErr w:type="spellStart"/>
      <w:r>
        <w:rPr>
          <w:rFonts w:ascii="Calibri" w:hAnsi="Calibri" w:cs="Calibri"/>
        </w:rPr>
        <w:t>пз-н</w:t>
      </w:r>
      <w:proofErr w:type="spellEnd"/>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19" w:name="Par192"/>
      <w:bookmarkEnd w:id="19"/>
      <w:r>
        <w:rPr>
          <w:rFonts w:ascii="Calibri" w:hAnsi="Calibri" w:cs="Calibri"/>
        </w:rPr>
        <w:t>2) для акций (депозитарных расписок на акции), допущенных к торгам на российской фондовой бирже либо на иностранной фондовой бирже или ином иностранном организованном (регулируемом) финансовом рынке, а также для ценных бумаг инвестиционных фондов - значение среднеквадратического отклонения изменений цен указанных ценных бумаг;</w:t>
      </w:r>
    </w:p>
    <w:p w:rsidR="007F43CE" w:rsidRDefault="007F43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для акций (депозитарных расписок на акции) иностранных эмитентов, допускаемых к публичному размещению и (или) публичному обращению в Российской Федерации и не допущенных к торгам на иностранной фондовой бирже или ином иностранном организованном (регулируемом) финансовом рынке, а также для сравниваемых с ними акций (депозитарных расписок на акции), уже допущенных к торгам на российской фондовой бирже:</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20" w:name="Par194"/>
      <w:bookmarkEnd w:id="20"/>
      <w:r>
        <w:rPr>
          <w:rFonts w:ascii="Calibri" w:hAnsi="Calibri" w:cs="Calibri"/>
        </w:rPr>
        <w:t>- срок существования эмитента указанных ценных бумаг;</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лет из последних трех, по итогам которых по данным бухгалтерской (финансовой) отчетности эмитента, составленной в соответствии с его национальными стандартами, этим эмитентом были получены убытки.</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Показатель, предусмотренный </w:t>
      </w:r>
      <w:hyperlink w:anchor="Par192" w:history="1">
        <w:r>
          <w:rPr>
            <w:rFonts w:ascii="Calibri" w:hAnsi="Calibri" w:cs="Calibri"/>
            <w:color w:val="0000FF"/>
          </w:rPr>
          <w:t>подпунктом 2 пункта 3.1</w:t>
        </w:r>
      </w:hyperlink>
      <w:r>
        <w:rPr>
          <w:rFonts w:ascii="Calibri" w:hAnsi="Calibri" w:cs="Calibri"/>
        </w:rPr>
        <w:t xml:space="preserve"> настоящего Положения, рассчитывается по следующей формуле:</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pStyle w:val="ConsPlusNonformat"/>
      </w:pPr>
      <w:r>
        <w:t xml:space="preserve">                                 ───────────────────────</w:t>
      </w:r>
    </w:p>
    <w:p w:rsidR="007F43CE" w:rsidRDefault="007F43CE">
      <w:pPr>
        <w:pStyle w:val="ConsPlusNonformat"/>
      </w:pPr>
      <w:r>
        <w:t xml:space="preserve">                                / </w:t>
      </w:r>
      <w:proofErr w:type="spellStart"/>
      <w:r>
        <w:t>n</w:t>
      </w:r>
      <w:proofErr w:type="spellEnd"/>
      <w:r>
        <w:t xml:space="preserve">                 - 2</w:t>
      </w:r>
    </w:p>
    <w:p w:rsidR="007F43CE" w:rsidRDefault="007F43CE">
      <w:pPr>
        <w:pStyle w:val="ConsPlusNonformat"/>
      </w:pPr>
      <w:r>
        <w:t xml:space="preserve">                               / SUM(дельта  - дельта)</w:t>
      </w:r>
    </w:p>
    <w:p w:rsidR="007F43CE" w:rsidRDefault="007F43CE">
      <w:pPr>
        <w:pStyle w:val="ConsPlusNonformat"/>
      </w:pPr>
      <w:r>
        <w:t xml:space="preserve">                              /  i=1       </w:t>
      </w:r>
      <w:proofErr w:type="spellStart"/>
      <w:r>
        <w:t>i</w:t>
      </w:r>
      <w:proofErr w:type="spellEnd"/>
    </w:p>
    <w:p w:rsidR="007F43CE" w:rsidRDefault="007F43CE">
      <w:pPr>
        <w:pStyle w:val="ConsPlusNonformat"/>
      </w:pPr>
      <w:r>
        <w:t xml:space="preserve">                   сигма =   /-------------------------, где:</w:t>
      </w:r>
    </w:p>
    <w:p w:rsidR="007F43CE" w:rsidRDefault="007F43CE">
      <w:pPr>
        <w:pStyle w:val="ConsPlusNonformat"/>
      </w:pPr>
      <w:r>
        <w:t xml:space="preserve">                           \/             </w:t>
      </w:r>
      <w:proofErr w:type="spellStart"/>
      <w:r>
        <w:t>n</w:t>
      </w:r>
      <w:proofErr w:type="spellEnd"/>
    </w:p>
    <w:p w:rsidR="007F43CE" w:rsidRDefault="007F43CE">
      <w:pPr>
        <w:pStyle w:val="ConsPlusNonformat"/>
      </w:pPr>
    </w:p>
    <w:p w:rsidR="007F43CE" w:rsidRDefault="007F43CE">
      <w:pPr>
        <w:pStyle w:val="ConsPlusNonformat"/>
      </w:pPr>
      <w:r>
        <w:t xml:space="preserve">    сигма  -  среднеквадратическое отклонение изменений цен </w:t>
      </w:r>
      <w:proofErr w:type="gramStart"/>
      <w:r>
        <w:t>соответствующей</w:t>
      </w:r>
      <w:proofErr w:type="gramEnd"/>
    </w:p>
    <w:p w:rsidR="007F43CE" w:rsidRDefault="007F43CE">
      <w:pPr>
        <w:pStyle w:val="ConsPlusNonformat"/>
      </w:pPr>
      <w:r>
        <w:t>ценной бумаги;</w:t>
      </w:r>
    </w:p>
    <w:p w:rsidR="007F43CE" w:rsidRDefault="007F43CE">
      <w:pPr>
        <w:pStyle w:val="ConsPlusNonformat"/>
      </w:pPr>
      <w:r>
        <w:t xml:space="preserve">    </w:t>
      </w:r>
      <w:proofErr w:type="spellStart"/>
      <w:r>
        <w:t>n</w:t>
      </w:r>
      <w:proofErr w:type="spellEnd"/>
      <w:r>
        <w:t xml:space="preserve">  -  количество  значений  изменений цен ценной бумаги, но не менее 30</w:t>
      </w:r>
    </w:p>
    <w:p w:rsidR="007F43CE" w:rsidRDefault="007F43CE">
      <w:pPr>
        <w:pStyle w:val="ConsPlusNonformat"/>
      </w:pPr>
      <w:r>
        <w:t>значений,  определенных  по  итогам  каждого  из  дней  проведения торгов с</w:t>
      </w:r>
    </w:p>
    <w:p w:rsidR="007F43CE" w:rsidRDefault="007F43CE">
      <w:pPr>
        <w:pStyle w:val="ConsPlusNonformat"/>
      </w:pPr>
      <w:proofErr w:type="gramStart"/>
      <w:r>
        <w:t>указанной ценной бумагой (дня определения расчетной стоимости ценной бумаги</w:t>
      </w:r>
      <w:proofErr w:type="gramEnd"/>
    </w:p>
    <w:p w:rsidR="007F43CE" w:rsidRDefault="007F43CE">
      <w:pPr>
        <w:pStyle w:val="ConsPlusNonformat"/>
      </w:pPr>
      <w:r>
        <w:t xml:space="preserve">инвестиционного    фонда),    </w:t>
      </w:r>
      <w:proofErr w:type="gramStart"/>
      <w:r>
        <w:t>предшествующих</w:t>
      </w:r>
      <w:proofErr w:type="gramEnd"/>
      <w:r>
        <w:t xml:space="preserve">   дню   окончания   последнего</w:t>
      </w:r>
    </w:p>
    <w:p w:rsidR="007F43CE" w:rsidRDefault="007F43CE">
      <w:pPr>
        <w:pStyle w:val="ConsPlusNonformat"/>
      </w:pPr>
      <w:r>
        <w:t>календарного месяца;</w:t>
      </w:r>
    </w:p>
    <w:p w:rsidR="007F43CE" w:rsidRDefault="007F43CE">
      <w:pPr>
        <w:pStyle w:val="ConsPlusNonformat"/>
      </w:pPr>
      <w:r>
        <w:t xml:space="preserve">    дельта  - i-тое значение изменение цены ценной бумаги, определяемое как</w:t>
      </w:r>
    </w:p>
    <w:p w:rsidR="007F43CE" w:rsidRDefault="007F43CE">
      <w:pPr>
        <w:pStyle w:val="ConsPlusNonformat"/>
      </w:pPr>
      <w:r>
        <w:t xml:space="preserve">          </w:t>
      </w:r>
      <w:proofErr w:type="spellStart"/>
      <w:r>
        <w:t>i</w:t>
      </w:r>
      <w:proofErr w:type="spellEnd"/>
    </w:p>
    <w:p w:rsidR="007F43CE" w:rsidRDefault="007F43CE">
      <w:pPr>
        <w:pStyle w:val="ConsPlusNonformat"/>
      </w:pPr>
      <w:r>
        <w:t>отношение  цены  ценной  бумаги,  определенной  по  итогам i-го дня, к цене</w:t>
      </w:r>
    </w:p>
    <w:p w:rsidR="007F43CE" w:rsidRDefault="007F43CE">
      <w:pPr>
        <w:pStyle w:val="ConsPlusNonformat"/>
      </w:pPr>
      <w:r>
        <w:t>ценной  бумаги,  определенной  по  итогам дня проведения торгов с указанной</w:t>
      </w:r>
    </w:p>
    <w:p w:rsidR="007F43CE" w:rsidRDefault="007F43CE">
      <w:pPr>
        <w:pStyle w:val="ConsPlusNonformat"/>
      </w:pPr>
      <w:r>
        <w:t xml:space="preserve">ценной бумагой, </w:t>
      </w:r>
      <w:proofErr w:type="gramStart"/>
      <w:r>
        <w:t>предшествующего</w:t>
      </w:r>
      <w:proofErr w:type="gramEnd"/>
      <w:r>
        <w:t xml:space="preserve"> </w:t>
      </w:r>
      <w:proofErr w:type="spellStart"/>
      <w:r>
        <w:t>i-му</w:t>
      </w:r>
      <w:proofErr w:type="spellEnd"/>
      <w:r>
        <w:t xml:space="preserve"> дню;</w:t>
      </w:r>
    </w:p>
    <w:p w:rsidR="007F43CE" w:rsidRDefault="007F43CE">
      <w:pPr>
        <w:pStyle w:val="ConsPlusNonformat"/>
      </w:pPr>
      <w:r>
        <w:t xml:space="preserve">         -</w:t>
      </w:r>
    </w:p>
    <w:p w:rsidR="007F43CE" w:rsidRDefault="007F43CE">
      <w:pPr>
        <w:pStyle w:val="ConsPlusNonformat"/>
      </w:pPr>
      <w:r>
        <w:t xml:space="preserve">    дельта  - среднее значение изменений цен ценной бумаги, рассчитанное по</w:t>
      </w:r>
    </w:p>
    <w:p w:rsidR="007F43CE" w:rsidRDefault="007F43CE">
      <w:pPr>
        <w:pStyle w:val="ConsPlusNonformat"/>
      </w:pPr>
      <w:r>
        <w:t xml:space="preserve">количеству значений цен ценной бумаги, равному </w:t>
      </w:r>
      <w:proofErr w:type="spellStart"/>
      <w:r>
        <w:t>n</w:t>
      </w:r>
      <w:proofErr w:type="spellEnd"/>
      <w:r>
        <w:t>.</w:t>
      </w:r>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21" w:name="Par220"/>
      <w:bookmarkEnd w:id="21"/>
      <w:r>
        <w:rPr>
          <w:rFonts w:ascii="Calibri" w:hAnsi="Calibri" w:cs="Calibri"/>
        </w:rPr>
        <w:t xml:space="preserve">3.3. </w:t>
      </w:r>
      <w:proofErr w:type="gramStart"/>
      <w:r>
        <w:rPr>
          <w:rFonts w:ascii="Calibri" w:hAnsi="Calibri" w:cs="Calibri"/>
        </w:rPr>
        <w:t xml:space="preserve">В случае расчета показателя, предусмотренного </w:t>
      </w:r>
      <w:hyperlink w:anchor="Par192" w:history="1">
        <w:r>
          <w:rPr>
            <w:rFonts w:ascii="Calibri" w:hAnsi="Calibri" w:cs="Calibri"/>
            <w:color w:val="0000FF"/>
          </w:rPr>
          <w:t>подпунктом 2 пункта 3.1</w:t>
        </w:r>
      </w:hyperlink>
      <w:r>
        <w:rPr>
          <w:rFonts w:ascii="Calibri" w:hAnsi="Calibri" w:cs="Calibri"/>
        </w:rPr>
        <w:t xml:space="preserve"> настоящего Положения, в отношении акций (депозитарных расписок на акции), допущенных к торгам на российской фондовой бирже, под ценой ценной бумаги на определенный торговый день понимается цена закрытия ценной бумаги, а если такая цена не рассчитывается - средневзвешенная цена ценной бумаги по итогам торгового дня на российской фондовой бирже.</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bookmarkStart w:id="22" w:name="Par221"/>
      <w:bookmarkEnd w:id="22"/>
      <w:r>
        <w:rPr>
          <w:rFonts w:ascii="Calibri" w:hAnsi="Calibri" w:cs="Calibri"/>
        </w:rPr>
        <w:t xml:space="preserve">3.4. </w:t>
      </w:r>
      <w:proofErr w:type="gramStart"/>
      <w:r>
        <w:rPr>
          <w:rFonts w:ascii="Calibri" w:hAnsi="Calibri" w:cs="Calibri"/>
        </w:rPr>
        <w:t xml:space="preserve">В случае расчета показателя, предусмотренного </w:t>
      </w:r>
      <w:hyperlink w:anchor="Par192" w:history="1">
        <w:r>
          <w:rPr>
            <w:rFonts w:ascii="Calibri" w:hAnsi="Calibri" w:cs="Calibri"/>
            <w:color w:val="0000FF"/>
          </w:rPr>
          <w:t>подпунктом 2 пункта 3.1</w:t>
        </w:r>
      </w:hyperlink>
      <w:r>
        <w:rPr>
          <w:rFonts w:ascii="Calibri" w:hAnsi="Calibri" w:cs="Calibri"/>
        </w:rPr>
        <w:t xml:space="preserve"> настоящего Положения, в отношении акций (депозитарных расписок на акции), допущенных к торгам на иностранной фондовой бирже или ином иностранном организованном (регулируемом) финансовом рынке, под ценой ценной бумаги на определенный торговый день понимается цена закрытия рынка указанной ценной бумаги на иностранной фондовой бирже или ином иностранном организованном (регулируемом) финансовом рынке.</w:t>
      </w:r>
      <w:proofErr w:type="gramEnd"/>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В случае расчета показателя, предусмотренного </w:t>
      </w:r>
      <w:hyperlink w:anchor="Par192" w:history="1">
        <w:r>
          <w:rPr>
            <w:rFonts w:ascii="Calibri" w:hAnsi="Calibri" w:cs="Calibri"/>
            <w:color w:val="0000FF"/>
          </w:rPr>
          <w:t>подпунктом 2 пункта 3.1</w:t>
        </w:r>
      </w:hyperlink>
      <w:r>
        <w:rPr>
          <w:rFonts w:ascii="Calibri" w:hAnsi="Calibri" w:cs="Calibri"/>
        </w:rPr>
        <w:t xml:space="preserve"> настоящего Положения, в отношении ценных бумаг иностранного инвестиционного фонда под ценой ценной бумаги на определенный торговый (расчетный) день понимается расчетная стоимость ценной бумаги иностранного инвестиционного фонда на соответствующий торговый день, определенная в соответствии с личным законом этого иностранного инвестиционного фонда исходя из стоимости его чистых активов, а если ценные бумаги иностранного</w:t>
      </w:r>
      <w:proofErr w:type="gramEnd"/>
      <w:r>
        <w:rPr>
          <w:rFonts w:ascii="Calibri" w:hAnsi="Calibri" w:cs="Calibri"/>
        </w:rPr>
        <w:t xml:space="preserve"> инвестиционного фонда допущены к торгам на российской фондовой бирже либо на иностранной фондовой бирже или ином иностранном организованном (регулируемом) финансовом рынке - цена, определяемая в соответствии с </w:t>
      </w:r>
      <w:hyperlink w:anchor="Par220" w:history="1">
        <w:r>
          <w:rPr>
            <w:rFonts w:ascii="Calibri" w:hAnsi="Calibri" w:cs="Calibri"/>
            <w:color w:val="0000FF"/>
          </w:rPr>
          <w:t>пунктами 3.3</w:t>
        </w:r>
      </w:hyperlink>
      <w:r>
        <w:rPr>
          <w:rFonts w:ascii="Calibri" w:hAnsi="Calibri" w:cs="Calibri"/>
        </w:rPr>
        <w:t xml:space="preserve"> и </w:t>
      </w:r>
      <w:hyperlink w:anchor="Par221" w:history="1">
        <w:r>
          <w:rPr>
            <w:rFonts w:ascii="Calibri" w:hAnsi="Calibri" w:cs="Calibri"/>
            <w:color w:val="0000FF"/>
          </w:rPr>
          <w:t>3.4</w:t>
        </w:r>
      </w:hyperlink>
      <w:r>
        <w:rPr>
          <w:rFonts w:ascii="Calibri" w:hAnsi="Calibri" w:cs="Calibri"/>
        </w:rPr>
        <w:t xml:space="preserve"> настоящего Положения соответственно.</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расчета показателя, предусмотренного </w:t>
      </w:r>
      <w:hyperlink w:anchor="Par192" w:history="1">
        <w:r>
          <w:rPr>
            <w:rFonts w:ascii="Calibri" w:hAnsi="Calibri" w:cs="Calibri"/>
            <w:color w:val="0000FF"/>
          </w:rPr>
          <w:t>подпунктом 2 пункта 3.1</w:t>
        </w:r>
      </w:hyperlink>
      <w:r>
        <w:rPr>
          <w:rFonts w:ascii="Calibri" w:hAnsi="Calibri" w:cs="Calibri"/>
        </w:rPr>
        <w:t xml:space="preserve"> настоящего Положения, в отношении инвестиционных паев российского паевого инвестиционного фонда под ценой ценной бумаги на определенный торговый (расчетный) день понимается расчетная стоимость инвестиционного пая, определенная в соответствии с </w:t>
      </w:r>
      <w:hyperlink r:id="rId27" w:history="1">
        <w:r>
          <w:rPr>
            <w:rFonts w:ascii="Calibri" w:hAnsi="Calibri" w:cs="Calibri"/>
            <w:color w:val="0000FF"/>
          </w:rPr>
          <w:t>Положением</w:t>
        </w:r>
      </w:hyperlink>
      <w:r>
        <w:rPr>
          <w:rFonts w:ascii="Calibri" w:hAnsi="Calibri" w:cs="Calibri"/>
        </w:rPr>
        <w:t xml:space="preserve">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w:t>
      </w:r>
      <w:proofErr w:type="gramEnd"/>
      <w:r>
        <w:rPr>
          <w:rFonts w:ascii="Calibri" w:hAnsi="Calibri" w:cs="Calibri"/>
        </w:rPr>
        <w:t xml:space="preserve"> </w:t>
      </w:r>
      <w:proofErr w:type="gramStart"/>
      <w:r>
        <w:rPr>
          <w:rFonts w:ascii="Calibri" w:hAnsi="Calibri" w:cs="Calibri"/>
        </w:rPr>
        <w:t>инвестиционных фондов, а также стоимости чистых активов акционерных инвестиционных фондов в расчете на одну акцию, утвержденным Приказом ФСФР России от 15.06.2005 N 05-21/</w:t>
      </w:r>
      <w:proofErr w:type="spellStart"/>
      <w:r>
        <w:rPr>
          <w:rFonts w:ascii="Calibri" w:hAnsi="Calibri" w:cs="Calibri"/>
        </w:rPr>
        <w:t>пз-н</w:t>
      </w:r>
      <w:proofErr w:type="spellEnd"/>
      <w:r>
        <w:rPr>
          <w:rFonts w:ascii="Calibri" w:hAnsi="Calibri" w:cs="Calibri"/>
        </w:rPr>
        <w:t xml:space="preserve"> (зарегистрирован в Министерстве юстиции Российской Федерации 11.07.2005, регистрационный N 6769) (с изменениями, внесенными Приказами ФСФР России от 15.12.2005 N 05-83/</w:t>
      </w:r>
      <w:proofErr w:type="spellStart"/>
      <w:r>
        <w:rPr>
          <w:rFonts w:ascii="Calibri" w:hAnsi="Calibri" w:cs="Calibri"/>
        </w:rPr>
        <w:t>пз-н</w:t>
      </w:r>
      <w:proofErr w:type="spellEnd"/>
      <w:r>
        <w:rPr>
          <w:rFonts w:ascii="Calibri" w:hAnsi="Calibri" w:cs="Calibri"/>
        </w:rPr>
        <w:t xml:space="preserve"> &lt;*&gt;, от 16.07.2009 N 09-27/</w:t>
      </w:r>
      <w:proofErr w:type="spellStart"/>
      <w:r>
        <w:rPr>
          <w:rFonts w:ascii="Calibri" w:hAnsi="Calibri" w:cs="Calibri"/>
        </w:rPr>
        <w:t>пз-н</w:t>
      </w:r>
      <w:proofErr w:type="spellEnd"/>
      <w:r>
        <w:rPr>
          <w:rFonts w:ascii="Calibri" w:hAnsi="Calibri" w:cs="Calibri"/>
        </w:rPr>
        <w:t xml:space="preserve"> &lt;**&gt;, от 10.11.2009 N 09-45/</w:t>
      </w:r>
      <w:proofErr w:type="spellStart"/>
      <w:r>
        <w:rPr>
          <w:rFonts w:ascii="Calibri" w:hAnsi="Calibri" w:cs="Calibri"/>
        </w:rPr>
        <w:t>пз-н</w:t>
      </w:r>
      <w:proofErr w:type="spellEnd"/>
      <w:r>
        <w:rPr>
          <w:rFonts w:ascii="Calibri" w:hAnsi="Calibri" w:cs="Calibri"/>
        </w:rPr>
        <w:t xml:space="preserve"> &lt;***&gt;), а если инвестиционный пай допущен</w:t>
      </w:r>
      <w:proofErr w:type="gramEnd"/>
      <w:r>
        <w:rPr>
          <w:rFonts w:ascii="Calibri" w:hAnsi="Calibri" w:cs="Calibri"/>
        </w:rPr>
        <w:t xml:space="preserve"> к торгам на российской фондовой бирже - цена, определяемая в соответствии с </w:t>
      </w:r>
      <w:hyperlink w:anchor="Par220" w:history="1">
        <w:r>
          <w:rPr>
            <w:rFonts w:ascii="Calibri" w:hAnsi="Calibri" w:cs="Calibri"/>
            <w:color w:val="0000FF"/>
          </w:rPr>
          <w:t>пунктом 3.3</w:t>
        </w:r>
      </w:hyperlink>
      <w:r>
        <w:rPr>
          <w:rFonts w:ascii="Calibri" w:hAnsi="Calibri" w:cs="Calibri"/>
        </w:rPr>
        <w:t xml:space="preserve"> настоящего Положения.</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19.01.2006, регистрационный N 7387.</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01.09.2009, регистрационный N 14680.</w:t>
      </w: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20.01.2010, регистрационный N 16030.</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Показатель, предусмотренный </w:t>
      </w:r>
      <w:hyperlink w:anchor="Par194" w:history="1">
        <w:r>
          <w:rPr>
            <w:rFonts w:ascii="Calibri" w:hAnsi="Calibri" w:cs="Calibri"/>
            <w:color w:val="0000FF"/>
          </w:rPr>
          <w:t>абзацем вторым подпункта 3 пункта 3.1</w:t>
        </w:r>
      </w:hyperlink>
      <w:r>
        <w:rPr>
          <w:rFonts w:ascii="Calibri" w:hAnsi="Calibri" w:cs="Calibri"/>
        </w:rPr>
        <w:t xml:space="preserve"> настоящего Положения, рассчитанный в отношении ценных бумаг иностранного эмитента, допускаемых к публичному размещению и (или) публичному обращению в Российской Федерации, считается не выше указанного показателя, рассчитанного в отношении ценных бумаг, уже допущенных к торгам на российской фондовой бирже, если соблюдается следующее соотношение:</w:t>
      </w:r>
    </w:p>
    <w:p w:rsidR="007F43CE" w:rsidRDefault="007F43CE">
      <w:pPr>
        <w:widowControl w:val="0"/>
        <w:autoSpaceDE w:val="0"/>
        <w:autoSpaceDN w:val="0"/>
        <w:adjustRightInd w:val="0"/>
        <w:spacing w:after="0" w:line="240" w:lineRule="auto"/>
        <w:jc w:val="both"/>
        <w:rPr>
          <w:rFonts w:ascii="Calibri" w:hAnsi="Calibri" w:cs="Calibri"/>
        </w:rPr>
      </w:pPr>
    </w:p>
    <w:p w:rsidR="007F43CE" w:rsidRDefault="007F43CE">
      <w:pPr>
        <w:pStyle w:val="ConsPlusNonformat"/>
      </w:pPr>
      <w:r>
        <w:t xml:space="preserve">                               1          </w:t>
      </w:r>
      <w:proofErr w:type="spellStart"/>
      <w:r>
        <w:t>1</w:t>
      </w:r>
      <w:proofErr w:type="spellEnd"/>
    </w:p>
    <w:p w:rsidR="007F43CE" w:rsidRDefault="007F43CE">
      <w:pPr>
        <w:pStyle w:val="ConsPlusNonformat"/>
      </w:pPr>
      <w:r>
        <w:t xml:space="preserve">                           -------- &lt;= --------, где:</w:t>
      </w:r>
    </w:p>
    <w:p w:rsidR="007F43CE" w:rsidRDefault="007F43CE">
      <w:pPr>
        <w:pStyle w:val="ConsPlusNonformat"/>
      </w:pPr>
      <w:r>
        <w:t xml:space="preserve">                                 N           D</w:t>
      </w:r>
    </w:p>
    <w:p w:rsidR="007F43CE" w:rsidRDefault="007F43CE">
      <w:pPr>
        <w:pStyle w:val="ConsPlusNonformat"/>
      </w:pPr>
      <w:r>
        <w:t xml:space="preserve">                            ПР          </w:t>
      </w:r>
      <w:proofErr w:type="spellStart"/>
      <w:proofErr w:type="gramStart"/>
      <w:r>
        <w:t>ПР</w:t>
      </w:r>
      <w:proofErr w:type="spellEnd"/>
      <w:proofErr w:type="gramEnd"/>
    </w:p>
    <w:p w:rsidR="007F43CE" w:rsidRDefault="007F43CE">
      <w:pPr>
        <w:pStyle w:val="ConsPlusNonformat"/>
      </w:pPr>
      <w:r>
        <w:t xml:space="preserve">                              3.1         </w:t>
      </w:r>
      <w:proofErr w:type="spellStart"/>
      <w:r>
        <w:t>3.1</w:t>
      </w:r>
      <w:proofErr w:type="spellEnd"/>
    </w:p>
    <w:p w:rsidR="007F43CE" w:rsidRDefault="007F43CE">
      <w:pPr>
        <w:pStyle w:val="ConsPlusNonformat"/>
      </w:pPr>
    </w:p>
    <w:p w:rsidR="007F43CE" w:rsidRDefault="007F43CE">
      <w:pPr>
        <w:pStyle w:val="ConsPlusNonformat"/>
      </w:pPr>
      <w:r>
        <w:t xml:space="preserve">         N</w:t>
      </w:r>
    </w:p>
    <w:p w:rsidR="007F43CE" w:rsidRDefault="007F43CE">
      <w:pPr>
        <w:pStyle w:val="ConsPlusNonformat"/>
      </w:pPr>
      <w:r>
        <w:t xml:space="preserve">    </w:t>
      </w:r>
      <w:proofErr w:type="gramStart"/>
      <w:r>
        <w:t>ПР</w:t>
      </w:r>
      <w:proofErr w:type="gramEnd"/>
      <w:r>
        <w:t xml:space="preserve">      - показатель, предусмотренный </w:t>
      </w:r>
      <w:hyperlink w:anchor="Par194" w:history="1">
        <w:r>
          <w:rPr>
            <w:color w:val="0000FF"/>
          </w:rPr>
          <w:t>абзацем вторым подпункта 3</w:t>
        </w:r>
      </w:hyperlink>
      <w:r>
        <w:t xml:space="preserve"> пункта</w:t>
      </w:r>
    </w:p>
    <w:p w:rsidR="007F43CE" w:rsidRDefault="007F43CE">
      <w:pPr>
        <w:pStyle w:val="ConsPlusNonformat"/>
      </w:pPr>
      <w:r>
        <w:t xml:space="preserve">      3.1</w:t>
      </w:r>
    </w:p>
    <w:p w:rsidR="007F43CE" w:rsidRDefault="007F43CE">
      <w:pPr>
        <w:pStyle w:val="ConsPlusNonformat"/>
      </w:pPr>
      <w:r>
        <w:t xml:space="preserve">3.1   настоящего   Положения,   </w:t>
      </w:r>
      <w:proofErr w:type="gramStart"/>
      <w:r>
        <w:t>рассчитанный</w:t>
      </w:r>
      <w:proofErr w:type="gramEnd"/>
      <w:r>
        <w:t xml:space="preserve">   в   отношении  ценных  бумаг</w:t>
      </w:r>
    </w:p>
    <w:p w:rsidR="007F43CE" w:rsidRDefault="007F43CE">
      <w:pPr>
        <w:pStyle w:val="ConsPlusNonformat"/>
      </w:pPr>
      <w:r>
        <w:t xml:space="preserve">иностранного   эмитента,   </w:t>
      </w:r>
      <w:proofErr w:type="gramStart"/>
      <w:r>
        <w:t>допускаемых</w:t>
      </w:r>
      <w:proofErr w:type="gramEnd"/>
      <w:r>
        <w:t xml:space="preserve">  к  публичному  размещению  и  (или)</w:t>
      </w:r>
    </w:p>
    <w:p w:rsidR="007F43CE" w:rsidRDefault="007F43CE">
      <w:pPr>
        <w:pStyle w:val="ConsPlusNonformat"/>
      </w:pPr>
      <w:r>
        <w:t>публичному обращению в Российской Федерации;</w:t>
      </w:r>
    </w:p>
    <w:p w:rsidR="007F43CE" w:rsidRDefault="007F43CE">
      <w:pPr>
        <w:pStyle w:val="ConsPlusNonformat"/>
      </w:pPr>
      <w:r>
        <w:t xml:space="preserve">         D</w:t>
      </w:r>
    </w:p>
    <w:p w:rsidR="007F43CE" w:rsidRDefault="007F43CE">
      <w:pPr>
        <w:pStyle w:val="ConsPlusNonformat"/>
      </w:pPr>
      <w:r>
        <w:t xml:space="preserve">    </w:t>
      </w:r>
      <w:proofErr w:type="gramStart"/>
      <w:r>
        <w:t>ПР</w:t>
      </w:r>
      <w:proofErr w:type="gramEnd"/>
      <w:r>
        <w:t xml:space="preserve">      - показатель, предусмотренный </w:t>
      </w:r>
      <w:hyperlink w:anchor="Par194" w:history="1">
        <w:r>
          <w:rPr>
            <w:color w:val="0000FF"/>
          </w:rPr>
          <w:t>абзацем вторым подпункта 3</w:t>
        </w:r>
      </w:hyperlink>
      <w:r>
        <w:t xml:space="preserve"> пункта</w:t>
      </w:r>
    </w:p>
    <w:p w:rsidR="007F43CE" w:rsidRDefault="007F43CE">
      <w:pPr>
        <w:pStyle w:val="ConsPlusNonformat"/>
      </w:pPr>
      <w:r>
        <w:t xml:space="preserve">      3.1</w:t>
      </w:r>
    </w:p>
    <w:p w:rsidR="007F43CE" w:rsidRDefault="007F43CE">
      <w:pPr>
        <w:pStyle w:val="ConsPlusNonformat"/>
      </w:pPr>
      <w:r>
        <w:t xml:space="preserve">3.1  настоящего  Положения,  </w:t>
      </w:r>
      <w:proofErr w:type="gramStart"/>
      <w:r>
        <w:t>рассчитанный</w:t>
      </w:r>
      <w:proofErr w:type="gramEnd"/>
      <w:r>
        <w:t xml:space="preserve">  в  отношении  ценных  бумаг, уже</w:t>
      </w:r>
    </w:p>
    <w:p w:rsidR="007F43CE" w:rsidRDefault="007F43CE">
      <w:pPr>
        <w:pStyle w:val="ConsPlusNonformat"/>
      </w:pPr>
      <w:proofErr w:type="gramStart"/>
      <w:r>
        <w:t>допущенных</w:t>
      </w:r>
      <w:proofErr w:type="gramEnd"/>
      <w:r>
        <w:t xml:space="preserve"> к торгам на российской фондовой бирже.</w:t>
      </w: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autoSpaceDE w:val="0"/>
        <w:autoSpaceDN w:val="0"/>
        <w:adjustRightInd w:val="0"/>
        <w:spacing w:after="0" w:line="240" w:lineRule="auto"/>
        <w:ind w:firstLine="540"/>
        <w:jc w:val="both"/>
        <w:rPr>
          <w:rFonts w:ascii="Calibri" w:hAnsi="Calibri" w:cs="Calibri"/>
        </w:rPr>
      </w:pPr>
    </w:p>
    <w:p w:rsidR="007F43CE" w:rsidRDefault="007F43C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43CE" w:rsidRDefault="007F43CE">
      <w:pPr>
        <w:widowControl w:val="0"/>
        <w:autoSpaceDE w:val="0"/>
        <w:autoSpaceDN w:val="0"/>
        <w:adjustRightInd w:val="0"/>
        <w:spacing w:after="0" w:line="240" w:lineRule="auto"/>
        <w:rPr>
          <w:rFonts w:ascii="Calibri" w:hAnsi="Calibri" w:cs="Calibri"/>
        </w:rPr>
      </w:pPr>
    </w:p>
    <w:p w:rsidR="009A5A5B" w:rsidRDefault="009A5A5B"/>
    <w:sectPr w:rsidR="009A5A5B" w:rsidSect="00CB3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7F43CE"/>
    <w:rsid w:val="00000DAD"/>
    <w:rsid w:val="0000186A"/>
    <w:rsid w:val="00001C12"/>
    <w:rsid w:val="00002183"/>
    <w:rsid w:val="00002A2D"/>
    <w:rsid w:val="00002ABE"/>
    <w:rsid w:val="00003650"/>
    <w:rsid w:val="00003E21"/>
    <w:rsid w:val="00003F9B"/>
    <w:rsid w:val="0000499B"/>
    <w:rsid w:val="00005388"/>
    <w:rsid w:val="0000601D"/>
    <w:rsid w:val="0000633D"/>
    <w:rsid w:val="000063B6"/>
    <w:rsid w:val="000069E0"/>
    <w:rsid w:val="00006D09"/>
    <w:rsid w:val="00010D14"/>
    <w:rsid w:val="00010FBD"/>
    <w:rsid w:val="000118D2"/>
    <w:rsid w:val="000125E3"/>
    <w:rsid w:val="00012C90"/>
    <w:rsid w:val="00014282"/>
    <w:rsid w:val="00014361"/>
    <w:rsid w:val="00014860"/>
    <w:rsid w:val="00014981"/>
    <w:rsid w:val="00016381"/>
    <w:rsid w:val="000172D8"/>
    <w:rsid w:val="00020080"/>
    <w:rsid w:val="000201D3"/>
    <w:rsid w:val="0002146D"/>
    <w:rsid w:val="00022033"/>
    <w:rsid w:val="00022808"/>
    <w:rsid w:val="000234F1"/>
    <w:rsid w:val="00024038"/>
    <w:rsid w:val="00024160"/>
    <w:rsid w:val="000249A3"/>
    <w:rsid w:val="000249AB"/>
    <w:rsid w:val="00024D89"/>
    <w:rsid w:val="00024DAF"/>
    <w:rsid w:val="00024ED7"/>
    <w:rsid w:val="00024F4B"/>
    <w:rsid w:val="000252E1"/>
    <w:rsid w:val="000262A0"/>
    <w:rsid w:val="00026EA1"/>
    <w:rsid w:val="00026F4A"/>
    <w:rsid w:val="0002733E"/>
    <w:rsid w:val="00030426"/>
    <w:rsid w:val="00032586"/>
    <w:rsid w:val="00032C9E"/>
    <w:rsid w:val="00032D54"/>
    <w:rsid w:val="00033EA5"/>
    <w:rsid w:val="00034672"/>
    <w:rsid w:val="00034A96"/>
    <w:rsid w:val="00034B6C"/>
    <w:rsid w:val="000352F9"/>
    <w:rsid w:val="0003549B"/>
    <w:rsid w:val="00035C0A"/>
    <w:rsid w:val="00036206"/>
    <w:rsid w:val="00036DD6"/>
    <w:rsid w:val="00037C16"/>
    <w:rsid w:val="000408D8"/>
    <w:rsid w:val="00040C56"/>
    <w:rsid w:val="00041563"/>
    <w:rsid w:val="00041915"/>
    <w:rsid w:val="00041BB9"/>
    <w:rsid w:val="00041FD1"/>
    <w:rsid w:val="0004284F"/>
    <w:rsid w:val="00042F59"/>
    <w:rsid w:val="000431AE"/>
    <w:rsid w:val="00043BDA"/>
    <w:rsid w:val="00044989"/>
    <w:rsid w:val="00045370"/>
    <w:rsid w:val="0004600F"/>
    <w:rsid w:val="00046E29"/>
    <w:rsid w:val="0004773A"/>
    <w:rsid w:val="000505BC"/>
    <w:rsid w:val="00051CCA"/>
    <w:rsid w:val="00053791"/>
    <w:rsid w:val="0005388A"/>
    <w:rsid w:val="00053A7E"/>
    <w:rsid w:val="00053B92"/>
    <w:rsid w:val="0005453E"/>
    <w:rsid w:val="00054C27"/>
    <w:rsid w:val="00055576"/>
    <w:rsid w:val="00055A7B"/>
    <w:rsid w:val="00056132"/>
    <w:rsid w:val="00057C81"/>
    <w:rsid w:val="00057E4F"/>
    <w:rsid w:val="00060EBD"/>
    <w:rsid w:val="000619C0"/>
    <w:rsid w:val="00061B3D"/>
    <w:rsid w:val="00061EE1"/>
    <w:rsid w:val="00064B54"/>
    <w:rsid w:val="000652FD"/>
    <w:rsid w:val="00066072"/>
    <w:rsid w:val="00066997"/>
    <w:rsid w:val="00066ED7"/>
    <w:rsid w:val="00067796"/>
    <w:rsid w:val="00067ADB"/>
    <w:rsid w:val="000701B5"/>
    <w:rsid w:val="0007046C"/>
    <w:rsid w:val="00071C4D"/>
    <w:rsid w:val="000725A6"/>
    <w:rsid w:val="000726FB"/>
    <w:rsid w:val="00072A95"/>
    <w:rsid w:val="0007319C"/>
    <w:rsid w:val="0007320E"/>
    <w:rsid w:val="000734BF"/>
    <w:rsid w:val="00073677"/>
    <w:rsid w:val="000739E2"/>
    <w:rsid w:val="00073D83"/>
    <w:rsid w:val="00075030"/>
    <w:rsid w:val="00075195"/>
    <w:rsid w:val="000751A5"/>
    <w:rsid w:val="00075A2C"/>
    <w:rsid w:val="00075FEF"/>
    <w:rsid w:val="000762A9"/>
    <w:rsid w:val="00076B0A"/>
    <w:rsid w:val="00080519"/>
    <w:rsid w:val="00080A68"/>
    <w:rsid w:val="00080AB8"/>
    <w:rsid w:val="000816F4"/>
    <w:rsid w:val="00081BCE"/>
    <w:rsid w:val="000824CC"/>
    <w:rsid w:val="00082B3E"/>
    <w:rsid w:val="000837D2"/>
    <w:rsid w:val="000838A8"/>
    <w:rsid w:val="00085238"/>
    <w:rsid w:val="0008566A"/>
    <w:rsid w:val="00085957"/>
    <w:rsid w:val="00086169"/>
    <w:rsid w:val="000861C1"/>
    <w:rsid w:val="00086268"/>
    <w:rsid w:val="000872A8"/>
    <w:rsid w:val="000875A0"/>
    <w:rsid w:val="000877BA"/>
    <w:rsid w:val="00090B57"/>
    <w:rsid w:val="000921D3"/>
    <w:rsid w:val="00094BDC"/>
    <w:rsid w:val="000959C5"/>
    <w:rsid w:val="00097088"/>
    <w:rsid w:val="00097399"/>
    <w:rsid w:val="0009778A"/>
    <w:rsid w:val="000A08F0"/>
    <w:rsid w:val="000A156A"/>
    <w:rsid w:val="000A1BBF"/>
    <w:rsid w:val="000A2894"/>
    <w:rsid w:val="000A3AD8"/>
    <w:rsid w:val="000A4155"/>
    <w:rsid w:val="000A43E9"/>
    <w:rsid w:val="000A45B1"/>
    <w:rsid w:val="000A46EB"/>
    <w:rsid w:val="000A6763"/>
    <w:rsid w:val="000A7F23"/>
    <w:rsid w:val="000B07E0"/>
    <w:rsid w:val="000B13A3"/>
    <w:rsid w:val="000B1488"/>
    <w:rsid w:val="000B1D93"/>
    <w:rsid w:val="000B1FED"/>
    <w:rsid w:val="000B2391"/>
    <w:rsid w:val="000B25B2"/>
    <w:rsid w:val="000B26AB"/>
    <w:rsid w:val="000B27E6"/>
    <w:rsid w:val="000B285E"/>
    <w:rsid w:val="000B3EE0"/>
    <w:rsid w:val="000B4DD7"/>
    <w:rsid w:val="000B4FF7"/>
    <w:rsid w:val="000B7903"/>
    <w:rsid w:val="000B7D9C"/>
    <w:rsid w:val="000B7E02"/>
    <w:rsid w:val="000B7FBE"/>
    <w:rsid w:val="000C050B"/>
    <w:rsid w:val="000C0E0F"/>
    <w:rsid w:val="000C1307"/>
    <w:rsid w:val="000C19E8"/>
    <w:rsid w:val="000C3B80"/>
    <w:rsid w:val="000C3B9C"/>
    <w:rsid w:val="000C3D12"/>
    <w:rsid w:val="000C41CA"/>
    <w:rsid w:val="000C5141"/>
    <w:rsid w:val="000C54CA"/>
    <w:rsid w:val="000C6844"/>
    <w:rsid w:val="000C7F8F"/>
    <w:rsid w:val="000D0001"/>
    <w:rsid w:val="000D0C3E"/>
    <w:rsid w:val="000D216A"/>
    <w:rsid w:val="000D2473"/>
    <w:rsid w:val="000D3610"/>
    <w:rsid w:val="000D3E2F"/>
    <w:rsid w:val="000D3FBB"/>
    <w:rsid w:val="000D422B"/>
    <w:rsid w:val="000D450C"/>
    <w:rsid w:val="000D4F31"/>
    <w:rsid w:val="000D6D29"/>
    <w:rsid w:val="000E0855"/>
    <w:rsid w:val="000E0C22"/>
    <w:rsid w:val="000E0FC7"/>
    <w:rsid w:val="000E2766"/>
    <w:rsid w:val="000E324F"/>
    <w:rsid w:val="000E34A5"/>
    <w:rsid w:val="000E522C"/>
    <w:rsid w:val="000E55E1"/>
    <w:rsid w:val="000E72A0"/>
    <w:rsid w:val="000E76EC"/>
    <w:rsid w:val="000E7A85"/>
    <w:rsid w:val="000E7E2B"/>
    <w:rsid w:val="000F0842"/>
    <w:rsid w:val="000F0B19"/>
    <w:rsid w:val="000F133B"/>
    <w:rsid w:val="000F2CA9"/>
    <w:rsid w:val="000F3538"/>
    <w:rsid w:val="000F3A68"/>
    <w:rsid w:val="000F4CC6"/>
    <w:rsid w:val="000F4E63"/>
    <w:rsid w:val="000F521D"/>
    <w:rsid w:val="000F5441"/>
    <w:rsid w:val="000F7193"/>
    <w:rsid w:val="000F78B8"/>
    <w:rsid w:val="00100440"/>
    <w:rsid w:val="001004A9"/>
    <w:rsid w:val="0010098C"/>
    <w:rsid w:val="0010119E"/>
    <w:rsid w:val="001011BC"/>
    <w:rsid w:val="00101A68"/>
    <w:rsid w:val="00102978"/>
    <w:rsid w:val="001036C0"/>
    <w:rsid w:val="001039DC"/>
    <w:rsid w:val="001039FD"/>
    <w:rsid w:val="00103B91"/>
    <w:rsid w:val="001047E7"/>
    <w:rsid w:val="001054D3"/>
    <w:rsid w:val="00105542"/>
    <w:rsid w:val="00105D79"/>
    <w:rsid w:val="00105DD6"/>
    <w:rsid w:val="00106B4D"/>
    <w:rsid w:val="0010765B"/>
    <w:rsid w:val="00107876"/>
    <w:rsid w:val="00110312"/>
    <w:rsid w:val="00110356"/>
    <w:rsid w:val="00111841"/>
    <w:rsid w:val="00111A37"/>
    <w:rsid w:val="00111E22"/>
    <w:rsid w:val="00111EFB"/>
    <w:rsid w:val="00112E67"/>
    <w:rsid w:val="001133A0"/>
    <w:rsid w:val="00113F0A"/>
    <w:rsid w:val="001145CE"/>
    <w:rsid w:val="00114CBB"/>
    <w:rsid w:val="00115127"/>
    <w:rsid w:val="00115841"/>
    <w:rsid w:val="00115E05"/>
    <w:rsid w:val="001174AF"/>
    <w:rsid w:val="00117A80"/>
    <w:rsid w:val="00117DBF"/>
    <w:rsid w:val="0012012D"/>
    <w:rsid w:val="00120431"/>
    <w:rsid w:val="00120B5E"/>
    <w:rsid w:val="001212C2"/>
    <w:rsid w:val="00121665"/>
    <w:rsid w:val="00121990"/>
    <w:rsid w:val="00122409"/>
    <w:rsid w:val="0012267D"/>
    <w:rsid w:val="00122AEA"/>
    <w:rsid w:val="001233F6"/>
    <w:rsid w:val="0012487C"/>
    <w:rsid w:val="00125616"/>
    <w:rsid w:val="00125B8E"/>
    <w:rsid w:val="00125E51"/>
    <w:rsid w:val="00127077"/>
    <w:rsid w:val="00127725"/>
    <w:rsid w:val="00127A2C"/>
    <w:rsid w:val="0013118A"/>
    <w:rsid w:val="001322E7"/>
    <w:rsid w:val="0013235D"/>
    <w:rsid w:val="00132378"/>
    <w:rsid w:val="001327A6"/>
    <w:rsid w:val="00132C84"/>
    <w:rsid w:val="0013444A"/>
    <w:rsid w:val="00134ADF"/>
    <w:rsid w:val="00136509"/>
    <w:rsid w:val="00136F2B"/>
    <w:rsid w:val="001376B9"/>
    <w:rsid w:val="00140559"/>
    <w:rsid w:val="00140718"/>
    <w:rsid w:val="00140BFD"/>
    <w:rsid w:val="0014177E"/>
    <w:rsid w:val="00141A44"/>
    <w:rsid w:val="00142610"/>
    <w:rsid w:val="0014269E"/>
    <w:rsid w:val="0014291D"/>
    <w:rsid w:val="00142C45"/>
    <w:rsid w:val="00143CFA"/>
    <w:rsid w:val="00143D67"/>
    <w:rsid w:val="00143EC9"/>
    <w:rsid w:val="001443DC"/>
    <w:rsid w:val="001444E6"/>
    <w:rsid w:val="00144A05"/>
    <w:rsid w:val="001464F4"/>
    <w:rsid w:val="001466FD"/>
    <w:rsid w:val="00146E50"/>
    <w:rsid w:val="001475DA"/>
    <w:rsid w:val="001476B6"/>
    <w:rsid w:val="00150F1F"/>
    <w:rsid w:val="00152CB4"/>
    <w:rsid w:val="00152D13"/>
    <w:rsid w:val="00153012"/>
    <w:rsid w:val="00153BFF"/>
    <w:rsid w:val="001544BC"/>
    <w:rsid w:val="00155346"/>
    <w:rsid w:val="0015708E"/>
    <w:rsid w:val="00157645"/>
    <w:rsid w:val="001624C2"/>
    <w:rsid w:val="001645DB"/>
    <w:rsid w:val="00164ED3"/>
    <w:rsid w:val="00165302"/>
    <w:rsid w:val="00165BFB"/>
    <w:rsid w:val="001660AD"/>
    <w:rsid w:val="00167BF4"/>
    <w:rsid w:val="00170141"/>
    <w:rsid w:val="00170371"/>
    <w:rsid w:val="00170603"/>
    <w:rsid w:val="00170DF8"/>
    <w:rsid w:val="0017145F"/>
    <w:rsid w:val="0017284D"/>
    <w:rsid w:val="0017291B"/>
    <w:rsid w:val="001736C7"/>
    <w:rsid w:val="00173A48"/>
    <w:rsid w:val="00173BB5"/>
    <w:rsid w:val="00174649"/>
    <w:rsid w:val="00176B29"/>
    <w:rsid w:val="00176C3B"/>
    <w:rsid w:val="00176EC6"/>
    <w:rsid w:val="001779A8"/>
    <w:rsid w:val="00177BDA"/>
    <w:rsid w:val="00177CB9"/>
    <w:rsid w:val="00180C4E"/>
    <w:rsid w:val="00180F57"/>
    <w:rsid w:val="0018140F"/>
    <w:rsid w:val="0018156E"/>
    <w:rsid w:val="00181701"/>
    <w:rsid w:val="001818CA"/>
    <w:rsid w:val="0018215F"/>
    <w:rsid w:val="00184106"/>
    <w:rsid w:val="00184388"/>
    <w:rsid w:val="00184511"/>
    <w:rsid w:val="00184EAE"/>
    <w:rsid w:val="0018587B"/>
    <w:rsid w:val="0018597F"/>
    <w:rsid w:val="00186405"/>
    <w:rsid w:val="00187241"/>
    <w:rsid w:val="0018780B"/>
    <w:rsid w:val="001903B2"/>
    <w:rsid w:val="0019081E"/>
    <w:rsid w:val="00190938"/>
    <w:rsid w:val="00190A32"/>
    <w:rsid w:val="00190D8A"/>
    <w:rsid w:val="001911C3"/>
    <w:rsid w:val="001913B4"/>
    <w:rsid w:val="001918BF"/>
    <w:rsid w:val="00191E56"/>
    <w:rsid w:val="00192316"/>
    <w:rsid w:val="00192FA1"/>
    <w:rsid w:val="00193AFF"/>
    <w:rsid w:val="001971F9"/>
    <w:rsid w:val="0019778D"/>
    <w:rsid w:val="00197BFB"/>
    <w:rsid w:val="001A0A5D"/>
    <w:rsid w:val="001A0BA7"/>
    <w:rsid w:val="001A0C13"/>
    <w:rsid w:val="001A0F24"/>
    <w:rsid w:val="001A1FF0"/>
    <w:rsid w:val="001A227E"/>
    <w:rsid w:val="001A22DB"/>
    <w:rsid w:val="001A32D7"/>
    <w:rsid w:val="001A43BA"/>
    <w:rsid w:val="001A4715"/>
    <w:rsid w:val="001A5AB2"/>
    <w:rsid w:val="001A612C"/>
    <w:rsid w:val="001A6BB2"/>
    <w:rsid w:val="001A6E6D"/>
    <w:rsid w:val="001A6E76"/>
    <w:rsid w:val="001A7492"/>
    <w:rsid w:val="001B042E"/>
    <w:rsid w:val="001B0D21"/>
    <w:rsid w:val="001B15F1"/>
    <w:rsid w:val="001B21F2"/>
    <w:rsid w:val="001B28DE"/>
    <w:rsid w:val="001B2A85"/>
    <w:rsid w:val="001B2CF4"/>
    <w:rsid w:val="001B34EF"/>
    <w:rsid w:val="001B36E9"/>
    <w:rsid w:val="001B467A"/>
    <w:rsid w:val="001B59E9"/>
    <w:rsid w:val="001B5FAF"/>
    <w:rsid w:val="001B6AE4"/>
    <w:rsid w:val="001B6B55"/>
    <w:rsid w:val="001B7DC4"/>
    <w:rsid w:val="001B7F6E"/>
    <w:rsid w:val="001C05DD"/>
    <w:rsid w:val="001C166D"/>
    <w:rsid w:val="001C1962"/>
    <w:rsid w:val="001C1A21"/>
    <w:rsid w:val="001C1DC9"/>
    <w:rsid w:val="001C24C3"/>
    <w:rsid w:val="001C24FD"/>
    <w:rsid w:val="001C26B9"/>
    <w:rsid w:val="001C280D"/>
    <w:rsid w:val="001C283C"/>
    <w:rsid w:val="001C2924"/>
    <w:rsid w:val="001C6166"/>
    <w:rsid w:val="001C65B4"/>
    <w:rsid w:val="001C73FE"/>
    <w:rsid w:val="001D0409"/>
    <w:rsid w:val="001D0B20"/>
    <w:rsid w:val="001D0BFE"/>
    <w:rsid w:val="001D11CD"/>
    <w:rsid w:val="001D13C4"/>
    <w:rsid w:val="001D2BE9"/>
    <w:rsid w:val="001D361D"/>
    <w:rsid w:val="001D3693"/>
    <w:rsid w:val="001D424B"/>
    <w:rsid w:val="001D6210"/>
    <w:rsid w:val="001D6D37"/>
    <w:rsid w:val="001D73F9"/>
    <w:rsid w:val="001E0376"/>
    <w:rsid w:val="001E09CC"/>
    <w:rsid w:val="001E11D1"/>
    <w:rsid w:val="001E1CE4"/>
    <w:rsid w:val="001E3117"/>
    <w:rsid w:val="001E3AAC"/>
    <w:rsid w:val="001E419B"/>
    <w:rsid w:val="001E4FEA"/>
    <w:rsid w:val="001E51EB"/>
    <w:rsid w:val="001E5621"/>
    <w:rsid w:val="001E58AC"/>
    <w:rsid w:val="001E5FDB"/>
    <w:rsid w:val="001E7062"/>
    <w:rsid w:val="001E7B51"/>
    <w:rsid w:val="001F0092"/>
    <w:rsid w:val="001F013F"/>
    <w:rsid w:val="001F073D"/>
    <w:rsid w:val="001F0E82"/>
    <w:rsid w:val="001F12FB"/>
    <w:rsid w:val="001F16CB"/>
    <w:rsid w:val="001F1CEE"/>
    <w:rsid w:val="001F3031"/>
    <w:rsid w:val="001F3841"/>
    <w:rsid w:val="001F465D"/>
    <w:rsid w:val="0020014C"/>
    <w:rsid w:val="00200425"/>
    <w:rsid w:val="00200BCF"/>
    <w:rsid w:val="00203744"/>
    <w:rsid w:val="00203BF7"/>
    <w:rsid w:val="0020443F"/>
    <w:rsid w:val="00204735"/>
    <w:rsid w:val="00205B8C"/>
    <w:rsid w:val="00205CF1"/>
    <w:rsid w:val="002060DE"/>
    <w:rsid w:val="00206117"/>
    <w:rsid w:val="00206172"/>
    <w:rsid w:val="00207165"/>
    <w:rsid w:val="0020745B"/>
    <w:rsid w:val="00207678"/>
    <w:rsid w:val="00207CD0"/>
    <w:rsid w:val="002101BE"/>
    <w:rsid w:val="00210AC7"/>
    <w:rsid w:val="00210AFB"/>
    <w:rsid w:val="002137DB"/>
    <w:rsid w:val="00213B4C"/>
    <w:rsid w:val="0021403F"/>
    <w:rsid w:val="0021418B"/>
    <w:rsid w:val="0021419F"/>
    <w:rsid w:val="0021462F"/>
    <w:rsid w:val="00214696"/>
    <w:rsid w:val="002148E9"/>
    <w:rsid w:val="0021494E"/>
    <w:rsid w:val="00214CEB"/>
    <w:rsid w:val="0021555A"/>
    <w:rsid w:val="00216011"/>
    <w:rsid w:val="00216247"/>
    <w:rsid w:val="00216954"/>
    <w:rsid w:val="00217304"/>
    <w:rsid w:val="00217E7C"/>
    <w:rsid w:val="00220CB8"/>
    <w:rsid w:val="002227BA"/>
    <w:rsid w:val="00222FBB"/>
    <w:rsid w:val="0022308A"/>
    <w:rsid w:val="00223C6A"/>
    <w:rsid w:val="00224716"/>
    <w:rsid w:val="00224C9F"/>
    <w:rsid w:val="002254EC"/>
    <w:rsid w:val="00225C73"/>
    <w:rsid w:val="00225DD1"/>
    <w:rsid w:val="00225FDB"/>
    <w:rsid w:val="002265DA"/>
    <w:rsid w:val="00226D3A"/>
    <w:rsid w:val="002275DB"/>
    <w:rsid w:val="00227B46"/>
    <w:rsid w:val="00227E4F"/>
    <w:rsid w:val="00230133"/>
    <w:rsid w:val="002310BD"/>
    <w:rsid w:val="00231515"/>
    <w:rsid w:val="0023156E"/>
    <w:rsid w:val="00233AB1"/>
    <w:rsid w:val="00233F40"/>
    <w:rsid w:val="00234377"/>
    <w:rsid w:val="002347D8"/>
    <w:rsid w:val="00234DFD"/>
    <w:rsid w:val="002350BB"/>
    <w:rsid w:val="0023597D"/>
    <w:rsid w:val="00235D16"/>
    <w:rsid w:val="00236515"/>
    <w:rsid w:val="00236A22"/>
    <w:rsid w:val="00236AA0"/>
    <w:rsid w:val="002377EA"/>
    <w:rsid w:val="00237A03"/>
    <w:rsid w:val="00240DBD"/>
    <w:rsid w:val="00240F8F"/>
    <w:rsid w:val="00241C28"/>
    <w:rsid w:val="00242113"/>
    <w:rsid w:val="00242122"/>
    <w:rsid w:val="00242A00"/>
    <w:rsid w:val="00243B41"/>
    <w:rsid w:val="0024483D"/>
    <w:rsid w:val="0024554D"/>
    <w:rsid w:val="00246A8C"/>
    <w:rsid w:val="00246F3A"/>
    <w:rsid w:val="002472B1"/>
    <w:rsid w:val="00250260"/>
    <w:rsid w:val="002509F6"/>
    <w:rsid w:val="00250B6D"/>
    <w:rsid w:val="00250D60"/>
    <w:rsid w:val="002515E5"/>
    <w:rsid w:val="0025206D"/>
    <w:rsid w:val="002522C2"/>
    <w:rsid w:val="002524C5"/>
    <w:rsid w:val="00252A30"/>
    <w:rsid w:val="00252EA9"/>
    <w:rsid w:val="00252F94"/>
    <w:rsid w:val="002532DF"/>
    <w:rsid w:val="002539CB"/>
    <w:rsid w:val="00257009"/>
    <w:rsid w:val="00257968"/>
    <w:rsid w:val="00260267"/>
    <w:rsid w:val="002602C2"/>
    <w:rsid w:val="00260666"/>
    <w:rsid w:val="002606D0"/>
    <w:rsid w:val="0026212C"/>
    <w:rsid w:val="002625EE"/>
    <w:rsid w:val="00262A94"/>
    <w:rsid w:val="002631BF"/>
    <w:rsid w:val="0026414D"/>
    <w:rsid w:val="00264227"/>
    <w:rsid w:val="002642D0"/>
    <w:rsid w:val="0026576F"/>
    <w:rsid w:val="00265AD2"/>
    <w:rsid w:val="00266151"/>
    <w:rsid w:val="002668AE"/>
    <w:rsid w:val="00266EA8"/>
    <w:rsid w:val="00267359"/>
    <w:rsid w:val="002675D1"/>
    <w:rsid w:val="00267F21"/>
    <w:rsid w:val="002701EF"/>
    <w:rsid w:val="00270746"/>
    <w:rsid w:val="0027174E"/>
    <w:rsid w:val="00271D2F"/>
    <w:rsid w:val="002733D3"/>
    <w:rsid w:val="002734BA"/>
    <w:rsid w:val="00273C01"/>
    <w:rsid w:val="002740C5"/>
    <w:rsid w:val="00275153"/>
    <w:rsid w:val="00276738"/>
    <w:rsid w:val="00276741"/>
    <w:rsid w:val="002768B5"/>
    <w:rsid w:val="00277369"/>
    <w:rsid w:val="002777B3"/>
    <w:rsid w:val="00281EA7"/>
    <w:rsid w:val="00282051"/>
    <w:rsid w:val="0028288F"/>
    <w:rsid w:val="00283C8B"/>
    <w:rsid w:val="00284739"/>
    <w:rsid w:val="0028494A"/>
    <w:rsid w:val="00285D95"/>
    <w:rsid w:val="0028601D"/>
    <w:rsid w:val="00286251"/>
    <w:rsid w:val="00286A65"/>
    <w:rsid w:val="00286E95"/>
    <w:rsid w:val="002875B1"/>
    <w:rsid w:val="00287AC4"/>
    <w:rsid w:val="00287B40"/>
    <w:rsid w:val="002902B6"/>
    <w:rsid w:val="002927C3"/>
    <w:rsid w:val="00292DAF"/>
    <w:rsid w:val="00292FAE"/>
    <w:rsid w:val="0029335D"/>
    <w:rsid w:val="00293F29"/>
    <w:rsid w:val="00294998"/>
    <w:rsid w:val="00295106"/>
    <w:rsid w:val="00296039"/>
    <w:rsid w:val="00296354"/>
    <w:rsid w:val="002979DF"/>
    <w:rsid w:val="00297E3E"/>
    <w:rsid w:val="002A031C"/>
    <w:rsid w:val="002A07A9"/>
    <w:rsid w:val="002A0839"/>
    <w:rsid w:val="002A0D3B"/>
    <w:rsid w:val="002A1887"/>
    <w:rsid w:val="002A1DD9"/>
    <w:rsid w:val="002A2783"/>
    <w:rsid w:val="002A35F3"/>
    <w:rsid w:val="002A4175"/>
    <w:rsid w:val="002A5C9C"/>
    <w:rsid w:val="002A601A"/>
    <w:rsid w:val="002A63D7"/>
    <w:rsid w:val="002A6E43"/>
    <w:rsid w:val="002A726C"/>
    <w:rsid w:val="002A7680"/>
    <w:rsid w:val="002B0B5B"/>
    <w:rsid w:val="002B12EF"/>
    <w:rsid w:val="002B1681"/>
    <w:rsid w:val="002B1DC7"/>
    <w:rsid w:val="002B1E41"/>
    <w:rsid w:val="002B2A73"/>
    <w:rsid w:val="002B2B16"/>
    <w:rsid w:val="002B397A"/>
    <w:rsid w:val="002B3B68"/>
    <w:rsid w:val="002B3C16"/>
    <w:rsid w:val="002B47B2"/>
    <w:rsid w:val="002B53D2"/>
    <w:rsid w:val="002B603F"/>
    <w:rsid w:val="002B6279"/>
    <w:rsid w:val="002B6A9A"/>
    <w:rsid w:val="002B7464"/>
    <w:rsid w:val="002B7BC0"/>
    <w:rsid w:val="002C0541"/>
    <w:rsid w:val="002C0773"/>
    <w:rsid w:val="002C0ED4"/>
    <w:rsid w:val="002C109A"/>
    <w:rsid w:val="002C1857"/>
    <w:rsid w:val="002C22A2"/>
    <w:rsid w:val="002C27BD"/>
    <w:rsid w:val="002C3313"/>
    <w:rsid w:val="002C39C8"/>
    <w:rsid w:val="002C406A"/>
    <w:rsid w:val="002C5847"/>
    <w:rsid w:val="002C6E28"/>
    <w:rsid w:val="002C74CB"/>
    <w:rsid w:val="002C77A6"/>
    <w:rsid w:val="002D0303"/>
    <w:rsid w:val="002D20E0"/>
    <w:rsid w:val="002D25D2"/>
    <w:rsid w:val="002D28C1"/>
    <w:rsid w:val="002D305F"/>
    <w:rsid w:val="002D4209"/>
    <w:rsid w:val="002D4322"/>
    <w:rsid w:val="002D58AB"/>
    <w:rsid w:val="002D58CF"/>
    <w:rsid w:val="002D58E9"/>
    <w:rsid w:val="002D71F9"/>
    <w:rsid w:val="002E00F4"/>
    <w:rsid w:val="002E07C8"/>
    <w:rsid w:val="002E1034"/>
    <w:rsid w:val="002E1918"/>
    <w:rsid w:val="002E1A39"/>
    <w:rsid w:val="002E1E4A"/>
    <w:rsid w:val="002E221F"/>
    <w:rsid w:val="002E2281"/>
    <w:rsid w:val="002E3C3D"/>
    <w:rsid w:val="002E3DD2"/>
    <w:rsid w:val="002E4C85"/>
    <w:rsid w:val="002E4D18"/>
    <w:rsid w:val="002E57EC"/>
    <w:rsid w:val="002E5A7E"/>
    <w:rsid w:val="002F058B"/>
    <w:rsid w:val="002F2F71"/>
    <w:rsid w:val="002F389E"/>
    <w:rsid w:val="002F3CDF"/>
    <w:rsid w:val="002F4813"/>
    <w:rsid w:val="002F5397"/>
    <w:rsid w:val="002F556F"/>
    <w:rsid w:val="002F59FF"/>
    <w:rsid w:val="002F5F07"/>
    <w:rsid w:val="002F73C4"/>
    <w:rsid w:val="002F76BA"/>
    <w:rsid w:val="002F7904"/>
    <w:rsid w:val="002F7B12"/>
    <w:rsid w:val="00301BA0"/>
    <w:rsid w:val="00301DAF"/>
    <w:rsid w:val="0030258A"/>
    <w:rsid w:val="00302BE4"/>
    <w:rsid w:val="00303B6D"/>
    <w:rsid w:val="003044F9"/>
    <w:rsid w:val="003052B4"/>
    <w:rsid w:val="003058D7"/>
    <w:rsid w:val="003061C9"/>
    <w:rsid w:val="00306603"/>
    <w:rsid w:val="00306BE0"/>
    <w:rsid w:val="00306C56"/>
    <w:rsid w:val="00306F11"/>
    <w:rsid w:val="003072C8"/>
    <w:rsid w:val="00307B77"/>
    <w:rsid w:val="00310077"/>
    <w:rsid w:val="00310307"/>
    <w:rsid w:val="0031053F"/>
    <w:rsid w:val="00310B38"/>
    <w:rsid w:val="00310D32"/>
    <w:rsid w:val="003111BE"/>
    <w:rsid w:val="0031146E"/>
    <w:rsid w:val="003124AE"/>
    <w:rsid w:val="00312ED9"/>
    <w:rsid w:val="00313248"/>
    <w:rsid w:val="00313571"/>
    <w:rsid w:val="00313A88"/>
    <w:rsid w:val="00314C87"/>
    <w:rsid w:val="00314DDA"/>
    <w:rsid w:val="003159F6"/>
    <w:rsid w:val="00316656"/>
    <w:rsid w:val="00316B83"/>
    <w:rsid w:val="00317783"/>
    <w:rsid w:val="0031786A"/>
    <w:rsid w:val="00317CFD"/>
    <w:rsid w:val="003201DB"/>
    <w:rsid w:val="0032124E"/>
    <w:rsid w:val="003215EE"/>
    <w:rsid w:val="00321FBD"/>
    <w:rsid w:val="0032225A"/>
    <w:rsid w:val="003222D5"/>
    <w:rsid w:val="003229D9"/>
    <w:rsid w:val="003237F9"/>
    <w:rsid w:val="00324092"/>
    <w:rsid w:val="00324563"/>
    <w:rsid w:val="003245ED"/>
    <w:rsid w:val="003249A7"/>
    <w:rsid w:val="00330163"/>
    <w:rsid w:val="00331242"/>
    <w:rsid w:val="00331349"/>
    <w:rsid w:val="0033135F"/>
    <w:rsid w:val="0033172A"/>
    <w:rsid w:val="0033271C"/>
    <w:rsid w:val="00332F48"/>
    <w:rsid w:val="00334306"/>
    <w:rsid w:val="003346A5"/>
    <w:rsid w:val="00334A89"/>
    <w:rsid w:val="00336080"/>
    <w:rsid w:val="00336147"/>
    <w:rsid w:val="00337626"/>
    <w:rsid w:val="00337627"/>
    <w:rsid w:val="003400A9"/>
    <w:rsid w:val="0034019B"/>
    <w:rsid w:val="003403A1"/>
    <w:rsid w:val="003403D9"/>
    <w:rsid w:val="00340E05"/>
    <w:rsid w:val="00341823"/>
    <w:rsid w:val="00341BC9"/>
    <w:rsid w:val="00341F8E"/>
    <w:rsid w:val="00342815"/>
    <w:rsid w:val="003428C0"/>
    <w:rsid w:val="00342BDC"/>
    <w:rsid w:val="00342E01"/>
    <w:rsid w:val="00343A9F"/>
    <w:rsid w:val="00343F5C"/>
    <w:rsid w:val="0034459E"/>
    <w:rsid w:val="00344B46"/>
    <w:rsid w:val="00345659"/>
    <w:rsid w:val="00345DD1"/>
    <w:rsid w:val="00345EF6"/>
    <w:rsid w:val="00346B96"/>
    <w:rsid w:val="00346D37"/>
    <w:rsid w:val="00347001"/>
    <w:rsid w:val="00347027"/>
    <w:rsid w:val="003473AF"/>
    <w:rsid w:val="00347F0C"/>
    <w:rsid w:val="00347FF5"/>
    <w:rsid w:val="00351A0C"/>
    <w:rsid w:val="00352804"/>
    <w:rsid w:val="00353000"/>
    <w:rsid w:val="00353D53"/>
    <w:rsid w:val="00354DAA"/>
    <w:rsid w:val="00354FA4"/>
    <w:rsid w:val="003560DC"/>
    <w:rsid w:val="003567A1"/>
    <w:rsid w:val="00356CA6"/>
    <w:rsid w:val="0035724E"/>
    <w:rsid w:val="00360225"/>
    <w:rsid w:val="003617CF"/>
    <w:rsid w:val="00362DF0"/>
    <w:rsid w:val="00362F09"/>
    <w:rsid w:val="003633E5"/>
    <w:rsid w:val="00363A70"/>
    <w:rsid w:val="00364BB2"/>
    <w:rsid w:val="00364D3E"/>
    <w:rsid w:val="00364DDB"/>
    <w:rsid w:val="00364F42"/>
    <w:rsid w:val="00365723"/>
    <w:rsid w:val="00365E56"/>
    <w:rsid w:val="00366247"/>
    <w:rsid w:val="003665F9"/>
    <w:rsid w:val="00367EEA"/>
    <w:rsid w:val="0037069A"/>
    <w:rsid w:val="003708AC"/>
    <w:rsid w:val="0037090D"/>
    <w:rsid w:val="0037095F"/>
    <w:rsid w:val="00372E49"/>
    <w:rsid w:val="003733CE"/>
    <w:rsid w:val="00373BB6"/>
    <w:rsid w:val="00374567"/>
    <w:rsid w:val="0037456F"/>
    <w:rsid w:val="00374ECC"/>
    <w:rsid w:val="003750F1"/>
    <w:rsid w:val="00375B72"/>
    <w:rsid w:val="00376566"/>
    <w:rsid w:val="00376840"/>
    <w:rsid w:val="0037715C"/>
    <w:rsid w:val="00377F05"/>
    <w:rsid w:val="00380277"/>
    <w:rsid w:val="00380CFE"/>
    <w:rsid w:val="00381025"/>
    <w:rsid w:val="003810A5"/>
    <w:rsid w:val="0038123C"/>
    <w:rsid w:val="00381301"/>
    <w:rsid w:val="00381A97"/>
    <w:rsid w:val="0038351A"/>
    <w:rsid w:val="00383ABE"/>
    <w:rsid w:val="00383BB2"/>
    <w:rsid w:val="0038583F"/>
    <w:rsid w:val="003859D2"/>
    <w:rsid w:val="00385DCF"/>
    <w:rsid w:val="003860E7"/>
    <w:rsid w:val="00386274"/>
    <w:rsid w:val="003869A5"/>
    <w:rsid w:val="00386A48"/>
    <w:rsid w:val="00386E0C"/>
    <w:rsid w:val="00387F0F"/>
    <w:rsid w:val="003907CF"/>
    <w:rsid w:val="00390F0A"/>
    <w:rsid w:val="0039265A"/>
    <w:rsid w:val="00392BE9"/>
    <w:rsid w:val="00393814"/>
    <w:rsid w:val="003939B2"/>
    <w:rsid w:val="0039475B"/>
    <w:rsid w:val="00394B50"/>
    <w:rsid w:val="00394E88"/>
    <w:rsid w:val="00395388"/>
    <w:rsid w:val="003958BD"/>
    <w:rsid w:val="00395F85"/>
    <w:rsid w:val="00396466"/>
    <w:rsid w:val="0039706A"/>
    <w:rsid w:val="0039763A"/>
    <w:rsid w:val="00397A6F"/>
    <w:rsid w:val="003A0414"/>
    <w:rsid w:val="003A09D9"/>
    <w:rsid w:val="003A201F"/>
    <w:rsid w:val="003A2247"/>
    <w:rsid w:val="003A25A6"/>
    <w:rsid w:val="003A318F"/>
    <w:rsid w:val="003A3804"/>
    <w:rsid w:val="003A3DC9"/>
    <w:rsid w:val="003A4CA1"/>
    <w:rsid w:val="003A53E3"/>
    <w:rsid w:val="003A6A97"/>
    <w:rsid w:val="003A6EE0"/>
    <w:rsid w:val="003A7189"/>
    <w:rsid w:val="003A73F8"/>
    <w:rsid w:val="003B1AB0"/>
    <w:rsid w:val="003B1CE9"/>
    <w:rsid w:val="003B2031"/>
    <w:rsid w:val="003B29BD"/>
    <w:rsid w:val="003B2D40"/>
    <w:rsid w:val="003B2E22"/>
    <w:rsid w:val="003B31A6"/>
    <w:rsid w:val="003B39C8"/>
    <w:rsid w:val="003B3E06"/>
    <w:rsid w:val="003B4E0B"/>
    <w:rsid w:val="003B51A3"/>
    <w:rsid w:val="003B5325"/>
    <w:rsid w:val="003B5626"/>
    <w:rsid w:val="003B5BEC"/>
    <w:rsid w:val="003B644C"/>
    <w:rsid w:val="003B6F6E"/>
    <w:rsid w:val="003B707C"/>
    <w:rsid w:val="003B72A4"/>
    <w:rsid w:val="003B7FC3"/>
    <w:rsid w:val="003C02B7"/>
    <w:rsid w:val="003C277C"/>
    <w:rsid w:val="003C3316"/>
    <w:rsid w:val="003C391B"/>
    <w:rsid w:val="003C616A"/>
    <w:rsid w:val="003C61EC"/>
    <w:rsid w:val="003C670B"/>
    <w:rsid w:val="003C68A1"/>
    <w:rsid w:val="003C6A3C"/>
    <w:rsid w:val="003C763A"/>
    <w:rsid w:val="003D0402"/>
    <w:rsid w:val="003D2296"/>
    <w:rsid w:val="003D36DE"/>
    <w:rsid w:val="003D5650"/>
    <w:rsid w:val="003D61CD"/>
    <w:rsid w:val="003D63D0"/>
    <w:rsid w:val="003D646E"/>
    <w:rsid w:val="003D6916"/>
    <w:rsid w:val="003D7B82"/>
    <w:rsid w:val="003E0459"/>
    <w:rsid w:val="003E06FB"/>
    <w:rsid w:val="003E08EE"/>
    <w:rsid w:val="003E1B2B"/>
    <w:rsid w:val="003E1CD7"/>
    <w:rsid w:val="003E1CED"/>
    <w:rsid w:val="003E2630"/>
    <w:rsid w:val="003E277F"/>
    <w:rsid w:val="003E2964"/>
    <w:rsid w:val="003E2A9F"/>
    <w:rsid w:val="003E43E5"/>
    <w:rsid w:val="003E4772"/>
    <w:rsid w:val="003E53B1"/>
    <w:rsid w:val="003E541E"/>
    <w:rsid w:val="003E5F19"/>
    <w:rsid w:val="003E6112"/>
    <w:rsid w:val="003E63C4"/>
    <w:rsid w:val="003E6485"/>
    <w:rsid w:val="003F03A8"/>
    <w:rsid w:val="003F1284"/>
    <w:rsid w:val="003F1AC3"/>
    <w:rsid w:val="003F1B3E"/>
    <w:rsid w:val="003F214E"/>
    <w:rsid w:val="003F2D0E"/>
    <w:rsid w:val="003F2D4D"/>
    <w:rsid w:val="003F2D99"/>
    <w:rsid w:val="003F2EB9"/>
    <w:rsid w:val="003F3CA1"/>
    <w:rsid w:val="003F5E7E"/>
    <w:rsid w:val="003F63C8"/>
    <w:rsid w:val="003F73A7"/>
    <w:rsid w:val="003F7A27"/>
    <w:rsid w:val="00401004"/>
    <w:rsid w:val="0040113A"/>
    <w:rsid w:val="00402711"/>
    <w:rsid w:val="004030A1"/>
    <w:rsid w:val="00404CA5"/>
    <w:rsid w:val="00407267"/>
    <w:rsid w:val="00410859"/>
    <w:rsid w:val="00410E49"/>
    <w:rsid w:val="004125C1"/>
    <w:rsid w:val="004131B0"/>
    <w:rsid w:val="004147D6"/>
    <w:rsid w:val="00414CA8"/>
    <w:rsid w:val="00415DE6"/>
    <w:rsid w:val="004173FD"/>
    <w:rsid w:val="00417EEC"/>
    <w:rsid w:val="00420A67"/>
    <w:rsid w:val="00420D94"/>
    <w:rsid w:val="00420DF5"/>
    <w:rsid w:val="00420F43"/>
    <w:rsid w:val="00421AAA"/>
    <w:rsid w:val="00421F32"/>
    <w:rsid w:val="004220CC"/>
    <w:rsid w:val="00423379"/>
    <w:rsid w:val="00423615"/>
    <w:rsid w:val="00423694"/>
    <w:rsid w:val="004239FD"/>
    <w:rsid w:val="004246F6"/>
    <w:rsid w:val="00425528"/>
    <w:rsid w:val="004255E8"/>
    <w:rsid w:val="00426B62"/>
    <w:rsid w:val="004271CF"/>
    <w:rsid w:val="00427257"/>
    <w:rsid w:val="004276C9"/>
    <w:rsid w:val="00427921"/>
    <w:rsid w:val="00430463"/>
    <w:rsid w:val="00431125"/>
    <w:rsid w:val="00431CAB"/>
    <w:rsid w:val="00431DDD"/>
    <w:rsid w:val="0043262B"/>
    <w:rsid w:val="00432D74"/>
    <w:rsid w:val="00433425"/>
    <w:rsid w:val="00433CAE"/>
    <w:rsid w:val="00434097"/>
    <w:rsid w:val="00434B34"/>
    <w:rsid w:val="004354EF"/>
    <w:rsid w:val="00435C1F"/>
    <w:rsid w:val="004360D4"/>
    <w:rsid w:val="0043683D"/>
    <w:rsid w:val="00441B07"/>
    <w:rsid w:val="00441FCB"/>
    <w:rsid w:val="0044358E"/>
    <w:rsid w:val="004446A1"/>
    <w:rsid w:val="00444A0A"/>
    <w:rsid w:val="00444C6C"/>
    <w:rsid w:val="004450CC"/>
    <w:rsid w:val="00447EB0"/>
    <w:rsid w:val="00450405"/>
    <w:rsid w:val="0045076F"/>
    <w:rsid w:val="004507EF"/>
    <w:rsid w:val="00450DCB"/>
    <w:rsid w:val="00451462"/>
    <w:rsid w:val="0045164D"/>
    <w:rsid w:val="00452DD9"/>
    <w:rsid w:val="004541F6"/>
    <w:rsid w:val="0045446F"/>
    <w:rsid w:val="00454B3C"/>
    <w:rsid w:val="0045577C"/>
    <w:rsid w:val="0045593E"/>
    <w:rsid w:val="00456708"/>
    <w:rsid w:val="0045682B"/>
    <w:rsid w:val="00456F93"/>
    <w:rsid w:val="004606C6"/>
    <w:rsid w:val="00460CF5"/>
    <w:rsid w:val="00460F7E"/>
    <w:rsid w:val="00461100"/>
    <w:rsid w:val="004617F6"/>
    <w:rsid w:val="00461F27"/>
    <w:rsid w:val="004625B4"/>
    <w:rsid w:val="00462632"/>
    <w:rsid w:val="00462A5A"/>
    <w:rsid w:val="00463B88"/>
    <w:rsid w:val="00463F45"/>
    <w:rsid w:val="004661CE"/>
    <w:rsid w:val="00466745"/>
    <w:rsid w:val="00466BC9"/>
    <w:rsid w:val="00467105"/>
    <w:rsid w:val="004673E7"/>
    <w:rsid w:val="004678A5"/>
    <w:rsid w:val="00467D0C"/>
    <w:rsid w:val="00470013"/>
    <w:rsid w:val="004704C0"/>
    <w:rsid w:val="00470FD8"/>
    <w:rsid w:val="00471418"/>
    <w:rsid w:val="00472BE9"/>
    <w:rsid w:val="00474448"/>
    <w:rsid w:val="004748EE"/>
    <w:rsid w:val="00474B7F"/>
    <w:rsid w:val="0047578A"/>
    <w:rsid w:val="004763D6"/>
    <w:rsid w:val="00476C78"/>
    <w:rsid w:val="00477C53"/>
    <w:rsid w:val="00480F63"/>
    <w:rsid w:val="00481236"/>
    <w:rsid w:val="00481EC7"/>
    <w:rsid w:val="004833B3"/>
    <w:rsid w:val="00483D86"/>
    <w:rsid w:val="00484162"/>
    <w:rsid w:val="00484855"/>
    <w:rsid w:val="00484E6B"/>
    <w:rsid w:val="00485AB0"/>
    <w:rsid w:val="00485D14"/>
    <w:rsid w:val="00487140"/>
    <w:rsid w:val="004874BB"/>
    <w:rsid w:val="00487545"/>
    <w:rsid w:val="0048765C"/>
    <w:rsid w:val="004878BB"/>
    <w:rsid w:val="004918F1"/>
    <w:rsid w:val="004919F8"/>
    <w:rsid w:val="004930FC"/>
    <w:rsid w:val="0049366B"/>
    <w:rsid w:val="004937F7"/>
    <w:rsid w:val="00494998"/>
    <w:rsid w:val="00494AE3"/>
    <w:rsid w:val="00494D83"/>
    <w:rsid w:val="0049514B"/>
    <w:rsid w:val="0049544B"/>
    <w:rsid w:val="00495BCD"/>
    <w:rsid w:val="0049631A"/>
    <w:rsid w:val="0049641A"/>
    <w:rsid w:val="004964DE"/>
    <w:rsid w:val="00497085"/>
    <w:rsid w:val="00497276"/>
    <w:rsid w:val="004974B4"/>
    <w:rsid w:val="004976A3"/>
    <w:rsid w:val="00497A48"/>
    <w:rsid w:val="004A0971"/>
    <w:rsid w:val="004A1D91"/>
    <w:rsid w:val="004A26B8"/>
    <w:rsid w:val="004A329D"/>
    <w:rsid w:val="004A4AA7"/>
    <w:rsid w:val="004A56EE"/>
    <w:rsid w:val="004A5DF5"/>
    <w:rsid w:val="004A6061"/>
    <w:rsid w:val="004A611C"/>
    <w:rsid w:val="004A6DD2"/>
    <w:rsid w:val="004A7359"/>
    <w:rsid w:val="004A7536"/>
    <w:rsid w:val="004B0157"/>
    <w:rsid w:val="004B04F0"/>
    <w:rsid w:val="004B05A6"/>
    <w:rsid w:val="004B0753"/>
    <w:rsid w:val="004B0917"/>
    <w:rsid w:val="004B0F50"/>
    <w:rsid w:val="004B1681"/>
    <w:rsid w:val="004B2A86"/>
    <w:rsid w:val="004B2E71"/>
    <w:rsid w:val="004B3056"/>
    <w:rsid w:val="004B34CE"/>
    <w:rsid w:val="004B3920"/>
    <w:rsid w:val="004B3B76"/>
    <w:rsid w:val="004B4D91"/>
    <w:rsid w:val="004B50AB"/>
    <w:rsid w:val="004B5358"/>
    <w:rsid w:val="004B5ACE"/>
    <w:rsid w:val="004B68ED"/>
    <w:rsid w:val="004B73B0"/>
    <w:rsid w:val="004B74A5"/>
    <w:rsid w:val="004B7C61"/>
    <w:rsid w:val="004B7E14"/>
    <w:rsid w:val="004C0AE6"/>
    <w:rsid w:val="004C2688"/>
    <w:rsid w:val="004C2BA8"/>
    <w:rsid w:val="004C37CD"/>
    <w:rsid w:val="004C5924"/>
    <w:rsid w:val="004C62DD"/>
    <w:rsid w:val="004C6FF2"/>
    <w:rsid w:val="004C73FF"/>
    <w:rsid w:val="004C757A"/>
    <w:rsid w:val="004C7605"/>
    <w:rsid w:val="004C7AE2"/>
    <w:rsid w:val="004C7EE7"/>
    <w:rsid w:val="004D00E5"/>
    <w:rsid w:val="004D0B0A"/>
    <w:rsid w:val="004D1A9D"/>
    <w:rsid w:val="004D1BB6"/>
    <w:rsid w:val="004D1E97"/>
    <w:rsid w:val="004D1E9B"/>
    <w:rsid w:val="004D2DFA"/>
    <w:rsid w:val="004D3197"/>
    <w:rsid w:val="004D3357"/>
    <w:rsid w:val="004D3A27"/>
    <w:rsid w:val="004D3A39"/>
    <w:rsid w:val="004D3DE7"/>
    <w:rsid w:val="004D467E"/>
    <w:rsid w:val="004D490F"/>
    <w:rsid w:val="004D5A54"/>
    <w:rsid w:val="004D5E52"/>
    <w:rsid w:val="004D6C60"/>
    <w:rsid w:val="004D78EB"/>
    <w:rsid w:val="004D7C5B"/>
    <w:rsid w:val="004E0217"/>
    <w:rsid w:val="004E0383"/>
    <w:rsid w:val="004E118B"/>
    <w:rsid w:val="004E1988"/>
    <w:rsid w:val="004E1BEB"/>
    <w:rsid w:val="004E2331"/>
    <w:rsid w:val="004E243B"/>
    <w:rsid w:val="004E24A7"/>
    <w:rsid w:val="004E2825"/>
    <w:rsid w:val="004E3AE2"/>
    <w:rsid w:val="004E5819"/>
    <w:rsid w:val="004E5A5F"/>
    <w:rsid w:val="004E5C50"/>
    <w:rsid w:val="004E7364"/>
    <w:rsid w:val="004E7565"/>
    <w:rsid w:val="004E78F6"/>
    <w:rsid w:val="004E7AC9"/>
    <w:rsid w:val="004E7F76"/>
    <w:rsid w:val="004F05F3"/>
    <w:rsid w:val="004F0D37"/>
    <w:rsid w:val="004F1035"/>
    <w:rsid w:val="004F195F"/>
    <w:rsid w:val="004F1F95"/>
    <w:rsid w:val="004F32A2"/>
    <w:rsid w:val="004F36F3"/>
    <w:rsid w:val="004F4095"/>
    <w:rsid w:val="004F5306"/>
    <w:rsid w:val="004F68BA"/>
    <w:rsid w:val="004F6C1C"/>
    <w:rsid w:val="004F793C"/>
    <w:rsid w:val="0050072E"/>
    <w:rsid w:val="00500F9A"/>
    <w:rsid w:val="00501661"/>
    <w:rsid w:val="00502364"/>
    <w:rsid w:val="00502BC0"/>
    <w:rsid w:val="00503720"/>
    <w:rsid w:val="00504336"/>
    <w:rsid w:val="00504FB9"/>
    <w:rsid w:val="0050599C"/>
    <w:rsid w:val="005074CC"/>
    <w:rsid w:val="00507BA4"/>
    <w:rsid w:val="00510923"/>
    <w:rsid w:val="00510E08"/>
    <w:rsid w:val="00511930"/>
    <w:rsid w:val="00511B94"/>
    <w:rsid w:val="00512AF1"/>
    <w:rsid w:val="0051336E"/>
    <w:rsid w:val="00513928"/>
    <w:rsid w:val="0051580B"/>
    <w:rsid w:val="005167A0"/>
    <w:rsid w:val="0052002E"/>
    <w:rsid w:val="00520461"/>
    <w:rsid w:val="00520F7B"/>
    <w:rsid w:val="005212B2"/>
    <w:rsid w:val="00521635"/>
    <w:rsid w:val="0052399C"/>
    <w:rsid w:val="00523D1F"/>
    <w:rsid w:val="00524548"/>
    <w:rsid w:val="0052489E"/>
    <w:rsid w:val="00524EC8"/>
    <w:rsid w:val="005254C1"/>
    <w:rsid w:val="00525503"/>
    <w:rsid w:val="00525945"/>
    <w:rsid w:val="00525A6B"/>
    <w:rsid w:val="00525F4C"/>
    <w:rsid w:val="0053082E"/>
    <w:rsid w:val="00530B58"/>
    <w:rsid w:val="0053149F"/>
    <w:rsid w:val="0053182F"/>
    <w:rsid w:val="0053317C"/>
    <w:rsid w:val="00535D4F"/>
    <w:rsid w:val="00535D51"/>
    <w:rsid w:val="00536250"/>
    <w:rsid w:val="005366F7"/>
    <w:rsid w:val="00536B85"/>
    <w:rsid w:val="00536ECC"/>
    <w:rsid w:val="00537987"/>
    <w:rsid w:val="005403C1"/>
    <w:rsid w:val="005404A2"/>
    <w:rsid w:val="005407F5"/>
    <w:rsid w:val="00540D03"/>
    <w:rsid w:val="00541DAA"/>
    <w:rsid w:val="00542E70"/>
    <w:rsid w:val="00543089"/>
    <w:rsid w:val="00543A23"/>
    <w:rsid w:val="005441F4"/>
    <w:rsid w:val="0054520D"/>
    <w:rsid w:val="00545800"/>
    <w:rsid w:val="0054606D"/>
    <w:rsid w:val="00547878"/>
    <w:rsid w:val="0055014D"/>
    <w:rsid w:val="00550644"/>
    <w:rsid w:val="00550E0D"/>
    <w:rsid w:val="00551281"/>
    <w:rsid w:val="0055159B"/>
    <w:rsid w:val="005517AD"/>
    <w:rsid w:val="00551FF9"/>
    <w:rsid w:val="00552317"/>
    <w:rsid w:val="005533DA"/>
    <w:rsid w:val="00553924"/>
    <w:rsid w:val="00554482"/>
    <w:rsid w:val="00554D45"/>
    <w:rsid w:val="00555204"/>
    <w:rsid w:val="005552CE"/>
    <w:rsid w:val="00555DA4"/>
    <w:rsid w:val="00556052"/>
    <w:rsid w:val="00556D86"/>
    <w:rsid w:val="005570EA"/>
    <w:rsid w:val="0055772C"/>
    <w:rsid w:val="00561C0F"/>
    <w:rsid w:val="00562E99"/>
    <w:rsid w:val="00563914"/>
    <w:rsid w:val="00564239"/>
    <w:rsid w:val="005649BD"/>
    <w:rsid w:val="00565863"/>
    <w:rsid w:val="005658C7"/>
    <w:rsid w:val="00566070"/>
    <w:rsid w:val="005669E0"/>
    <w:rsid w:val="00566B6B"/>
    <w:rsid w:val="00566F30"/>
    <w:rsid w:val="00570285"/>
    <w:rsid w:val="00572345"/>
    <w:rsid w:val="00572A8E"/>
    <w:rsid w:val="00572E17"/>
    <w:rsid w:val="0057329B"/>
    <w:rsid w:val="00573762"/>
    <w:rsid w:val="005740C5"/>
    <w:rsid w:val="00574808"/>
    <w:rsid w:val="00575470"/>
    <w:rsid w:val="00575D82"/>
    <w:rsid w:val="0057665F"/>
    <w:rsid w:val="00580240"/>
    <w:rsid w:val="00580ABC"/>
    <w:rsid w:val="00580F64"/>
    <w:rsid w:val="00583414"/>
    <w:rsid w:val="005851B4"/>
    <w:rsid w:val="00585320"/>
    <w:rsid w:val="00586EC1"/>
    <w:rsid w:val="00586F9C"/>
    <w:rsid w:val="00587733"/>
    <w:rsid w:val="005879E0"/>
    <w:rsid w:val="00590AFE"/>
    <w:rsid w:val="00590FEF"/>
    <w:rsid w:val="00591917"/>
    <w:rsid w:val="005922C8"/>
    <w:rsid w:val="005923A9"/>
    <w:rsid w:val="00592575"/>
    <w:rsid w:val="005925C1"/>
    <w:rsid w:val="005933B5"/>
    <w:rsid w:val="00593457"/>
    <w:rsid w:val="00596493"/>
    <w:rsid w:val="00597354"/>
    <w:rsid w:val="005973F3"/>
    <w:rsid w:val="00597657"/>
    <w:rsid w:val="00597F8C"/>
    <w:rsid w:val="005A0000"/>
    <w:rsid w:val="005A010D"/>
    <w:rsid w:val="005A0301"/>
    <w:rsid w:val="005A034C"/>
    <w:rsid w:val="005A05DD"/>
    <w:rsid w:val="005A100A"/>
    <w:rsid w:val="005A1A74"/>
    <w:rsid w:val="005A1B68"/>
    <w:rsid w:val="005A2A24"/>
    <w:rsid w:val="005A3044"/>
    <w:rsid w:val="005A330C"/>
    <w:rsid w:val="005A4063"/>
    <w:rsid w:val="005A4AAA"/>
    <w:rsid w:val="005A4E70"/>
    <w:rsid w:val="005A55B3"/>
    <w:rsid w:val="005A5AEE"/>
    <w:rsid w:val="005A5C52"/>
    <w:rsid w:val="005A5C98"/>
    <w:rsid w:val="005A5EC8"/>
    <w:rsid w:val="005A5FCD"/>
    <w:rsid w:val="005A6F65"/>
    <w:rsid w:val="005A6F7F"/>
    <w:rsid w:val="005A768C"/>
    <w:rsid w:val="005A79F2"/>
    <w:rsid w:val="005A7A1E"/>
    <w:rsid w:val="005A7D02"/>
    <w:rsid w:val="005B079F"/>
    <w:rsid w:val="005B1769"/>
    <w:rsid w:val="005B19C1"/>
    <w:rsid w:val="005B2385"/>
    <w:rsid w:val="005B284C"/>
    <w:rsid w:val="005B2F9B"/>
    <w:rsid w:val="005B3139"/>
    <w:rsid w:val="005B4476"/>
    <w:rsid w:val="005B4737"/>
    <w:rsid w:val="005B4BE7"/>
    <w:rsid w:val="005B5B92"/>
    <w:rsid w:val="005B63DC"/>
    <w:rsid w:val="005B66C5"/>
    <w:rsid w:val="005B75D8"/>
    <w:rsid w:val="005C00C5"/>
    <w:rsid w:val="005C095A"/>
    <w:rsid w:val="005C0C81"/>
    <w:rsid w:val="005C1588"/>
    <w:rsid w:val="005C1EC0"/>
    <w:rsid w:val="005C2072"/>
    <w:rsid w:val="005C252F"/>
    <w:rsid w:val="005C3DB2"/>
    <w:rsid w:val="005C40C8"/>
    <w:rsid w:val="005C47D4"/>
    <w:rsid w:val="005C4AB9"/>
    <w:rsid w:val="005C68D1"/>
    <w:rsid w:val="005C71CC"/>
    <w:rsid w:val="005C7B19"/>
    <w:rsid w:val="005D0818"/>
    <w:rsid w:val="005D09C0"/>
    <w:rsid w:val="005D0A73"/>
    <w:rsid w:val="005D0CB3"/>
    <w:rsid w:val="005D0E70"/>
    <w:rsid w:val="005D1637"/>
    <w:rsid w:val="005D1D90"/>
    <w:rsid w:val="005D35EC"/>
    <w:rsid w:val="005D36F6"/>
    <w:rsid w:val="005D43EE"/>
    <w:rsid w:val="005D48DE"/>
    <w:rsid w:val="005D4914"/>
    <w:rsid w:val="005D49CF"/>
    <w:rsid w:val="005D4D1B"/>
    <w:rsid w:val="005D4D64"/>
    <w:rsid w:val="005D6019"/>
    <w:rsid w:val="005D6223"/>
    <w:rsid w:val="005D75F3"/>
    <w:rsid w:val="005D7A65"/>
    <w:rsid w:val="005D7C76"/>
    <w:rsid w:val="005E04B8"/>
    <w:rsid w:val="005E1541"/>
    <w:rsid w:val="005E3D77"/>
    <w:rsid w:val="005E3DA8"/>
    <w:rsid w:val="005E3E6F"/>
    <w:rsid w:val="005E4339"/>
    <w:rsid w:val="005E4828"/>
    <w:rsid w:val="005E5019"/>
    <w:rsid w:val="005E517B"/>
    <w:rsid w:val="005E52A2"/>
    <w:rsid w:val="005E5729"/>
    <w:rsid w:val="005E5D98"/>
    <w:rsid w:val="005E7368"/>
    <w:rsid w:val="005E76E7"/>
    <w:rsid w:val="005E7833"/>
    <w:rsid w:val="005F2C4B"/>
    <w:rsid w:val="005F2D9F"/>
    <w:rsid w:val="005F2E9D"/>
    <w:rsid w:val="005F3EBE"/>
    <w:rsid w:val="005F417B"/>
    <w:rsid w:val="005F5456"/>
    <w:rsid w:val="005F58D5"/>
    <w:rsid w:val="005F63AC"/>
    <w:rsid w:val="005F6417"/>
    <w:rsid w:val="005F68A7"/>
    <w:rsid w:val="005F7C8C"/>
    <w:rsid w:val="006004BC"/>
    <w:rsid w:val="00600E94"/>
    <w:rsid w:val="00602A0C"/>
    <w:rsid w:val="00602B09"/>
    <w:rsid w:val="00603060"/>
    <w:rsid w:val="006033BD"/>
    <w:rsid w:val="00603A26"/>
    <w:rsid w:val="00603C80"/>
    <w:rsid w:val="00603D72"/>
    <w:rsid w:val="00603F5C"/>
    <w:rsid w:val="00603F6E"/>
    <w:rsid w:val="0060438B"/>
    <w:rsid w:val="00604F70"/>
    <w:rsid w:val="00605041"/>
    <w:rsid w:val="00605315"/>
    <w:rsid w:val="00605B38"/>
    <w:rsid w:val="00606014"/>
    <w:rsid w:val="0060679A"/>
    <w:rsid w:val="006075E3"/>
    <w:rsid w:val="00607A0A"/>
    <w:rsid w:val="00611E4B"/>
    <w:rsid w:val="00613BB2"/>
    <w:rsid w:val="00614040"/>
    <w:rsid w:val="00614525"/>
    <w:rsid w:val="00615CA0"/>
    <w:rsid w:val="006163F6"/>
    <w:rsid w:val="00616882"/>
    <w:rsid w:val="00617107"/>
    <w:rsid w:val="00620961"/>
    <w:rsid w:val="00620B77"/>
    <w:rsid w:val="00621314"/>
    <w:rsid w:val="00622CBB"/>
    <w:rsid w:val="00623273"/>
    <w:rsid w:val="0062329F"/>
    <w:rsid w:val="00625500"/>
    <w:rsid w:val="006260CD"/>
    <w:rsid w:val="00626231"/>
    <w:rsid w:val="00626868"/>
    <w:rsid w:val="006268E0"/>
    <w:rsid w:val="006275A1"/>
    <w:rsid w:val="00630ACE"/>
    <w:rsid w:val="00630C1A"/>
    <w:rsid w:val="00630C43"/>
    <w:rsid w:val="00631D96"/>
    <w:rsid w:val="006324D0"/>
    <w:rsid w:val="006330BA"/>
    <w:rsid w:val="006336CC"/>
    <w:rsid w:val="006338E3"/>
    <w:rsid w:val="00633E8B"/>
    <w:rsid w:val="0063481E"/>
    <w:rsid w:val="00634825"/>
    <w:rsid w:val="00634C58"/>
    <w:rsid w:val="00635C31"/>
    <w:rsid w:val="00635C34"/>
    <w:rsid w:val="00636F42"/>
    <w:rsid w:val="00641375"/>
    <w:rsid w:val="00641796"/>
    <w:rsid w:val="006427A9"/>
    <w:rsid w:val="0064281D"/>
    <w:rsid w:val="006431B9"/>
    <w:rsid w:val="00643248"/>
    <w:rsid w:val="00643788"/>
    <w:rsid w:val="00643836"/>
    <w:rsid w:val="006444B8"/>
    <w:rsid w:val="00645E55"/>
    <w:rsid w:val="00647146"/>
    <w:rsid w:val="006504E4"/>
    <w:rsid w:val="00650B9F"/>
    <w:rsid w:val="006515A6"/>
    <w:rsid w:val="00652F14"/>
    <w:rsid w:val="006534C5"/>
    <w:rsid w:val="00653A57"/>
    <w:rsid w:val="00653CA2"/>
    <w:rsid w:val="00654084"/>
    <w:rsid w:val="00654F3D"/>
    <w:rsid w:val="006552E4"/>
    <w:rsid w:val="006563A9"/>
    <w:rsid w:val="00656774"/>
    <w:rsid w:val="006568A7"/>
    <w:rsid w:val="00657316"/>
    <w:rsid w:val="00657A7F"/>
    <w:rsid w:val="0066081B"/>
    <w:rsid w:val="00661C49"/>
    <w:rsid w:val="00661EE2"/>
    <w:rsid w:val="00662346"/>
    <w:rsid w:val="006624F2"/>
    <w:rsid w:val="00662BE7"/>
    <w:rsid w:val="00662F0B"/>
    <w:rsid w:val="0066326B"/>
    <w:rsid w:val="006646C4"/>
    <w:rsid w:val="00664992"/>
    <w:rsid w:val="0066525C"/>
    <w:rsid w:val="00665402"/>
    <w:rsid w:val="0066792C"/>
    <w:rsid w:val="006708AA"/>
    <w:rsid w:val="006708D8"/>
    <w:rsid w:val="00670C9F"/>
    <w:rsid w:val="00670E4F"/>
    <w:rsid w:val="0067136C"/>
    <w:rsid w:val="00671CE4"/>
    <w:rsid w:val="0067251A"/>
    <w:rsid w:val="00673A5D"/>
    <w:rsid w:val="00674AB1"/>
    <w:rsid w:val="00675403"/>
    <w:rsid w:val="006755D5"/>
    <w:rsid w:val="006756D4"/>
    <w:rsid w:val="00677C08"/>
    <w:rsid w:val="00680365"/>
    <w:rsid w:val="00680538"/>
    <w:rsid w:val="00680C97"/>
    <w:rsid w:val="00680FC7"/>
    <w:rsid w:val="00680FF1"/>
    <w:rsid w:val="00681716"/>
    <w:rsid w:val="00682093"/>
    <w:rsid w:val="006824C7"/>
    <w:rsid w:val="006830A4"/>
    <w:rsid w:val="00684AAC"/>
    <w:rsid w:val="00685DB2"/>
    <w:rsid w:val="006868B0"/>
    <w:rsid w:val="00686AB4"/>
    <w:rsid w:val="00690F7F"/>
    <w:rsid w:val="0069171E"/>
    <w:rsid w:val="00691DE2"/>
    <w:rsid w:val="00692AB2"/>
    <w:rsid w:val="006940FE"/>
    <w:rsid w:val="0069614C"/>
    <w:rsid w:val="00696BD9"/>
    <w:rsid w:val="00697952"/>
    <w:rsid w:val="00697AD2"/>
    <w:rsid w:val="006A18C8"/>
    <w:rsid w:val="006A2357"/>
    <w:rsid w:val="006A2492"/>
    <w:rsid w:val="006A2624"/>
    <w:rsid w:val="006A273A"/>
    <w:rsid w:val="006A31BB"/>
    <w:rsid w:val="006A38E0"/>
    <w:rsid w:val="006A667E"/>
    <w:rsid w:val="006A72A2"/>
    <w:rsid w:val="006A7A1C"/>
    <w:rsid w:val="006A7D3E"/>
    <w:rsid w:val="006B0B98"/>
    <w:rsid w:val="006B0D1E"/>
    <w:rsid w:val="006B1CF1"/>
    <w:rsid w:val="006B1D45"/>
    <w:rsid w:val="006B1EBE"/>
    <w:rsid w:val="006B215A"/>
    <w:rsid w:val="006B248D"/>
    <w:rsid w:val="006B3476"/>
    <w:rsid w:val="006B4954"/>
    <w:rsid w:val="006B4F3E"/>
    <w:rsid w:val="006B5340"/>
    <w:rsid w:val="006B584B"/>
    <w:rsid w:val="006B58E9"/>
    <w:rsid w:val="006B5942"/>
    <w:rsid w:val="006C06F0"/>
    <w:rsid w:val="006C07FF"/>
    <w:rsid w:val="006C0C30"/>
    <w:rsid w:val="006C0DFA"/>
    <w:rsid w:val="006C0F11"/>
    <w:rsid w:val="006C0F19"/>
    <w:rsid w:val="006C1730"/>
    <w:rsid w:val="006C1A83"/>
    <w:rsid w:val="006C2038"/>
    <w:rsid w:val="006C304C"/>
    <w:rsid w:val="006C3249"/>
    <w:rsid w:val="006C3BA5"/>
    <w:rsid w:val="006C4439"/>
    <w:rsid w:val="006C4538"/>
    <w:rsid w:val="006C4AD2"/>
    <w:rsid w:val="006C5A30"/>
    <w:rsid w:val="006C5F07"/>
    <w:rsid w:val="006C68F0"/>
    <w:rsid w:val="006C6C5A"/>
    <w:rsid w:val="006D0993"/>
    <w:rsid w:val="006D2CB3"/>
    <w:rsid w:val="006D3204"/>
    <w:rsid w:val="006D3497"/>
    <w:rsid w:val="006D3877"/>
    <w:rsid w:val="006D3A2C"/>
    <w:rsid w:val="006D4DCA"/>
    <w:rsid w:val="006D592C"/>
    <w:rsid w:val="006D6042"/>
    <w:rsid w:val="006D6509"/>
    <w:rsid w:val="006D672A"/>
    <w:rsid w:val="006D6E70"/>
    <w:rsid w:val="006D743B"/>
    <w:rsid w:val="006D7701"/>
    <w:rsid w:val="006E00E3"/>
    <w:rsid w:val="006E0A7E"/>
    <w:rsid w:val="006E0C55"/>
    <w:rsid w:val="006E1D54"/>
    <w:rsid w:val="006E24C9"/>
    <w:rsid w:val="006E29BB"/>
    <w:rsid w:val="006E2F65"/>
    <w:rsid w:val="006E3083"/>
    <w:rsid w:val="006E34D8"/>
    <w:rsid w:val="006E36B1"/>
    <w:rsid w:val="006E3E26"/>
    <w:rsid w:val="006E4114"/>
    <w:rsid w:val="006E4937"/>
    <w:rsid w:val="006E51CA"/>
    <w:rsid w:val="006E5EF9"/>
    <w:rsid w:val="006E6563"/>
    <w:rsid w:val="006E6A3A"/>
    <w:rsid w:val="006E6CC0"/>
    <w:rsid w:val="006E7383"/>
    <w:rsid w:val="006E749F"/>
    <w:rsid w:val="006E756A"/>
    <w:rsid w:val="006F0939"/>
    <w:rsid w:val="006F1086"/>
    <w:rsid w:val="006F13AF"/>
    <w:rsid w:val="006F1AD4"/>
    <w:rsid w:val="006F27A5"/>
    <w:rsid w:val="006F2C08"/>
    <w:rsid w:val="006F2F9E"/>
    <w:rsid w:val="006F4492"/>
    <w:rsid w:val="006F5434"/>
    <w:rsid w:val="006F5867"/>
    <w:rsid w:val="006F5BE0"/>
    <w:rsid w:val="006F6048"/>
    <w:rsid w:val="006F6427"/>
    <w:rsid w:val="006F706A"/>
    <w:rsid w:val="006F78EB"/>
    <w:rsid w:val="006F7C3D"/>
    <w:rsid w:val="00701543"/>
    <w:rsid w:val="007022D5"/>
    <w:rsid w:val="0070383D"/>
    <w:rsid w:val="0070445E"/>
    <w:rsid w:val="0070510A"/>
    <w:rsid w:val="007051A4"/>
    <w:rsid w:val="00706FE9"/>
    <w:rsid w:val="00707349"/>
    <w:rsid w:val="00707B3F"/>
    <w:rsid w:val="007111EB"/>
    <w:rsid w:val="007115E3"/>
    <w:rsid w:val="00712045"/>
    <w:rsid w:val="00712728"/>
    <w:rsid w:val="00712DF6"/>
    <w:rsid w:val="00713249"/>
    <w:rsid w:val="00713267"/>
    <w:rsid w:val="007142E5"/>
    <w:rsid w:val="00714C68"/>
    <w:rsid w:val="00714F8F"/>
    <w:rsid w:val="00716197"/>
    <w:rsid w:val="0071702F"/>
    <w:rsid w:val="00717B6A"/>
    <w:rsid w:val="007204AC"/>
    <w:rsid w:val="0072096A"/>
    <w:rsid w:val="007209FC"/>
    <w:rsid w:val="0072201F"/>
    <w:rsid w:val="007228CC"/>
    <w:rsid w:val="00724175"/>
    <w:rsid w:val="00724BBB"/>
    <w:rsid w:val="007254F5"/>
    <w:rsid w:val="00725A16"/>
    <w:rsid w:val="00725AE2"/>
    <w:rsid w:val="007272A2"/>
    <w:rsid w:val="00727336"/>
    <w:rsid w:val="0072774D"/>
    <w:rsid w:val="00727BE4"/>
    <w:rsid w:val="00727DEA"/>
    <w:rsid w:val="007305A6"/>
    <w:rsid w:val="00730609"/>
    <w:rsid w:val="007308A3"/>
    <w:rsid w:val="00731ABD"/>
    <w:rsid w:val="00731D15"/>
    <w:rsid w:val="00732372"/>
    <w:rsid w:val="007323D2"/>
    <w:rsid w:val="00733553"/>
    <w:rsid w:val="00733BC0"/>
    <w:rsid w:val="00733DC5"/>
    <w:rsid w:val="00733E5F"/>
    <w:rsid w:val="00734630"/>
    <w:rsid w:val="00734B75"/>
    <w:rsid w:val="00734C21"/>
    <w:rsid w:val="00736BC8"/>
    <w:rsid w:val="00737681"/>
    <w:rsid w:val="00740B7B"/>
    <w:rsid w:val="00741614"/>
    <w:rsid w:val="00741B95"/>
    <w:rsid w:val="00742FAF"/>
    <w:rsid w:val="007434D8"/>
    <w:rsid w:val="00743DAF"/>
    <w:rsid w:val="0074456C"/>
    <w:rsid w:val="00745AE3"/>
    <w:rsid w:val="00746B7F"/>
    <w:rsid w:val="007472F4"/>
    <w:rsid w:val="00747366"/>
    <w:rsid w:val="007501CF"/>
    <w:rsid w:val="007505D5"/>
    <w:rsid w:val="0075129B"/>
    <w:rsid w:val="007512B2"/>
    <w:rsid w:val="00751C43"/>
    <w:rsid w:val="00752D89"/>
    <w:rsid w:val="00753064"/>
    <w:rsid w:val="007538E4"/>
    <w:rsid w:val="0075491C"/>
    <w:rsid w:val="00754EA1"/>
    <w:rsid w:val="0075634A"/>
    <w:rsid w:val="0075670B"/>
    <w:rsid w:val="007577A4"/>
    <w:rsid w:val="0075780D"/>
    <w:rsid w:val="00757F6A"/>
    <w:rsid w:val="00761C3C"/>
    <w:rsid w:val="00761EB4"/>
    <w:rsid w:val="00762362"/>
    <w:rsid w:val="00762675"/>
    <w:rsid w:val="00762784"/>
    <w:rsid w:val="00762DF6"/>
    <w:rsid w:val="0076362B"/>
    <w:rsid w:val="0076364B"/>
    <w:rsid w:val="007649F9"/>
    <w:rsid w:val="0076688C"/>
    <w:rsid w:val="00767837"/>
    <w:rsid w:val="00767B48"/>
    <w:rsid w:val="00767E18"/>
    <w:rsid w:val="007708D1"/>
    <w:rsid w:val="007712D3"/>
    <w:rsid w:val="00771BA4"/>
    <w:rsid w:val="00771EBE"/>
    <w:rsid w:val="00771F68"/>
    <w:rsid w:val="00771FAB"/>
    <w:rsid w:val="00772832"/>
    <w:rsid w:val="00773055"/>
    <w:rsid w:val="00775B8D"/>
    <w:rsid w:val="00775BE4"/>
    <w:rsid w:val="00775BF0"/>
    <w:rsid w:val="007761DF"/>
    <w:rsid w:val="007765E8"/>
    <w:rsid w:val="007770B1"/>
    <w:rsid w:val="00777726"/>
    <w:rsid w:val="00777845"/>
    <w:rsid w:val="00777DD3"/>
    <w:rsid w:val="00780789"/>
    <w:rsid w:val="00780B94"/>
    <w:rsid w:val="007811C4"/>
    <w:rsid w:val="00782D14"/>
    <w:rsid w:val="0078349C"/>
    <w:rsid w:val="00785CA0"/>
    <w:rsid w:val="007870EE"/>
    <w:rsid w:val="00787189"/>
    <w:rsid w:val="007875B3"/>
    <w:rsid w:val="00787703"/>
    <w:rsid w:val="00790656"/>
    <w:rsid w:val="00790DAF"/>
    <w:rsid w:val="0079102E"/>
    <w:rsid w:val="00791A83"/>
    <w:rsid w:val="00791E82"/>
    <w:rsid w:val="00792E46"/>
    <w:rsid w:val="007950CF"/>
    <w:rsid w:val="007952B0"/>
    <w:rsid w:val="0079579E"/>
    <w:rsid w:val="0079695D"/>
    <w:rsid w:val="0079773F"/>
    <w:rsid w:val="007A1619"/>
    <w:rsid w:val="007A1D73"/>
    <w:rsid w:val="007A2E2F"/>
    <w:rsid w:val="007A4096"/>
    <w:rsid w:val="007A538F"/>
    <w:rsid w:val="007A56A8"/>
    <w:rsid w:val="007A5A8F"/>
    <w:rsid w:val="007A5CA1"/>
    <w:rsid w:val="007A5E29"/>
    <w:rsid w:val="007A6412"/>
    <w:rsid w:val="007A65DB"/>
    <w:rsid w:val="007A6749"/>
    <w:rsid w:val="007A6CA7"/>
    <w:rsid w:val="007A6D1E"/>
    <w:rsid w:val="007A7927"/>
    <w:rsid w:val="007A7E9B"/>
    <w:rsid w:val="007B0BCA"/>
    <w:rsid w:val="007B18C6"/>
    <w:rsid w:val="007B2064"/>
    <w:rsid w:val="007B2560"/>
    <w:rsid w:val="007B28E8"/>
    <w:rsid w:val="007B3552"/>
    <w:rsid w:val="007B39F5"/>
    <w:rsid w:val="007B41E9"/>
    <w:rsid w:val="007B4B75"/>
    <w:rsid w:val="007B4D7C"/>
    <w:rsid w:val="007B56AC"/>
    <w:rsid w:val="007B57FE"/>
    <w:rsid w:val="007B59C1"/>
    <w:rsid w:val="007B59E8"/>
    <w:rsid w:val="007B609C"/>
    <w:rsid w:val="007B6B10"/>
    <w:rsid w:val="007B6C2A"/>
    <w:rsid w:val="007B7106"/>
    <w:rsid w:val="007B7E86"/>
    <w:rsid w:val="007C0419"/>
    <w:rsid w:val="007C0918"/>
    <w:rsid w:val="007C0BA7"/>
    <w:rsid w:val="007C0D98"/>
    <w:rsid w:val="007C0E37"/>
    <w:rsid w:val="007C1A78"/>
    <w:rsid w:val="007C2A44"/>
    <w:rsid w:val="007C2B77"/>
    <w:rsid w:val="007C3B23"/>
    <w:rsid w:val="007C4B7E"/>
    <w:rsid w:val="007C6BB8"/>
    <w:rsid w:val="007C7842"/>
    <w:rsid w:val="007C787B"/>
    <w:rsid w:val="007C7CE5"/>
    <w:rsid w:val="007D01B5"/>
    <w:rsid w:val="007D05EF"/>
    <w:rsid w:val="007D1187"/>
    <w:rsid w:val="007D14CC"/>
    <w:rsid w:val="007D187C"/>
    <w:rsid w:val="007D1A53"/>
    <w:rsid w:val="007D1C7F"/>
    <w:rsid w:val="007D2F13"/>
    <w:rsid w:val="007D3A64"/>
    <w:rsid w:val="007D3FDA"/>
    <w:rsid w:val="007D644D"/>
    <w:rsid w:val="007D670C"/>
    <w:rsid w:val="007D7ACD"/>
    <w:rsid w:val="007D7B3E"/>
    <w:rsid w:val="007E048E"/>
    <w:rsid w:val="007E0697"/>
    <w:rsid w:val="007E14C6"/>
    <w:rsid w:val="007E16BD"/>
    <w:rsid w:val="007E1B6F"/>
    <w:rsid w:val="007E2EB9"/>
    <w:rsid w:val="007E35DF"/>
    <w:rsid w:val="007E3CED"/>
    <w:rsid w:val="007E3DBC"/>
    <w:rsid w:val="007E3EF5"/>
    <w:rsid w:val="007E4704"/>
    <w:rsid w:val="007E4DDC"/>
    <w:rsid w:val="007E5BD7"/>
    <w:rsid w:val="007E6466"/>
    <w:rsid w:val="007F0900"/>
    <w:rsid w:val="007F1598"/>
    <w:rsid w:val="007F2C8B"/>
    <w:rsid w:val="007F2E30"/>
    <w:rsid w:val="007F31C6"/>
    <w:rsid w:val="007F38BF"/>
    <w:rsid w:val="007F414E"/>
    <w:rsid w:val="007F43CE"/>
    <w:rsid w:val="007F4AEE"/>
    <w:rsid w:val="007F5790"/>
    <w:rsid w:val="007F5B14"/>
    <w:rsid w:val="007F665D"/>
    <w:rsid w:val="007F679B"/>
    <w:rsid w:val="007F7166"/>
    <w:rsid w:val="008011D5"/>
    <w:rsid w:val="008012A7"/>
    <w:rsid w:val="00801CB6"/>
    <w:rsid w:val="00802B2F"/>
    <w:rsid w:val="00803A46"/>
    <w:rsid w:val="0080451F"/>
    <w:rsid w:val="00804BCE"/>
    <w:rsid w:val="00805690"/>
    <w:rsid w:val="00805A04"/>
    <w:rsid w:val="00805E55"/>
    <w:rsid w:val="008067D7"/>
    <w:rsid w:val="00807A2A"/>
    <w:rsid w:val="0081035C"/>
    <w:rsid w:val="0081039E"/>
    <w:rsid w:val="00810A6A"/>
    <w:rsid w:val="0081264E"/>
    <w:rsid w:val="00812E52"/>
    <w:rsid w:val="00813232"/>
    <w:rsid w:val="00813C87"/>
    <w:rsid w:val="00813D9A"/>
    <w:rsid w:val="00814158"/>
    <w:rsid w:val="00814B6F"/>
    <w:rsid w:val="00815866"/>
    <w:rsid w:val="008159C5"/>
    <w:rsid w:val="00815EBE"/>
    <w:rsid w:val="00816FE4"/>
    <w:rsid w:val="00817534"/>
    <w:rsid w:val="00817FD6"/>
    <w:rsid w:val="00821147"/>
    <w:rsid w:val="00822298"/>
    <w:rsid w:val="00822755"/>
    <w:rsid w:val="0082331F"/>
    <w:rsid w:val="00824E3F"/>
    <w:rsid w:val="00825EE9"/>
    <w:rsid w:val="00827673"/>
    <w:rsid w:val="00827A53"/>
    <w:rsid w:val="008303B6"/>
    <w:rsid w:val="0083148A"/>
    <w:rsid w:val="0083175E"/>
    <w:rsid w:val="00831DE8"/>
    <w:rsid w:val="00831E8B"/>
    <w:rsid w:val="00832200"/>
    <w:rsid w:val="00833409"/>
    <w:rsid w:val="008334AF"/>
    <w:rsid w:val="00833A62"/>
    <w:rsid w:val="008341D8"/>
    <w:rsid w:val="0083422A"/>
    <w:rsid w:val="00834C36"/>
    <w:rsid w:val="0083574B"/>
    <w:rsid w:val="0083575A"/>
    <w:rsid w:val="00835942"/>
    <w:rsid w:val="00835B1B"/>
    <w:rsid w:val="00837E6F"/>
    <w:rsid w:val="00837F8C"/>
    <w:rsid w:val="008412FC"/>
    <w:rsid w:val="0084144F"/>
    <w:rsid w:val="008419DA"/>
    <w:rsid w:val="008420C5"/>
    <w:rsid w:val="00843A75"/>
    <w:rsid w:val="00844600"/>
    <w:rsid w:val="008448D3"/>
    <w:rsid w:val="00845908"/>
    <w:rsid w:val="00845C9C"/>
    <w:rsid w:val="008462AC"/>
    <w:rsid w:val="0084738A"/>
    <w:rsid w:val="0085056B"/>
    <w:rsid w:val="00851308"/>
    <w:rsid w:val="00851799"/>
    <w:rsid w:val="00851D05"/>
    <w:rsid w:val="00851E3F"/>
    <w:rsid w:val="00852433"/>
    <w:rsid w:val="00852617"/>
    <w:rsid w:val="0085270F"/>
    <w:rsid w:val="00853188"/>
    <w:rsid w:val="0085335C"/>
    <w:rsid w:val="00853D6D"/>
    <w:rsid w:val="00853FA1"/>
    <w:rsid w:val="008540D1"/>
    <w:rsid w:val="00854121"/>
    <w:rsid w:val="00854CDC"/>
    <w:rsid w:val="00854CFF"/>
    <w:rsid w:val="0085588A"/>
    <w:rsid w:val="008559C0"/>
    <w:rsid w:val="008565B3"/>
    <w:rsid w:val="00860CB0"/>
    <w:rsid w:val="00860F19"/>
    <w:rsid w:val="00860F26"/>
    <w:rsid w:val="0086211B"/>
    <w:rsid w:val="00862395"/>
    <w:rsid w:val="0086256F"/>
    <w:rsid w:val="00862B4C"/>
    <w:rsid w:val="00862CE4"/>
    <w:rsid w:val="008630A1"/>
    <w:rsid w:val="008637A6"/>
    <w:rsid w:val="008638F9"/>
    <w:rsid w:val="008642E8"/>
    <w:rsid w:val="008649A9"/>
    <w:rsid w:val="00865494"/>
    <w:rsid w:val="008662D5"/>
    <w:rsid w:val="008666A2"/>
    <w:rsid w:val="00867295"/>
    <w:rsid w:val="00867D59"/>
    <w:rsid w:val="00870BA7"/>
    <w:rsid w:val="00870D84"/>
    <w:rsid w:val="008710CC"/>
    <w:rsid w:val="00872006"/>
    <w:rsid w:val="00872339"/>
    <w:rsid w:val="00872670"/>
    <w:rsid w:val="00873EC9"/>
    <w:rsid w:val="00875696"/>
    <w:rsid w:val="008756A9"/>
    <w:rsid w:val="008773C4"/>
    <w:rsid w:val="008776A8"/>
    <w:rsid w:val="00877998"/>
    <w:rsid w:val="00877C70"/>
    <w:rsid w:val="00877EF0"/>
    <w:rsid w:val="00880140"/>
    <w:rsid w:val="008804BC"/>
    <w:rsid w:val="008805BB"/>
    <w:rsid w:val="00880C20"/>
    <w:rsid w:val="00881B17"/>
    <w:rsid w:val="008821A3"/>
    <w:rsid w:val="00882AEB"/>
    <w:rsid w:val="00885CCB"/>
    <w:rsid w:val="0088630E"/>
    <w:rsid w:val="00886E97"/>
    <w:rsid w:val="008876F8"/>
    <w:rsid w:val="00887B1F"/>
    <w:rsid w:val="008904A6"/>
    <w:rsid w:val="00891E13"/>
    <w:rsid w:val="008924DA"/>
    <w:rsid w:val="0089259D"/>
    <w:rsid w:val="008926F3"/>
    <w:rsid w:val="00892716"/>
    <w:rsid w:val="00893045"/>
    <w:rsid w:val="00893954"/>
    <w:rsid w:val="00895EA5"/>
    <w:rsid w:val="00896E4A"/>
    <w:rsid w:val="0089787C"/>
    <w:rsid w:val="008A07F3"/>
    <w:rsid w:val="008A0B26"/>
    <w:rsid w:val="008A0C0C"/>
    <w:rsid w:val="008A1471"/>
    <w:rsid w:val="008A25B9"/>
    <w:rsid w:val="008A2EC8"/>
    <w:rsid w:val="008A3194"/>
    <w:rsid w:val="008A425C"/>
    <w:rsid w:val="008A457E"/>
    <w:rsid w:val="008A5627"/>
    <w:rsid w:val="008A7F3C"/>
    <w:rsid w:val="008B0931"/>
    <w:rsid w:val="008B0A15"/>
    <w:rsid w:val="008B0FA9"/>
    <w:rsid w:val="008B16AC"/>
    <w:rsid w:val="008B1F09"/>
    <w:rsid w:val="008B338C"/>
    <w:rsid w:val="008B34A3"/>
    <w:rsid w:val="008B3522"/>
    <w:rsid w:val="008B357C"/>
    <w:rsid w:val="008B3A7B"/>
    <w:rsid w:val="008B487A"/>
    <w:rsid w:val="008B4CBD"/>
    <w:rsid w:val="008B6405"/>
    <w:rsid w:val="008B6F7B"/>
    <w:rsid w:val="008B6FB2"/>
    <w:rsid w:val="008C221F"/>
    <w:rsid w:val="008C4380"/>
    <w:rsid w:val="008C4CF6"/>
    <w:rsid w:val="008C4FD9"/>
    <w:rsid w:val="008C5079"/>
    <w:rsid w:val="008C5879"/>
    <w:rsid w:val="008C5A74"/>
    <w:rsid w:val="008C5B28"/>
    <w:rsid w:val="008C6E3A"/>
    <w:rsid w:val="008C72E6"/>
    <w:rsid w:val="008C775C"/>
    <w:rsid w:val="008D0076"/>
    <w:rsid w:val="008D02B4"/>
    <w:rsid w:val="008D0667"/>
    <w:rsid w:val="008D202F"/>
    <w:rsid w:val="008D2151"/>
    <w:rsid w:val="008D4150"/>
    <w:rsid w:val="008D4AD6"/>
    <w:rsid w:val="008D5EB0"/>
    <w:rsid w:val="008D64F3"/>
    <w:rsid w:val="008D6514"/>
    <w:rsid w:val="008D6C12"/>
    <w:rsid w:val="008D6CE2"/>
    <w:rsid w:val="008D6F92"/>
    <w:rsid w:val="008D737A"/>
    <w:rsid w:val="008E1159"/>
    <w:rsid w:val="008E15BF"/>
    <w:rsid w:val="008E2F9A"/>
    <w:rsid w:val="008E3A39"/>
    <w:rsid w:val="008E52BE"/>
    <w:rsid w:val="008E58A0"/>
    <w:rsid w:val="008E597C"/>
    <w:rsid w:val="008E59C7"/>
    <w:rsid w:val="008E6048"/>
    <w:rsid w:val="008E65D8"/>
    <w:rsid w:val="008E6A5F"/>
    <w:rsid w:val="008E6FD6"/>
    <w:rsid w:val="008E711C"/>
    <w:rsid w:val="008E74DF"/>
    <w:rsid w:val="008F11EE"/>
    <w:rsid w:val="008F1684"/>
    <w:rsid w:val="008F1F56"/>
    <w:rsid w:val="008F2A9D"/>
    <w:rsid w:val="008F2DE2"/>
    <w:rsid w:val="008F3EA3"/>
    <w:rsid w:val="008F4E01"/>
    <w:rsid w:val="008F628A"/>
    <w:rsid w:val="008F7892"/>
    <w:rsid w:val="008F7B56"/>
    <w:rsid w:val="008F7B6C"/>
    <w:rsid w:val="00900305"/>
    <w:rsid w:val="009005A7"/>
    <w:rsid w:val="009010A5"/>
    <w:rsid w:val="009014B0"/>
    <w:rsid w:val="00902200"/>
    <w:rsid w:val="00903F38"/>
    <w:rsid w:val="009040E9"/>
    <w:rsid w:val="009042C2"/>
    <w:rsid w:val="0090443D"/>
    <w:rsid w:val="00904B7C"/>
    <w:rsid w:val="00904F85"/>
    <w:rsid w:val="00905F15"/>
    <w:rsid w:val="00906186"/>
    <w:rsid w:val="00906D78"/>
    <w:rsid w:val="00907796"/>
    <w:rsid w:val="00907D5A"/>
    <w:rsid w:val="00910A75"/>
    <w:rsid w:val="00910AF4"/>
    <w:rsid w:val="009115BD"/>
    <w:rsid w:val="009118C7"/>
    <w:rsid w:val="00911A7E"/>
    <w:rsid w:val="009125C4"/>
    <w:rsid w:val="009130C1"/>
    <w:rsid w:val="00913649"/>
    <w:rsid w:val="00913805"/>
    <w:rsid w:val="00913B35"/>
    <w:rsid w:val="00913D34"/>
    <w:rsid w:val="009142ED"/>
    <w:rsid w:val="009150D1"/>
    <w:rsid w:val="0091620E"/>
    <w:rsid w:val="009166F0"/>
    <w:rsid w:val="009169D4"/>
    <w:rsid w:val="00916A4F"/>
    <w:rsid w:val="00917059"/>
    <w:rsid w:val="00917256"/>
    <w:rsid w:val="0092010D"/>
    <w:rsid w:val="00920D00"/>
    <w:rsid w:val="00921300"/>
    <w:rsid w:val="009217FE"/>
    <w:rsid w:val="00925027"/>
    <w:rsid w:val="0092503D"/>
    <w:rsid w:val="009252CB"/>
    <w:rsid w:val="00926ACB"/>
    <w:rsid w:val="00930003"/>
    <w:rsid w:val="0093042D"/>
    <w:rsid w:val="009306F5"/>
    <w:rsid w:val="00930D1E"/>
    <w:rsid w:val="0093101D"/>
    <w:rsid w:val="00931957"/>
    <w:rsid w:val="0093286A"/>
    <w:rsid w:val="009329D0"/>
    <w:rsid w:val="00933A46"/>
    <w:rsid w:val="00933D47"/>
    <w:rsid w:val="00933EDB"/>
    <w:rsid w:val="00934715"/>
    <w:rsid w:val="009348CC"/>
    <w:rsid w:val="0093496F"/>
    <w:rsid w:val="00934D37"/>
    <w:rsid w:val="00934DE9"/>
    <w:rsid w:val="00934EFB"/>
    <w:rsid w:val="00935713"/>
    <w:rsid w:val="00936487"/>
    <w:rsid w:val="0093694F"/>
    <w:rsid w:val="00936C9C"/>
    <w:rsid w:val="00936CF2"/>
    <w:rsid w:val="00936F09"/>
    <w:rsid w:val="009372B7"/>
    <w:rsid w:val="0093740A"/>
    <w:rsid w:val="0093760C"/>
    <w:rsid w:val="00937B3F"/>
    <w:rsid w:val="00937CAE"/>
    <w:rsid w:val="00937E16"/>
    <w:rsid w:val="0094007B"/>
    <w:rsid w:val="009405A4"/>
    <w:rsid w:val="009412AC"/>
    <w:rsid w:val="00942AB9"/>
    <w:rsid w:val="0094465B"/>
    <w:rsid w:val="00944663"/>
    <w:rsid w:val="00944CCC"/>
    <w:rsid w:val="0094514B"/>
    <w:rsid w:val="00945282"/>
    <w:rsid w:val="0094639F"/>
    <w:rsid w:val="0094717E"/>
    <w:rsid w:val="009473BA"/>
    <w:rsid w:val="009475C9"/>
    <w:rsid w:val="009477FE"/>
    <w:rsid w:val="009479DB"/>
    <w:rsid w:val="00950449"/>
    <w:rsid w:val="00950A25"/>
    <w:rsid w:val="00951CA5"/>
    <w:rsid w:val="00951FEB"/>
    <w:rsid w:val="009534CD"/>
    <w:rsid w:val="009534D5"/>
    <w:rsid w:val="009537A5"/>
    <w:rsid w:val="0095540B"/>
    <w:rsid w:val="0095588E"/>
    <w:rsid w:val="009562DE"/>
    <w:rsid w:val="00956408"/>
    <w:rsid w:val="0095697B"/>
    <w:rsid w:val="00957D5E"/>
    <w:rsid w:val="0096195D"/>
    <w:rsid w:val="00961B3B"/>
    <w:rsid w:val="00961C57"/>
    <w:rsid w:val="0096299F"/>
    <w:rsid w:val="00962DDD"/>
    <w:rsid w:val="00963758"/>
    <w:rsid w:val="009641A5"/>
    <w:rsid w:val="00965CB8"/>
    <w:rsid w:val="009669AE"/>
    <w:rsid w:val="009677D7"/>
    <w:rsid w:val="0097018C"/>
    <w:rsid w:val="009701FC"/>
    <w:rsid w:val="0097205F"/>
    <w:rsid w:val="0097315B"/>
    <w:rsid w:val="0097334C"/>
    <w:rsid w:val="0097399E"/>
    <w:rsid w:val="00973D4F"/>
    <w:rsid w:val="00975101"/>
    <w:rsid w:val="00975646"/>
    <w:rsid w:val="00975A05"/>
    <w:rsid w:val="00975B95"/>
    <w:rsid w:val="00977897"/>
    <w:rsid w:val="009801B7"/>
    <w:rsid w:val="009805BE"/>
    <w:rsid w:val="00980B9F"/>
    <w:rsid w:val="00981C8E"/>
    <w:rsid w:val="00982235"/>
    <w:rsid w:val="00982246"/>
    <w:rsid w:val="009828A4"/>
    <w:rsid w:val="00982CF0"/>
    <w:rsid w:val="00983618"/>
    <w:rsid w:val="009837B0"/>
    <w:rsid w:val="009841B6"/>
    <w:rsid w:val="00984B57"/>
    <w:rsid w:val="00984C83"/>
    <w:rsid w:val="00985201"/>
    <w:rsid w:val="009877B7"/>
    <w:rsid w:val="00987B15"/>
    <w:rsid w:val="00987F6B"/>
    <w:rsid w:val="00990379"/>
    <w:rsid w:val="00990599"/>
    <w:rsid w:val="0099128C"/>
    <w:rsid w:val="009914E3"/>
    <w:rsid w:val="00991C15"/>
    <w:rsid w:val="009924F7"/>
    <w:rsid w:val="00992C2F"/>
    <w:rsid w:val="00992CB4"/>
    <w:rsid w:val="00993A43"/>
    <w:rsid w:val="00993D73"/>
    <w:rsid w:val="00994054"/>
    <w:rsid w:val="0099549C"/>
    <w:rsid w:val="00995EFD"/>
    <w:rsid w:val="009960EC"/>
    <w:rsid w:val="00996A7E"/>
    <w:rsid w:val="009974CF"/>
    <w:rsid w:val="009A099A"/>
    <w:rsid w:val="009A0A50"/>
    <w:rsid w:val="009A0DC5"/>
    <w:rsid w:val="009A1039"/>
    <w:rsid w:val="009A18CC"/>
    <w:rsid w:val="009A25DF"/>
    <w:rsid w:val="009A2BAA"/>
    <w:rsid w:val="009A42E2"/>
    <w:rsid w:val="009A4CD2"/>
    <w:rsid w:val="009A59F8"/>
    <w:rsid w:val="009A5A5B"/>
    <w:rsid w:val="009A5FF7"/>
    <w:rsid w:val="009A630A"/>
    <w:rsid w:val="009A6F79"/>
    <w:rsid w:val="009A7088"/>
    <w:rsid w:val="009A734D"/>
    <w:rsid w:val="009B065D"/>
    <w:rsid w:val="009B086E"/>
    <w:rsid w:val="009B0BF5"/>
    <w:rsid w:val="009B15B3"/>
    <w:rsid w:val="009B16EB"/>
    <w:rsid w:val="009B1AC6"/>
    <w:rsid w:val="009B2167"/>
    <w:rsid w:val="009B26BF"/>
    <w:rsid w:val="009B280D"/>
    <w:rsid w:val="009B42D7"/>
    <w:rsid w:val="009B4346"/>
    <w:rsid w:val="009B49E1"/>
    <w:rsid w:val="009B4B13"/>
    <w:rsid w:val="009B4E77"/>
    <w:rsid w:val="009B52BC"/>
    <w:rsid w:val="009B566C"/>
    <w:rsid w:val="009B5A2C"/>
    <w:rsid w:val="009B5BEF"/>
    <w:rsid w:val="009B65DC"/>
    <w:rsid w:val="009B65DF"/>
    <w:rsid w:val="009B671A"/>
    <w:rsid w:val="009C0D38"/>
    <w:rsid w:val="009C1294"/>
    <w:rsid w:val="009C1A63"/>
    <w:rsid w:val="009C1F0A"/>
    <w:rsid w:val="009C1F72"/>
    <w:rsid w:val="009C228C"/>
    <w:rsid w:val="009C312A"/>
    <w:rsid w:val="009C3A89"/>
    <w:rsid w:val="009C46A9"/>
    <w:rsid w:val="009C58BC"/>
    <w:rsid w:val="009C6FCD"/>
    <w:rsid w:val="009C791E"/>
    <w:rsid w:val="009C7A1D"/>
    <w:rsid w:val="009D0662"/>
    <w:rsid w:val="009D090D"/>
    <w:rsid w:val="009D0DD2"/>
    <w:rsid w:val="009D0E94"/>
    <w:rsid w:val="009D112C"/>
    <w:rsid w:val="009D123C"/>
    <w:rsid w:val="009D1393"/>
    <w:rsid w:val="009D2D5A"/>
    <w:rsid w:val="009D2F2F"/>
    <w:rsid w:val="009D3AC3"/>
    <w:rsid w:val="009D404E"/>
    <w:rsid w:val="009D456A"/>
    <w:rsid w:val="009D4778"/>
    <w:rsid w:val="009D4BEA"/>
    <w:rsid w:val="009D5663"/>
    <w:rsid w:val="009D6851"/>
    <w:rsid w:val="009D6A48"/>
    <w:rsid w:val="009D704E"/>
    <w:rsid w:val="009D791C"/>
    <w:rsid w:val="009E0C7D"/>
    <w:rsid w:val="009E0F13"/>
    <w:rsid w:val="009E15CC"/>
    <w:rsid w:val="009E161E"/>
    <w:rsid w:val="009E166A"/>
    <w:rsid w:val="009E1CE0"/>
    <w:rsid w:val="009E2808"/>
    <w:rsid w:val="009E49FC"/>
    <w:rsid w:val="009E54CD"/>
    <w:rsid w:val="009E6DDB"/>
    <w:rsid w:val="009F039D"/>
    <w:rsid w:val="009F04A5"/>
    <w:rsid w:val="009F0B01"/>
    <w:rsid w:val="009F0C06"/>
    <w:rsid w:val="009F11EF"/>
    <w:rsid w:val="009F13C4"/>
    <w:rsid w:val="009F182F"/>
    <w:rsid w:val="009F22E8"/>
    <w:rsid w:val="009F26BD"/>
    <w:rsid w:val="009F2B97"/>
    <w:rsid w:val="009F31A7"/>
    <w:rsid w:val="009F46C5"/>
    <w:rsid w:val="009F474E"/>
    <w:rsid w:val="009F5BDF"/>
    <w:rsid w:val="009F5C78"/>
    <w:rsid w:val="009F67F2"/>
    <w:rsid w:val="009F6BD9"/>
    <w:rsid w:val="009F6E71"/>
    <w:rsid w:val="009F7D50"/>
    <w:rsid w:val="009F7D5C"/>
    <w:rsid w:val="00A00209"/>
    <w:rsid w:val="00A003BB"/>
    <w:rsid w:val="00A00C66"/>
    <w:rsid w:val="00A00C97"/>
    <w:rsid w:val="00A015FD"/>
    <w:rsid w:val="00A01FF3"/>
    <w:rsid w:val="00A0212B"/>
    <w:rsid w:val="00A02200"/>
    <w:rsid w:val="00A02976"/>
    <w:rsid w:val="00A037F0"/>
    <w:rsid w:val="00A049A7"/>
    <w:rsid w:val="00A05856"/>
    <w:rsid w:val="00A05904"/>
    <w:rsid w:val="00A06479"/>
    <w:rsid w:val="00A07831"/>
    <w:rsid w:val="00A07A64"/>
    <w:rsid w:val="00A07C43"/>
    <w:rsid w:val="00A101A3"/>
    <w:rsid w:val="00A102A2"/>
    <w:rsid w:val="00A10F22"/>
    <w:rsid w:val="00A119B8"/>
    <w:rsid w:val="00A11C2A"/>
    <w:rsid w:val="00A11C41"/>
    <w:rsid w:val="00A121D3"/>
    <w:rsid w:val="00A12430"/>
    <w:rsid w:val="00A152A3"/>
    <w:rsid w:val="00A15CC2"/>
    <w:rsid w:val="00A167B3"/>
    <w:rsid w:val="00A16FEE"/>
    <w:rsid w:val="00A17A81"/>
    <w:rsid w:val="00A21BA7"/>
    <w:rsid w:val="00A221BF"/>
    <w:rsid w:val="00A22531"/>
    <w:rsid w:val="00A22C3E"/>
    <w:rsid w:val="00A22C97"/>
    <w:rsid w:val="00A23D97"/>
    <w:rsid w:val="00A23F6D"/>
    <w:rsid w:val="00A2490E"/>
    <w:rsid w:val="00A24C18"/>
    <w:rsid w:val="00A25CE2"/>
    <w:rsid w:val="00A26ADB"/>
    <w:rsid w:val="00A305C8"/>
    <w:rsid w:val="00A3072D"/>
    <w:rsid w:val="00A31F18"/>
    <w:rsid w:val="00A3234B"/>
    <w:rsid w:val="00A3281D"/>
    <w:rsid w:val="00A331E8"/>
    <w:rsid w:val="00A33599"/>
    <w:rsid w:val="00A33C94"/>
    <w:rsid w:val="00A355BF"/>
    <w:rsid w:val="00A35C6F"/>
    <w:rsid w:val="00A35D31"/>
    <w:rsid w:val="00A36191"/>
    <w:rsid w:val="00A36957"/>
    <w:rsid w:val="00A369AF"/>
    <w:rsid w:val="00A3702B"/>
    <w:rsid w:val="00A37F5C"/>
    <w:rsid w:val="00A4003C"/>
    <w:rsid w:val="00A40311"/>
    <w:rsid w:val="00A412C7"/>
    <w:rsid w:val="00A412E9"/>
    <w:rsid w:val="00A41756"/>
    <w:rsid w:val="00A417FF"/>
    <w:rsid w:val="00A423D5"/>
    <w:rsid w:val="00A42A43"/>
    <w:rsid w:val="00A43450"/>
    <w:rsid w:val="00A43C82"/>
    <w:rsid w:val="00A45384"/>
    <w:rsid w:val="00A4580E"/>
    <w:rsid w:val="00A46735"/>
    <w:rsid w:val="00A46BCA"/>
    <w:rsid w:val="00A500DD"/>
    <w:rsid w:val="00A501CA"/>
    <w:rsid w:val="00A51459"/>
    <w:rsid w:val="00A51872"/>
    <w:rsid w:val="00A528FC"/>
    <w:rsid w:val="00A53545"/>
    <w:rsid w:val="00A53CCF"/>
    <w:rsid w:val="00A542D9"/>
    <w:rsid w:val="00A54484"/>
    <w:rsid w:val="00A5484D"/>
    <w:rsid w:val="00A54C0B"/>
    <w:rsid w:val="00A54C8A"/>
    <w:rsid w:val="00A55191"/>
    <w:rsid w:val="00A55FFF"/>
    <w:rsid w:val="00A5605D"/>
    <w:rsid w:val="00A5661F"/>
    <w:rsid w:val="00A56835"/>
    <w:rsid w:val="00A56B01"/>
    <w:rsid w:val="00A574FC"/>
    <w:rsid w:val="00A57D74"/>
    <w:rsid w:val="00A57E88"/>
    <w:rsid w:val="00A604AB"/>
    <w:rsid w:val="00A605A2"/>
    <w:rsid w:val="00A60DEE"/>
    <w:rsid w:val="00A60E1D"/>
    <w:rsid w:val="00A61D68"/>
    <w:rsid w:val="00A639D0"/>
    <w:rsid w:val="00A6403B"/>
    <w:rsid w:val="00A640A3"/>
    <w:rsid w:val="00A640F8"/>
    <w:rsid w:val="00A646C1"/>
    <w:rsid w:val="00A65610"/>
    <w:rsid w:val="00A66097"/>
    <w:rsid w:val="00A66246"/>
    <w:rsid w:val="00A66C21"/>
    <w:rsid w:val="00A66DBF"/>
    <w:rsid w:val="00A67706"/>
    <w:rsid w:val="00A71322"/>
    <w:rsid w:val="00A7197A"/>
    <w:rsid w:val="00A71B3C"/>
    <w:rsid w:val="00A73395"/>
    <w:rsid w:val="00A76BB6"/>
    <w:rsid w:val="00A7700A"/>
    <w:rsid w:val="00A77431"/>
    <w:rsid w:val="00A77592"/>
    <w:rsid w:val="00A802A9"/>
    <w:rsid w:val="00A8081D"/>
    <w:rsid w:val="00A80A07"/>
    <w:rsid w:val="00A80C1B"/>
    <w:rsid w:val="00A81FAB"/>
    <w:rsid w:val="00A82118"/>
    <w:rsid w:val="00A827E5"/>
    <w:rsid w:val="00A82BAC"/>
    <w:rsid w:val="00A82BF0"/>
    <w:rsid w:val="00A8384E"/>
    <w:rsid w:val="00A84301"/>
    <w:rsid w:val="00A847FF"/>
    <w:rsid w:val="00A85705"/>
    <w:rsid w:val="00A85B57"/>
    <w:rsid w:val="00A85CB1"/>
    <w:rsid w:val="00A86A3A"/>
    <w:rsid w:val="00A86D98"/>
    <w:rsid w:val="00A913B4"/>
    <w:rsid w:val="00A92198"/>
    <w:rsid w:val="00A92747"/>
    <w:rsid w:val="00A93C6A"/>
    <w:rsid w:val="00A93C78"/>
    <w:rsid w:val="00A93EA2"/>
    <w:rsid w:val="00A93FC4"/>
    <w:rsid w:val="00A94A88"/>
    <w:rsid w:val="00A9576C"/>
    <w:rsid w:val="00A9626F"/>
    <w:rsid w:val="00A962D7"/>
    <w:rsid w:val="00A96C95"/>
    <w:rsid w:val="00A96EA1"/>
    <w:rsid w:val="00A97A5F"/>
    <w:rsid w:val="00A97FFA"/>
    <w:rsid w:val="00AA1F68"/>
    <w:rsid w:val="00AA3491"/>
    <w:rsid w:val="00AA3898"/>
    <w:rsid w:val="00AA3C18"/>
    <w:rsid w:val="00AA52D3"/>
    <w:rsid w:val="00AA5344"/>
    <w:rsid w:val="00AA55FC"/>
    <w:rsid w:val="00AA64A7"/>
    <w:rsid w:val="00AA7B09"/>
    <w:rsid w:val="00AB0EFD"/>
    <w:rsid w:val="00AB18A9"/>
    <w:rsid w:val="00AB1E31"/>
    <w:rsid w:val="00AB27AF"/>
    <w:rsid w:val="00AB2918"/>
    <w:rsid w:val="00AB2A95"/>
    <w:rsid w:val="00AB2C28"/>
    <w:rsid w:val="00AB34E6"/>
    <w:rsid w:val="00AB4288"/>
    <w:rsid w:val="00AB45DF"/>
    <w:rsid w:val="00AB51D2"/>
    <w:rsid w:val="00AB6CC9"/>
    <w:rsid w:val="00AB6E9A"/>
    <w:rsid w:val="00AB7737"/>
    <w:rsid w:val="00AC04A6"/>
    <w:rsid w:val="00AC0B7E"/>
    <w:rsid w:val="00AC1472"/>
    <w:rsid w:val="00AC159B"/>
    <w:rsid w:val="00AC1F08"/>
    <w:rsid w:val="00AC2054"/>
    <w:rsid w:val="00AC29B4"/>
    <w:rsid w:val="00AC3102"/>
    <w:rsid w:val="00AC3534"/>
    <w:rsid w:val="00AC3814"/>
    <w:rsid w:val="00AC3D50"/>
    <w:rsid w:val="00AC44D9"/>
    <w:rsid w:val="00AC59E0"/>
    <w:rsid w:val="00AC6EB7"/>
    <w:rsid w:val="00AC7352"/>
    <w:rsid w:val="00AC7440"/>
    <w:rsid w:val="00AC77E1"/>
    <w:rsid w:val="00AC7C5B"/>
    <w:rsid w:val="00AD143C"/>
    <w:rsid w:val="00AD14D8"/>
    <w:rsid w:val="00AD151D"/>
    <w:rsid w:val="00AD2D93"/>
    <w:rsid w:val="00AD32F2"/>
    <w:rsid w:val="00AD3536"/>
    <w:rsid w:val="00AD5030"/>
    <w:rsid w:val="00AD531C"/>
    <w:rsid w:val="00AD5E73"/>
    <w:rsid w:val="00AD6550"/>
    <w:rsid w:val="00AD6B03"/>
    <w:rsid w:val="00AE22C0"/>
    <w:rsid w:val="00AE2416"/>
    <w:rsid w:val="00AE2D38"/>
    <w:rsid w:val="00AE415D"/>
    <w:rsid w:val="00AE4B66"/>
    <w:rsid w:val="00AE4D55"/>
    <w:rsid w:val="00AE4DDE"/>
    <w:rsid w:val="00AE5521"/>
    <w:rsid w:val="00AE56F9"/>
    <w:rsid w:val="00AE5839"/>
    <w:rsid w:val="00AE7AA7"/>
    <w:rsid w:val="00AF06B0"/>
    <w:rsid w:val="00AF0E36"/>
    <w:rsid w:val="00AF0E7E"/>
    <w:rsid w:val="00AF0F5D"/>
    <w:rsid w:val="00AF32A3"/>
    <w:rsid w:val="00AF3D16"/>
    <w:rsid w:val="00AF453D"/>
    <w:rsid w:val="00AF5380"/>
    <w:rsid w:val="00AF579E"/>
    <w:rsid w:val="00AF6ED4"/>
    <w:rsid w:val="00AF7EBB"/>
    <w:rsid w:val="00B00500"/>
    <w:rsid w:val="00B0082F"/>
    <w:rsid w:val="00B01614"/>
    <w:rsid w:val="00B01C3E"/>
    <w:rsid w:val="00B01F59"/>
    <w:rsid w:val="00B03C23"/>
    <w:rsid w:val="00B03DB4"/>
    <w:rsid w:val="00B04189"/>
    <w:rsid w:val="00B060A4"/>
    <w:rsid w:val="00B07AFC"/>
    <w:rsid w:val="00B10105"/>
    <w:rsid w:val="00B10C0A"/>
    <w:rsid w:val="00B11474"/>
    <w:rsid w:val="00B1164F"/>
    <w:rsid w:val="00B1244F"/>
    <w:rsid w:val="00B12E30"/>
    <w:rsid w:val="00B13FFF"/>
    <w:rsid w:val="00B14320"/>
    <w:rsid w:val="00B15DC5"/>
    <w:rsid w:val="00B16D32"/>
    <w:rsid w:val="00B16E30"/>
    <w:rsid w:val="00B17144"/>
    <w:rsid w:val="00B175DB"/>
    <w:rsid w:val="00B17713"/>
    <w:rsid w:val="00B178F1"/>
    <w:rsid w:val="00B17FDE"/>
    <w:rsid w:val="00B2047C"/>
    <w:rsid w:val="00B2114E"/>
    <w:rsid w:val="00B219FC"/>
    <w:rsid w:val="00B21DEC"/>
    <w:rsid w:val="00B235C1"/>
    <w:rsid w:val="00B236C1"/>
    <w:rsid w:val="00B23948"/>
    <w:rsid w:val="00B247F0"/>
    <w:rsid w:val="00B251D2"/>
    <w:rsid w:val="00B2526C"/>
    <w:rsid w:val="00B25B6D"/>
    <w:rsid w:val="00B2715D"/>
    <w:rsid w:val="00B30A28"/>
    <w:rsid w:val="00B30ABF"/>
    <w:rsid w:val="00B31F1F"/>
    <w:rsid w:val="00B31FEA"/>
    <w:rsid w:val="00B32644"/>
    <w:rsid w:val="00B332A3"/>
    <w:rsid w:val="00B34B0B"/>
    <w:rsid w:val="00B34C4B"/>
    <w:rsid w:val="00B35B6D"/>
    <w:rsid w:val="00B35CAC"/>
    <w:rsid w:val="00B3660B"/>
    <w:rsid w:val="00B3709D"/>
    <w:rsid w:val="00B403A0"/>
    <w:rsid w:val="00B403D1"/>
    <w:rsid w:val="00B41809"/>
    <w:rsid w:val="00B42275"/>
    <w:rsid w:val="00B427FF"/>
    <w:rsid w:val="00B435C5"/>
    <w:rsid w:val="00B4432D"/>
    <w:rsid w:val="00B448CD"/>
    <w:rsid w:val="00B4555D"/>
    <w:rsid w:val="00B46FFC"/>
    <w:rsid w:val="00B478C4"/>
    <w:rsid w:val="00B47AD9"/>
    <w:rsid w:val="00B47B35"/>
    <w:rsid w:val="00B500B0"/>
    <w:rsid w:val="00B50DCD"/>
    <w:rsid w:val="00B5314E"/>
    <w:rsid w:val="00B531B7"/>
    <w:rsid w:val="00B533F1"/>
    <w:rsid w:val="00B54CC1"/>
    <w:rsid w:val="00B566D8"/>
    <w:rsid w:val="00B56735"/>
    <w:rsid w:val="00B57149"/>
    <w:rsid w:val="00B57475"/>
    <w:rsid w:val="00B602FF"/>
    <w:rsid w:val="00B6048F"/>
    <w:rsid w:val="00B60B7E"/>
    <w:rsid w:val="00B60C55"/>
    <w:rsid w:val="00B6106F"/>
    <w:rsid w:val="00B61097"/>
    <w:rsid w:val="00B6208C"/>
    <w:rsid w:val="00B62178"/>
    <w:rsid w:val="00B6224C"/>
    <w:rsid w:val="00B62E90"/>
    <w:rsid w:val="00B63452"/>
    <w:rsid w:val="00B63A39"/>
    <w:rsid w:val="00B63A4A"/>
    <w:rsid w:val="00B63AF9"/>
    <w:rsid w:val="00B64430"/>
    <w:rsid w:val="00B6489A"/>
    <w:rsid w:val="00B64ED5"/>
    <w:rsid w:val="00B65865"/>
    <w:rsid w:val="00B658C5"/>
    <w:rsid w:val="00B6622E"/>
    <w:rsid w:val="00B664AF"/>
    <w:rsid w:val="00B66947"/>
    <w:rsid w:val="00B67128"/>
    <w:rsid w:val="00B674FB"/>
    <w:rsid w:val="00B6779F"/>
    <w:rsid w:val="00B67988"/>
    <w:rsid w:val="00B700AE"/>
    <w:rsid w:val="00B70788"/>
    <w:rsid w:val="00B7218E"/>
    <w:rsid w:val="00B72DDA"/>
    <w:rsid w:val="00B72DF2"/>
    <w:rsid w:val="00B737BB"/>
    <w:rsid w:val="00B73BC6"/>
    <w:rsid w:val="00B746C3"/>
    <w:rsid w:val="00B75409"/>
    <w:rsid w:val="00B7561B"/>
    <w:rsid w:val="00B75B2C"/>
    <w:rsid w:val="00B762BE"/>
    <w:rsid w:val="00B76727"/>
    <w:rsid w:val="00B76FF0"/>
    <w:rsid w:val="00B80611"/>
    <w:rsid w:val="00B80779"/>
    <w:rsid w:val="00B80E88"/>
    <w:rsid w:val="00B811DA"/>
    <w:rsid w:val="00B816AE"/>
    <w:rsid w:val="00B82936"/>
    <w:rsid w:val="00B8355F"/>
    <w:rsid w:val="00B835CD"/>
    <w:rsid w:val="00B83815"/>
    <w:rsid w:val="00B8387C"/>
    <w:rsid w:val="00B83AB8"/>
    <w:rsid w:val="00B84D12"/>
    <w:rsid w:val="00B84D85"/>
    <w:rsid w:val="00B84D9D"/>
    <w:rsid w:val="00B854D2"/>
    <w:rsid w:val="00B8607F"/>
    <w:rsid w:val="00B867D8"/>
    <w:rsid w:val="00B8728E"/>
    <w:rsid w:val="00B905DC"/>
    <w:rsid w:val="00B90A75"/>
    <w:rsid w:val="00B90D6C"/>
    <w:rsid w:val="00B91B11"/>
    <w:rsid w:val="00B91BF9"/>
    <w:rsid w:val="00B9238B"/>
    <w:rsid w:val="00B926EB"/>
    <w:rsid w:val="00B92748"/>
    <w:rsid w:val="00B92DE4"/>
    <w:rsid w:val="00B92EE5"/>
    <w:rsid w:val="00B93204"/>
    <w:rsid w:val="00B93602"/>
    <w:rsid w:val="00B93B3A"/>
    <w:rsid w:val="00B93C3E"/>
    <w:rsid w:val="00B93DEA"/>
    <w:rsid w:val="00B9406A"/>
    <w:rsid w:val="00B945BE"/>
    <w:rsid w:val="00B94B3B"/>
    <w:rsid w:val="00B94D3F"/>
    <w:rsid w:val="00B95BA1"/>
    <w:rsid w:val="00B96212"/>
    <w:rsid w:val="00B96558"/>
    <w:rsid w:val="00B9667E"/>
    <w:rsid w:val="00BA2F69"/>
    <w:rsid w:val="00BA421F"/>
    <w:rsid w:val="00BA425C"/>
    <w:rsid w:val="00BA49D6"/>
    <w:rsid w:val="00BA4E2B"/>
    <w:rsid w:val="00BA5350"/>
    <w:rsid w:val="00BA55CE"/>
    <w:rsid w:val="00BA56D8"/>
    <w:rsid w:val="00BA5BB8"/>
    <w:rsid w:val="00BA6988"/>
    <w:rsid w:val="00BA75D4"/>
    <w:rsid w:val="00BB0DA7"/>
    <w:rsid w:val="00BB1A7E"/>
    <w:rsid w:val="00BB21E7"/>
    <w:rsid w:val="00BB326C"/>
    <w:rsid w:val="00BB3B9F"/>
    <w:rsid w:val="00BB4656"/>
    <w:rsid w:val="00BB4858"/>
    <w:rsid w:val="00BB5B11"/>
    <w:rsid w:val="00BB5FAD"/>
    <w:rsid w:val="00BB635D"/>
    <w:rsid w:val="00BB7D54"/>
    <w:rsid w:val="00BB7E23"/>
    <w:rsid w:val="00BC0DA3"/>
    <w:rsid w:val="00BC1815"/>
    <w:rsid w:val="00BC39D2"/>
    <w:rsid w:val="00BC3C7B"/>
    <w:rsid w:val="00BC4A7B"/>
    <w:rsid w:val="00BC4B62"/>
    <w:rsid w:val="00BC5295"/>
    <w:rsid w:val="00BC5493"/>
    <w:rsid w:val="00BC56FC"/>
    <w:rsid w:val="00BC5B57"/>
    <w:rsid w:val="00BC5DEC"/>
    <w:rsid w:val="00BC5FC6"/>
    <w:rsid w:val="00BC6634"/>
    <w:rsid w:val="00BC71F8"/>
    <w:rsid w:val="00BC73BB"/>
    <w:rsid w:val="00BC7FBB"/>
    <w:rsid w:val="00BD041B"/>
    <w:rsid w:val="00BD08FB"/>
    <w:rsid w:val="00BD1A58"/>
    <w:rsid w:val="00BD1B51"/>
    <w:rsid w:val="00BD330C"/>
    <w:rsid w:val="00BD365D"/>
    <w:rsid w:val="00BD367E"/>
    <w:rsid w:val="00BD4BE7"/>
    <w:rsid w:val="00BD55DF"/>
    <w:rsid w:val="00BD5A65"/>
    <w:rsid w:val="00BD6356"/>
    <w:rsid w:val="00BD79F6"/>
    <w:rsid w:val="00BE185D"/>
    <w:rsid w:val="00BE221A"/>
    <w:rsid w:val="00BE22F8"/>
    <w:rsid w:val="00BE28FE"/>
    <w:rsid w:val="00BE2EB0"/>
    <w:rsid w:val="00BE30D4"/>
    <w:rsid w:val="00BE3349"/>
    <w:rsid w:val="00BE4071"/>
    <w:rsid w:val="00BE419E"/>
    <w:rsid w:val="00BE43B5"/>
    <w:rsid w:val="00BE4EB0"/>
    <w:rsid w:val="00BE52E8"/>
    <w:rsid w:val="00BE618A"/>
    <w:rsid w:val="00BE6A25"/>
    <w:rsid w:val="00BE6D64"/>
    <w:rsid w:val="00BE72CE"/>
    <w:rsid w:val="00BF0028"/>
    <w:rsid w:val="00BF19AB"/>
    <w:rsid w:val="00BF1EFA"/>
    <w:rsid w:val="00BF2589"/>
    <w:rsid w:val="00BF2972"/>
    <w:rsid w:val="00BF3914"/>
    <w:rsid w:val="00BF3D51"/>
    <w:rsid w:val="00BF4329"/>
    <w:rsid w:val="00BF4330"/>
    <w:rsid w:val="00BF4E03"/>
    <w:rsid w:val="00BF6834"/>
    <w:rsid w:val="00BF7364"/>
    <w:rsid w:val="00BF7588"/>
    <w:rsid w:val="00BF7B2D"/>
    <w:rsid w:val="00C00817"/>
    <w:rsid w:val="00C008FA"/>
    <w:rsid w:val="00C00A3E"/>
    <w:rsid w:val="00C024B2"/>
    <w:rsid w:val="00C02822"/>
    <w:rsid w:val="00C03E42"/>
    <w:rsid w:val="00C0433C"/>
    <w:rsid w:val="00C05B79"/>
    <w:rsid w:val="00C06742"/>
    <w:rsid w:val="00C10147"/>
    <w:rsid w:val="00C103CC"/>
    <w:rsid w:val="00C10559"/>
    <w:rsid w:val="00C11D74"/>
    <w:rsid w:val="00C11E71"/>
    <w:rsid w:val="00C121D5"/>
    <w:rsid w:val="00C1622F"/>
    <w:rsid w:val="00C16937"/>
    <w:rsid w:val="00C173EA"/>
    <w:rsid w:val="00C17683"/>
    <w:rsid w:val="00C176BF"/>
    <w:rsid w:val="00C17CAD"/>
    <w:rsid w:val="00C21503"/>
    <w:rsid w:val="00C220C6"/>
    <w:rsid w:val="00C22693"/>
    <w:rsid w:val="00C228F6"/>
    <w:rsid w:val="00C241DD"/>
    <w:rsid w:val="00C247D0"/>
    <w:rsid w:val="00C250EC"/>
    <w:rsid w:val="00C25A57"/>
    <w:rsid w:val="00C25B82"/>
    <w:rsid w:val="00C262B1"/>
    <w:rsid w:val="00C262B3"/>
    <w:rsid w:val="00C26339"/>
    <w:rsid w:val="00C3034E"/>
    <w:rsid w:val="00C307DB"/>
    <w:rsid w:val="00C30AFD"/>
    <w:rsid w:val="00C30D2B"/>
    <w:rsid w:val="00C31B5F"/>
    <w:rsid w:val="00C31BED"/>
    <w:rsid w:val="00C3395D"/>
    <w:rsid w:val="00C33B6C"/>
    <w:rsid w:val="00C34318"/>
    <w:rsid w:val="00C34725"/>
    <w:rsid w:val="00C35269"/>
    <w:rsid w:val="00C354DF"/>
    <w:rsid w:val="00C36896"/>
    <w:rsid w:val="00C36AE6"/>
    <w:rsid w:val="00C36BE7"/>
    <w:rsid w:val="00C36C8F"/>
    <w:rsid w:val="00C3795F"/>
    <w:rsid w:val="00C40FC0"/>
    <w:rsid w:val="00C41F4A"/>
    <w:rsid w:val="00C42317"/>
    <w:rsid w:val="00C42454"/>
    <w:rsid w:val="00C426D9"/>
    <w:rsid w:val="00C433B5"/>
    <w:rsid w:val="00C4418A"/>
    <w:rsid w:val="00C4428B"/>
    <w:rsid w:val="00C4451A"/>
    <w:rsid w:val="00C45B65"/>
    <w:rsid w:val="00C462F3"/>
    <w:rsid w:val="00C46B3D"/>
    <w:rsid w:val="00C4769C"/>
    <w:rsid w:val="00C47818"/>
    <w:rsid w:val="00C47DF9"/>
    <w:rsid w:val="00C47FED"/>
    <w:rsid w:val="00C503AA"/>
    <w:rsid w:val="00C50B30"/>
    <w:rsid w:val="00C50BFA"/>
    <w:rsid w:val="00C515F6"/>
    <w:rsid w:val="00C51F2A"/>
    <w:rsid w:val="00C5244C"/>
    <w:rsid w:val="00C52DA9"/>
    <w:rsid w:val="00C53502"/>
    <w:rsid w:val="00C53583"/>
    <w:rsid w:val="00C541F0"/>
    <w:rsid w:val="00C54452"/>
    <w:rsid w:val="00C54CD3"/>
    <w:rsid w:val="00C54F65"/>
    <w:rsid w:val="00C5607F"/>
    <w:rsid w:val="00C56106"/>
    <w:rsid w:val="00C5642A"/>
    <w:rsid w:val="00C6041D"/>
    <w:rsid w:val="00C62D77"/>
    <w:rsid w:val="00C63162"/>
    <w:rsid w:val="00C6431D"/>
    <w:rsid w:val="00C646FF"/>
    <w:rsid w:val="00C65538"/>
    <w:rsid w:val="00C6692F"/>
    <w:rsid w:val="00C6736D"/>
    <w:rsid w:val="00C67F42"/>
    <w:rsid w:val="00C707C2"/>
    <w:rsid w:val="00C71122"/>
    <w:rsid w:val="00C714E5"/>
    <w:rsid w:val="00C71695"/>
    <w:rsid w:val="00C72670"/>
    <w:rsid w:val="00C73C6B"/>
    <w:rsid w:val="00C741E9"/>
    <w:rsid w:val="00C743C8"/>
    <w:rsid w:val="00C74EB9"/>
    <w:rsid w:val="00C74FB1"/>
    <w:rsid w:val="00C75581"/>
    <w:rsid w:val="00C75596"/>
    <w:rsid w:val="00C75C6B"/>
    <w:rsid w:val="00C76E6D"/>
    <w:rsid w:val="00C76FC0"/>
    <w:rsid w:val="00C80509"/>
    <w:rsid w:val="00C80A32"/>
    <w:rsid w:val="00C80C38"/>
    <w:rsid w:val="00C81832"/>
    <w:rsid w:val="00C81902"/>
    <w:rsid w:val="00C81B54"/>
    <w:rsid w:val="00C81D3B"/>
    <w:rsid w:val="00C821CD"/>
    <w:rsid w:val="00C82414"/>
    <w:rsid w:val="00C82C2B"/>
    <w:rsid w:val="00C82CC2"/>
    <w:rsid w:val="00C83DF3"/>
    <w:rsid w:val="00C841F2"/>
    <w:rsid w:val="00C846BA"/>
    <w:rsid w:val="00C84825"/>
    <w:rsid w:val="00C85756"/>
    <w:rsid w:val="00C86594"/>
    <w:rsid w:val="00C86ECF"/>
    <w:rsid w:val="00C87616"/>
    <w:rsid w:val="00C876DD"/>
    <w:rsid w:val="00C876F4"/>
    <w:rsid w:val="00C90747"/>
    <w:rsid w:val="00C90AEE"/>
    <w:rsid w:val="00C90F6A"/>
    <w:rsid w:val="00C9166F"/>
    <w:rsid w:val="00C91F17"/>
    <w:rsid w:val="00C925C3"/>
    <w:rsid w:val="00C927BB"/>
    <w:rsid w:val="00C935F3"/>
    <w:rsid w:val="00C949D7"/>
    <w:rsid w:val="00C94CC5"/>
    <w:rsid w:val="00C9518B"/>
    <w:rsid w:val="00C966E0"/>
    <w:rsid w:val="00CA0D9B"/>
    <w:rsid w:val="00CA1AA2"/>
    <w:rsid w:val="00CA218D"/>
    <w:rsid w:val="00CA21CE"/>
    <w:rsid w:val="00CA34BE"/>
    <w:rsid w:val="00CA34E0"/>
    <w:rsid w:val="00CA4613"/>
    <w:rsid w:val="00CA48E4"/>
    <w:rsid w:val="00CA4D4D"/>
    <w:rsid w:val="00CA4FFA"/>
    <w:rsid w:val="00CA5769"/>
    <w:rsid w:val="00CA62C9"/>
    <w:rsid w:val="00CA64B5"/>
    <w:rsid w:val="00CA6C30"/>
    <w:rsid w:val="00CA7814"/>
    <w:rsid w:val="00CA7831"/>
    <w:rsid w:val="00CB0188"/>
    <w:rsid w:val="00CB01CB"/>
    <w:rsid w:val="00CB0894"/>
    <w:rsid w:val="00CB13DC"/>
    <w:rsid w:val="00CB144F"/>
    <w:rsid w:val="00CB14E8"/>
    <w:rsid w:val="00CB2372"/>
    <w:rsid w:val="00CB24A4"/>
    <w:rsid w:val="00CB317E"/>
    <w:rsid w:val="00CB3224"/>
    <w:rsid w:val="00CB3403"/>
    <w:rsid w:val="00CB3F97"/>
    <w:rsid w:val="00CB44A8"/>
    <w:rsid w:val="00CB4801"/>
    <w:rsid w:val="00CB4877"/>
    <w:rsid w:val="00CB580B"/>
    <w:rsid w:val="00CB7D91"/>
    <w:rsid w:val="00CB7F7C"/>
    <w:rsid w:val="00CC03E6"/>
    <w:rsid w:val="00CC09BA"/>
    <w:rsid w:val="00CC1665"/>
    <w:rsid w:val="00CC170A"/>
    <w:rsid w:val="00CC1EA4"/>
    <w:rsid w:val="00CC3DE7"/>
    <w:rsid w:val="00CC454C"/>
    <w:rsid w:val="00CC4C8E"/>
    <w:rsid w:val="00CC4DD4"/>
    <w:rsid w:val="00CC4F24"/>
    <w:rsid w:val="00CC5271"/>
    <w:rsid w:val="00CC7198"/>
    <w:rsid w:val="00CD0D4D"/>
    <w:rsid w:val="00CD1145"/>
    <w:rsid w:val="00CD14E6"/>
    <w:rsid w:val="00CD17E3"/>
    <w:rsid w:val="00CD18A4"/>
    <w:rsid w:val="00CD351C"/>
    <w:rsid w:val="00CD5684"/>
    <w:rsid w:val="00CD58CD"/>
    <w:rsid w:val="00CD5964"/>
    <w:rsid w:val="00CD6CED"/>
    <w:rsid w:val="00CD75F9"/>
    <w:rsid w:val="00CD7A7F"/>
    <w:rsid w:val="00CE05EE"/>
    <w:rsid w:val="00CE0C8E"/>
    <w:rsid w:val="00CE383E"/>
    <w:rsid w:val="00CE3C16"/>
    <w:rsid w:val="00CE4D9E"/>
    <w:rsid w:val="00CE506B"/>
    <w:rsid w:val="00CE5277"/>
    <w:rsid w:val="00CE5F6C"/>
    <w:rsid w:val="00CE6116"/>
    <w:rsid w:val="00CE647A"/>
    <w:rsid w:val="00CE6A5D"/>
    <w:rsid w:val="00CE6F83"/>
    <w:rsid w:val="00CE742D"/>
    <w:rsid w:val="00CF0500"/>
    <w:rsid w:val="00CF07D7"/>
    <w:rsid w:val="00CF19C8"/>
    <w:rsid w:val="00CF239E"/>
    <w:rsid w:val="00CF3060"/>
    <w:rsid w:val="00CF32B6"/>
    <w:rsid w:val="00CF3C7B"/>
    <w:rsid w:val="00CF4594"/>
    <w:rsid w:val="00CF4829"/>
    <w:rsid w:val="00CF4F8F"/>
    <w:rsid w:val="00CF4FC6"/>
    <w:rsid w:val="00CF5E27"/>
    <w:rsid w:val="00CF657D"/>
    <w:rsid w:val="00CF7B86"/>
    <w:rsid w:val="00D00C45"/>
    <w:rsid w:val="00D00D45"/>
    <w:rsid w:val="00D0112F"/>
    <w:rsid w:val="00D023A1"/>
    <w:rsid w:val="00D02690"/>
    <w:rsid w:val="00D02B35"/>
    <w:rsid w:val="00D03557"/>
    <w:rsid w:val="00D03756"/>
    <w:rsid w:val="00D0402D"/>
    <w:rsid w:val="00D0406A"/>
    <w:rsid w:val="00D05ACD"/>
    <w:rsid w:val="00D06F04"/>
    <w:rsid w:val="00D07751"/>
    <w:rsid w:val="00D1045D"/>
    <w:rsid w:val="00D11323"/>
    <w:rsid w:val="00D11BF1"/>
    <w:rsid w:val="00D120AA"/>
    <w:rsid w:val="00D120BE"/>
    <w:rsid w:val="00D13C4C"/>
    <w:rsid w:val="00D146B0"/>
    <w:rsid w:val="00D14990"/>
    <w:rsid w:val="00D160A8"/>
    <w:rsid w:val="00D16115"/>
    <w:rsid w:val="00D16163"/>
    <w:rsid w:val="00D16C6F"/>
    <w:rsid w:val="00D17139"/>
    <w:rsid w:val="00D20167"/>
    <w:rsid w:val="00D20799"/>
    <w:rsid w:val="00D209ED"/>
    <w:rsid w:val="00D213C4"/>
    <w:rsid w:val="00D2191F"/>
    <w:rsid w:val="00D21E14"/>
    <w:rsid w:val="00D22865"/>
    <w:rsid w:val="00D22E13"/>
    <w:rsid w:val="00D238D3"/>
    <w:rsid w:val="00D23C84"/>
    <w:rsid w:val="00D23E0F"/>
    <w:rsid w:val="00D241DB"/>
    <w:rsid w:val="00D245E6"/>
    <w:rsid w:val="00D25A34"/>
    <w:rsid w:val="00D25C4C"/>
    <w:rsid w:val="00D25DA3"/>
    <w:rsid w:val="00D261C2"/>
    <w:rsid w:val="00D27264"/>
    <w:rsid w:val="00D2748A"/>
    <w:rsid w:val="00D30194"/>
    <w:rsid w:val="00D30754"/>
    <w:rsid w:val="00D3087F"/>
    <w:rsid w:val="00D312DD"/>
    <w:rsid w:val="00D31928"/>
    <w:rsid w:val="00D31C13"/>
    <w:rsid w:val="00D31C36"/>
    <w:rsid w:val="00D31CB5"/>
    <w:rsid w:val="00D31F09"/>
    <w:rsid w:val="00D321DE"/>
    <w:rsid w:val="00D32B9C"/>
    <w:rsid w:val="00D32F67"/>
    <w:rsid w:val="00D32FFE"/>
    <w:rsid w:val="00D33700"/>
    <w:rsid w:val="00D33F7E"/>
    <w:rsid w:val="00D34103"/>
    <w:rsid w:val="00D34A98"/>
    <w:rsid w:val="00D356B2"/>
    <w:rsid w:val="00D36CAE"/>
    <w:rsid w:val="00D370E9"/>
    <w:rsid w:val="00D40EDA"/>
    <w:rsid w:val="00D41D4B"/>
    <w:rsid w:val="00D41F97"/>
    <w:rsid w:val="00D42100"/>
    <w:rsid w:val="00D42969"/>
    <w:rsid w:val="00D435B9"/>
    <w:rsid w:val="00D4395D"/>
    <w:rsid w:val="00D4421E"/>
    <w:rsid w:val="00D4489E"/>
    <w:rsid w:val="00D44B1B"/>
    <w:rsid w:val="00D44D3A"/>
    <w:rsid w:val="00D4508F"/>
    <w:rsid w:val="00D4521C"/>
    <w:rsid w:val="00D4679E"/>
    <w:rsid w:val="00D47724"/>
    <w:rsid w:val="00D47817"/>
    <w:rsid w:val="00D504F9"/>
    <w:rsid w:val="00D50F6D"/>
    <w:rsid w:val="00D5193B"/>
    <w:rsid w:val="00D529FA"/>
    <w:rsid w:val="00D52F26"/>
    <w:rsid w:val="00D539E3"/>
    <w:rsid w:val="00D54CD5"/>
    <w:rsid w:val="00D551E8"/>
    <w:rsid w:val="00D55D47"/>
    <w:rsid w:val="00D56E6D"/>
    <w:rsid w:val="00D5736B"/>
    <w:rsid w:val="00D57AC6"/>
    <w:rsid w:val="00D57D53"/>
    <w:rsid w:val="00D60B1E"/>
    <w:rsid w:val="00D62944"/>
    <w:rsid w:val="00D63142"/>
    <w:rsid w:val="00D63816"/>
    <w:rsid w:val="00D6492E"/>
    <w:rsid w:val="00D65755"/>
    <w:rsid w:val="00D6620E"/>
    <w:rsid w:val="00D66220"/>
    <w:rsid w:val="00D6674D"/>
    <w:rsid w:val="00D66D9C"/>
    <w:rsid w:val="00D70A9D"/>
    <w:rsid w:val="00D70F84"/>
    <w:rsid w:val="00D72D14"/>
    <w:rsid w:val="00D72DB7"/>
    <w:rsid w:val="00D735F2"/>
    <w:rsid w:val="00D736BA"/>
    <w:rsid w:val="00D73BA0"/>
    <w:rsid w:val="00D744BE"/>
    <w:rsid w:val="00D74AB7"/>
    <w:rsid w:val="00D74F94"/>
    <w:rsid w:val="00D752C6"/>
    <w:rsid w:val="00D752D8"/>
    <w:rsid w:val="00D76B1D"/>
    <w:rsid w:val="00D80089"/>
    <w:rsid w:val="00D80261"/>
    <w:rsid w:val="00D80392"/>
    <w:rsid w:val="00D80968"/>
    <w:rsid w:val="00D8130D"/>
    <w:rsid w:val="00D81D24"/>
    <w:rsid w:val="00D82676"/>
    <w:rsid w:val="00D83A88"/>
    <w:rsid w:val="00D841CF"/>
    <w:rsid w:val="00D841EF"/>
    <w:rsid w:val="00D862D3"/>
    <w:rsid w:val="00D865C0"/>
    <w:rsid w:val="00D87221"/>
    <w:rsid w:val="00D900C0"/>
    <w:rsid w:val="00D90E36"/>
    <w:rsid w:val="00D90EEB"/>
    <w:rsid w:val="00D910B8"/>
    <w:rsid w:val="00D91CB4"/>
    <w:rsid w:val="00D91CCB"/>
    <w:rsid w:val="00D92616"/>
    <w:rsid w:val="00D92C8C"/>
    <w:rsid w:val="00D93887"/>
    <w:rsid w:val="00D938E9"/>
    <w:rsid w:val="00D93A80"/>
    <w:rsid w:val="00D9456A"/>
    <w:rsid w:val="00D948A8"/>
    <w:rsid w:val="00D94EF1"/>
    <w:rsid w:val="00D9506B"/>
    <w:rsid w:val="00D9614E"/>
    <w:rsid w:val="00D96573"/>
    <w:rsid w:val="00D97493"/>
    <w:rsid w:val="00D976D1"/>
    <w:rsid w:val="00D97FCF"/>
    <w:rsid w:val="00DA0F8A"/>
    <w:rsid w:val="00DA13B8"/>
    <w:rsid w:val="00DA2092"/>
    <w:rsid w:val="00DA3185"/>
    <w:rsid w:val="00DA3F44"/>
    <w:rsid w:val="00DA3FE2"/>
    <w:rsid w:val="00DA4656"/>
    <w:rsid w:val="00DA4E06"/>
    <w:rsid w:val="00DA513D"/>
    <w:rsid w:val="00DA7568"/>
    <w:rsid w:val="00DA7995"/>
    <w:rsid w:val="00DA79AE"/>
    <w:rsid w:val="00DB0C00"/>
    <w:rsid w:val="00DB1752"/>
    <w:rsid w:val="00DB1E03"/>
    <w:rsid w:val="00DB2206"/>
    <w:rsid w:val="00DB2359"/>
    <w:rsid w:val="00DB253A"/>
    <w:rsid w:val="00DB3A93"/>
    <w:rsid w:val="00DB3E6A"/>
    <w:rsid w:val="00DB46FB"/>
    <w:rsid w:val="00DB4945"/>
    <w:rsid w:val="00DB6449"/>
    <w:rsid w:val="00DB6A9F"/>
    <w:rsid w:val="00DB6CCA"/>
    <w:rsid w:val="00DB7574"/>
    <w:rsid w:val="00DB7631"/>
    <w:rsid w:val="00DB7D66"/>
    <w:rsid w:val="00DC021C"/>
    <w:rsid w:val="00DC19DE"/>
    <w:rsid w:val="00DC24B9"/>
    <w:rsid w:val="00DC2E81"/>
    <w:rsid w:val="00DC30B0"/>
    <w:rsid w:val="00DC33A4"/>
    <w:rsid w:val="00DC4172"/>
    <w:rsid w:val="00DC47E0"/>
    <w:rsid w:val="00DC47EF"/>
    <w:rsid w:val="00DC4F1D"/>
    <w:rsid w:val="00DC57DB"/>
    <w:rsid w:val="00DC5BAB"/>
    <w:rsid w:val="00DC656D"/>
    <w:rsid w:val="00DC66A7"/>
    <w:rsid w:val="00DC7CD3"/>
    <w:rsid w:val="00DD0833"/>
    <w:rsid w:val="00DD0E05"/>
    <w:rsid w:val="00DD194E"/>
    <w:rsid w:val="00DD1EC9"/>
    <w:rsid w:val="00DD2C5D"/>
    <w:rsid w:val="00DD351F"/>
    <w:rsid w:val="00DD3AAC"/>
    <w:rsid w:val="00DD3CCD"/>
    <w:rsid w:val="00DD3F65"/>
    <w:rsid w:val="00DD4D19"/>
    <w:rsid w:val="00DD5348"/>
    <w:rsid w:val="00DD5A27"/>
    <w:rsid w:val="00DD5F71"/>
    <w:rsid w:val="00DD659F"/>
    <w:rsid w:val="00DD7016"/>
    <w:rsid w:val="00DD7D86"/>
    <w:rsid w:val="00DD7DEF"/>
    <w:rsid w:val="00DE000B"/>
    <w:rsid w:val="00DE0501"/>
    <w:rsid w:val="00DE09FD"/>
    <w:rsid w:val="00DE1033"/>
    <w:rsid w:val="00DE1F68"/>
    <w:rsid w:val="00DE24DC"/>
    <w:rsid w:val="00DE3F9E"/>
    <w:rsid w:val="00DE44D2"/>
    <w:rsid w:val="00DE4526"/>
    <w:rsid w:val="00DE504A"/>
    <w:rsid w:val="00DE7334"/>
    <w:rsid w:val="00DE7F99"/>
    <w:rsid w:val="00DF00E3"/>
    <w:rsid w:val="00DF0400"/>
    <w:rsid w:val="00DF2029"/>
    <w:rsid w:val="00DF2772"/>
    <w:rsid w:val="00DF2D7E"/>
    <w:rsid w:val="00DF3309"/>
    <w:rsid w:val="00DF3A59"/>
    <w:rsid w:val="00DF4E7F"/>
    <w:rsid w:val="00DF5800"/>
    <w:rsid w:val="00DF5D47"/>
    <w:rsid w:val="00E00D2F"/>
    <w:rsid w:val="00E0179F"/>
    <w:rsid w:val="00E023B1"/>
    <w:rsid w:val="00E02ACC"/>
    <w:rsid w:val="00E03E58"/>
    <w:rsid w:val="00E04943"/>
    <w:rsid w:val="00E04CA4"/>
    <w:rsid w:val="00E05674"/>
    <w:rsid w:val="00E05D11"/>
    <w:rsid w:val="00E07187"/>
    <w:rsid w:val="00E0733D"/>
    <w:rsid w:val="00E10593"/>
    <w:rsid w:val="00E11557"/>
    <w:rsid w:val="00E13BFE"/>
    <w:rsid w:val="00E13D0F"/>
    <w:rsid w:val="00E1539C"/>
    <w:rsid w:val="00E15558"/>
    <w:rsid w:val="00E15AD3"/>
    <w:rsid w:val="00E16313"/>
    <w:rsid w:val="00E17C56"/>
    <w:rsid w:val="00E2148D"/>
    <w:rsid w:val="00E21B0D"/>
    <w:rsid w:val="00E22243"/>
    <w:rsid w:val="00E22A2A"/>
    <w:rsid w:val="00E22C59"/>
    <w:rsid w:val="00E22CC4"/>
    <w:rsid w:val="00E23317"/>
    <w:rsid w:val="00E242D6"/>
    <w:rsid w:val="00E24B14"/>
    <w:rsid w:val="00E24C65"/>
    <w:rsid w:val="00E24E88"/>
    <w:rsid w:val="00E261CD"/>
    <w:rsid w:val="00E26CB9"/>
    <w:rsid w:val="00E3003C"/>
    <w:rsid w:val="00E30742"/>
    <w:rsid w:val="00E308D7"/>
    <w:rsid w:val="00E31352"/>
    <w:rsid w:val="00E31CFB"/>
    <w:rsid w:val="00E3285A"/>
    <w:rsid w:val="00E33388"/>
    <w:rsid w:val="00E33435"/>
    <w:rsid w:val="00E33656"/>
    <w:rsid w:val="00E33703"/>
    <w:rsid w:val="00E33901"/>
    <w:rsid w:val="00E343B8"/>
    <w:rsid w:val="00E34744"/>
    <w:rsid w:val="00E35F62"/>
    <w:rsid w:val="00E365E0"/>
    <w:rsid w:val="00E36C86"/>
    <w:rsid w:val="00E37DA2"/>
    <w:rsid w:val="00E37FF1"/>
    <w:rsid w:val="00E40463"/>
    <w:rsid w:val="00E409D8"/>
    <w:rsid w:val="00E40D91"/>
    <w:rsid w:val="00E41525"/>
    <w:rsid w:val="00E417D4"/>
    <w:rsid w:val="00E41BCB"/>
    <w:rsid w:val="00E428A2"/>
    <w:rsid w:val="00E428AF"/>
    <w:rsid w:val="00E42CDB"/>
    <w:rsid w:val="00E444D1"/>
    <w:rsid w:val="00E4552D"/>
    <w:rsid w:val="00E476B5"/>
    <w:rsid w:val="00E47909"/>
    <w:rsid w:val="00E47A49"/>
    <w:rsid w:val="00E50B77"/>
    <w:rsid w:val="00E51383"/>
    <w:rsid w:val="00E51B74"/>
    <w:rsid w:val="00E52BD0"/>
    <w:rsid w:val="00E538E2"/>
    <w:rsid w:val="00E539E0"/>
    <w:rsid w:val="00E53D53"/>
    <w:rsid w:val="00E54E53"/>
    <w:rsid w:val="00E55492"/>
    <w:rsid w:val="00E556B4"/>
    <w:rsid w:val="00E5635D"/>
    <w:rsid w:val="00E56F2F"/>
    <w:rsid w:val="00E574A6"/>
    <w:rsid w:val="00E57DEA"/>
    <w:rsid w:val="00E600D8"/>
    <w:rsid w:val="00E608C6"/>
    <w:rsid w:val="00E609CD"/>
    <w:rsid w:val="00E61EDE"/>
    <w:rsid w:val="00E62ACF"/>
    <w:rsid w:val="00E62BFD"/>
    <w:rsid w:val="00E62ED4"/>
    <w:rsid w:val="00E632EB"/>
    <w:rsid w:val="00E635F7"/>
    <w:rsid w:val="00E64100"/>
    <w:rsid w:val="00E6458E"/>
    <w:rsid w:val="00E6463A"/>
    <w:rsid w:val="00E6482E"/>
    <w:rsid w:val="00E6504C"/>
    <w:rsid w:val="00E653A8"/>
    <w:rsid w:val="00E66460"/>
    <w:rsid w:val="00E6671E"/>
    <w:rsid w:val="00E66E20"/>
    <w:rsid w:val="00E675A4"/>
    <w:rsid w:val="00E677EF"/>
    <w:rsid w:val="00E67BA6"/>
    <w:rsid w:val="00E7047B"/>
    <w:rsid w:val="00E70BF8"/>
    <w:rsid w:val="00E7113F"/>
    <w:rsid w:val="00E727BA"/>
    <w:rsid w:val="00E727E8"/>
    <w:rsid w:val="00E73C89"/>
    <w:rsid w:val="00E74CB5"/>
    <w:rsid w:val="00E75267"/>
    <w:rsid w:val="00E75273"/>
    <w:rsid w:val="00E75439"/>
    <w:rsid w:val="00E756CE"/>
    <w:rsid w:val="00E75AF8"/>
    <w:rsid w:val="00E76B73"/>
    <w:rsid w:val="00E76D39"/>
    <w:rsid w:val="00E77702"/>
    <w:rsid w:val="00E77BCC"/>
    <w:rsid w:val="00E8072B"/>
    <w:rsid w:val="00E8169C"/>
    <w:rsid w:val="00E81942"/>
    <w:rsid w:val="00E81997"/>
    <w:rsid w:val="00E81DAE"/>
    <w:rsid w:val="00E82162"/>
    <w:rsid w:val="00E82414"/>
    <w:rsid w:val="00E82786"/>
    <w:rsid w:val="00E82CEB"/>
    <w:rsid w:val="00E8386E"/>
    <w:rsid w:val="00E83983"/>
    <w:rsid w:val="00E84CFF"/>
    <w:rsid w:val="00E85BC4"/>
    <w:rsid w:val="00E86208"/>
    <w:rsid w:val="00E86C16"/>
    <w:rsid w:val="00E871F7"/>
    <w:rsid w:val="00E87AC4"/>
    <w:rsid w:val="00E9132A"/>
    <w:rsid w:val="00E91474"/>
    <w:rsid w:val="00E91C5D"/>
    <w:rsid w:val="00E93BF7"/>
    <w:rsid w:val="00E94B8F"/>
    <w:rsid w:val="00E96ABD"/>
    <w:rsid w:val="00E9716A"/>
    <w:rsid w:val="00E974EF"/>
    <w:rsid w:val="00E97F4F"/>
    <w:rsid w:val="00EA05D3"/>
    <w:rsid w:val="00EA095D"/>
    <w:rsid w:val="00EA14BC"/>
    <w:rsid w:val="00EA18D5"/>
    <w:rsid w:val="00EA2159"/>
    <w:rsid w:val="00EA23B8"/>
    <w:rsid w:val="00EA2578"/>
    <w:rsid w:val="00EA361E"/>
    <w:rsid w:val="00EA36DD"/>
    <w:rsid w:val="00EA4194"/>
    <w:rsid w:val="00EA43F1"/>
    <w:rsid w:val="00EA4BCC"/>
    <w:rsid w:val="00EA5246"/>
    <w:rsid w:val="00EA5AD5"/>
    <w:rsid w:val="00EA618B"/>
    <w:rsid w:val="00EA6D20"/>
    <w:rsid w:val="00EA6EE2"/>
    <w:rsid w:val="00EA74A2"/>
    <w:rsid w:val="00EB057B"/>
    <w:rsid w:val="00EB1D41"/>
    <w:rsid w:val="00EB1E31"/>
    <w:rsid w:val="00EB4FB4"/>
    <w:rsid w:val="00EB571D"/>
    <w:rsid w:val="00EB57A9"/>
    <w:rsid w:val="00EB5F13"/>
    <w:rsid w:val="00EB62F9"/>
    <w:rsid w:val="00EB679C"/>
    <w:rsid w:val="00EB7A06"/>
    <w:rsid w:val="00EB7D07"/>
    <w:rsid w:val="00EB7E5C"/>
    <w:rsid w:val="00EB7F62"/>
    <w:rsid w:val="00EC08E9"/>
    <w:rsid w:val="00EC0C04"/>
    <w:rsid w:val="00EC0F08"/>
    <w:rsid w:val="00EC1067"/>
    <w:rsid w:val="00EC1FAF"/>
    <w:rsid w:val="00EC203D"/>
    <w:rsid w:val="00EC2054"/>
    <w:rsid w:val="00EC25A7"/>
    <w:rsid w:val="00EC2FD0"/>
    <w:rsid w:val="00EC4470"/>
    <w:rsid w:val="00EC4D48"/>
    <w:rsid w:val="00EC4DC2"/>
    <w:rsid w:val="00EC4EE5"/>
    <w:rsid w:val="00EC543C"/>
    <w:rsid w:val="00EC579F"/>
    <w:rsid w:val="00EC5A17"/>
    <w:rsid w:val="00EC5E94"/>
    <w:rsid w:val="00EC68B7"/>
    <w:rsid w:val="00EC70FE"/>
    <w:rsid w:val="00EC76E1"/>
    <w:rsid w:val="00EC7F31"/>
    <w:rsid w:val="00ED024D"/>
    <w:rsid w:val="00ED0471"/>
    <w:rsid w:val="00ED05E1"/>
    <w:rsid w:val="00ED0853"/>
    <w:rsid w:val="00ED09F2"/>
    <w:rsid w:val="00ED1092"/>
    <w:rsid w:val="00ED17C3"/>
    <w:rsid w:val="00ED1C87"/>
    <w:rsid w:val="00ED1EE1"/>
    <w:rsid w:val="00ED4681"/>
    <w:rsid w:val="00ED4AAB"/>
    <w:rsid w:val="00ED5BE4"/>
    <w:rsid w:val="00ED71BB"/>
    <w:rsid w:val="00EE01DC"/>
    <w:rsid w:val="00EE032E"/>
    <w:rsid w:val="00EE0CC7"/>
    <w:rsid w:val="00EE16B9"/>
    <w:rsid w:val="00EE1D31"/>
    <w:rsid w:val="00EE262C"/>
    <w:rsid w:val="00EE27AA"/>
    <w:rsid w:val="00EE2899"/>
    <w:rsid w:val="00EE3786"/>
    <w:rsid w:val="00EE49F2"/>
    <w:rsid w:val="00EE4A8D"/>
    <w:rsid w:val="00EE522A"/>
    <w:rsid w:val="00EE6230"/>
    <w:rsid w:val="00EE6B8E"/>
    <w:rsid w:val="00EE7572"/>
    <w:rsid w:val="00EE79CE"/>
    <w:rsid w:val="00EE7AB7"/>
    <w:rsid w:val="00EF10AC"/>
    <w:rsid w:val="00EF115A"/>
    <w:rsid w:val="00EF1B3C"/>
    <w:rsid w:val="00EF2EA2"/>
    <w:rsid w:val="00EF3E94"/>
    <w:rsid w:val="00EF43BA"/>
    <w:rsid w:val="00EF4BCA"/>
    <w:rsid w:val="00EF4F3E"/>
    <w:rsid w:val="00EF558F"/>
    <w:rsid w:val="00EF6C3B"/>
    <w:rsid w:val="00EF6D9B"/>
    <w:rsid w:val="00EF7135"/>
    <w:rsid w:val="00EF76CB"/>
    <w:rsid w:val="00EF7CA3"/>
    <w:rsid w:val="00F00755"/>
    <w:rsid w:val="00F00F9B"/>
    <w:rsid w:val="00F015CC"/>
    <w:rsid w:val="00F02110"/>
    <w:rsid w:val="00F0215E"/>
    <w:rsid w:val="00F02A62"/>
    <w:rsid w:val="00F0331F"/>
    <w:rsid w:val="00F036D1"/>
    <w:rsid w:val="00F0481E"/>
    <w:rsid w:val="00F048A7"/>
    <w:rsid w:val="00F04D2E"/>
    <w:rsid w:val="00F05606"/>
    <w:rsid w:val="00F05C19"/>
    <w:rsid w:val="00F0645D"/>
    <w:rsid w:val="00F0784B"/>
    <w:rsid w:val="00F1075E"/>
    <w:rsid w:val="00F108F4"/>
    <w:rsid w:val="00F11420"/>
    <w:rsid w:val="00F116ED"/>
    <w:rsid w:val="00F12034"/>
    <w:rsid w:val="00F12375"/>
    <w:rsid w:val="00F12A9D"/>
    <w:rsid w:val="00F12EFD"/>
    <w:rsid w:val="00F14065"/>
    <w:rsid w:val="00F14B27"/>
    <w:rsid w:val="00F1503C"/>
    <w:rsid w:val="00F16A07"/>
    <w:rsid w:val="00F173F7"/>
    <w:rsid w:val="00F17641"/>
    <w:rsid w:val="00F177C0"/>
    <w:rsid w:val="00F17A1A"/>
    <w:rsid w:val="00F201DB"/>
    <w:rsid w:val="00F2086A"/>
    <w:rsid w:val="00F21665"/>
    <w:rsid w:val="00F21820"/>
    <w:rsid w:val="00F21EBD"/>
    <w:rsid w:val="00F220E9"/>
    <w:rsid w:val="00F22685"/>
    <w:rsid w:val="00F22CE8"/>
    <w:rsid w:val="00F22F06"/>
    <w:rsid w:val="00F22F1E"/>
    <w:rsid w:val="00F231D7"/>
    <w:rsid w:val="00F2356B"/>
    <w:rsid w:val="00F24F87"/>
    <w:rsid w:val="00F2675B"/>
    <w:rsid w:val="00F267AD"/>
    <w:rsid w:val="00F270F6"/>
    <w:rsid w:val="00F278B9"/>
    <w:rsid w:val="00F30BFD"/>
    <w:rsid w:val="00F31B59"/>
    <w:rsid w:val="00F32E04"/>
    <w:rsid w:val="00F3353A"/>
    <w:rsid w:val="00F348D9"/>
    <w:rsid w:val="00F35A51"/>
    <w:rsid w:val="00F36344"/>
    <w:rsid w:val="00F37C89"/>
    <w:rsid w:val="00F4032F"/>
    <w:rsid w:val="00F40397"/>
    <w:rsid w:val="00F409CE"/>
    <w:rsid w:val="00F4153A"/>
    <w:rsid w:val="00F41713"/>
    <w:rsid w:val="00F428FA"/>
    <w:rsid w:val="00F42C7A"/>
    <w:rsid w:val="00F43447"/>
    <w:rsid w:val="00F4374C"/>
    <w:rsid w:val="00F43AB4"/>
    <w:rsid w:val="00F44188"/>
    <w:rsid w:val="00F4521B"/>
    <w:rsid w:val="00F452CD"/>
    <w:rsid w:val="00F47C5A"/>
    <w:rsid w:val="00F47EE5"/>
    <w:rsid w:val="00F5061F"/>
    <w:rsid w:val="00F511A6"/>
    <w:rsid w:val="00F5212A"/>
    <w:rsid w:val="00F521E8"/>
    <w:rsid w:val="00F52430"/>
    <w:rsid w:val="00F52C7A"/>
    <w:rsid w:val="00F538DA"/>
    <w:rsid w:val="00F53948"/>
    <w:rsid w:val="00F5404F"/>
    <w:rsid w:val="00F55153"/>
    <w:rsid w:val="00F56234"/>
    <w:rsid w:val="00F56AD1"/>
    <w:rsid w:val="00F56B24"/>
    <w:rsid w:val="00F5720B"/>
    <w:rsid w:val="00F57249"/>
    <w:rsid w:val="00F578AB"/>
    <w:rsid w:val="00F57F40"/>
    <w:rsid w:val="00F61165"/>
    <w:rsid w:val="00F612DD"/>
    <w:rsid w:val="00F61822"/>
    <w:rsid w:val="00F61B5A"/>
    <w:rsid w:val="00F62834"/>
    <w:rsid w:val="00F632D2"/>
    <w:rsid w:val="00F63320"/>
    <w:rsid w:val="00F63C9A"/>
    <w:rsid w:val="00F6460F"/>
    <w:rsid w:val="00F6463E"/>
    <w:rsid w:val="00F64C52"/>
    <w:rsid w:val="00F65344"/>
    <w:rsid w:val="00F65B7F"/>
    <w:rsid w:val="00F65C29"/>
    <w:rsid w:val="00F65EF7"/>
    <w:rsid w:val="00F66AF6"/>
    <w:rsid w:val="00F67FEB"/>
    <w:rsid w:val="00F71342"/>
    <w:rsid w:val="00F713D7"/>
    <w:rsid w:val="00F7230E"/>
    <w:rsid w:val="00F7408C"/>
    <w:rsid w:val="00F748A6"/>
    <w:rsid w:val="00F74C29"/>
    <w:rsid w:val="00F74D54"/>
    <w:rsid w:val="00F75771"/>
    <w:rsid w:val="00F75990"/>
    <w:rsid w:val="00F75CF3"/>
    <w:rsid w:val="00F77F6F"/>
    <w:rsid w:val="00F8057D"/>
    <w:rsid w:val="00F815DA"/>
    <w:rsid w:val="00F81B3D"/>
    <w:rsid w:val="00F82DC1"/>
    <w:rsid w:val="00F82F18"/>
    <w:rsid w:val="00F83040"/>
    <w:rsid w:val="00F83342"/>
    <w:rsid w:val="00F83E0B"/>
    <w:rsid w:val="00F83E5B"/>
    <w:rsid w:val="00F848F1"/>
    <w:rsid w:val="00F85014"/>
    <w:rsid w:val="00F863C9"/>
    <w:rsid w:val="00F867EF"/>
    <w:rsid w:val="00F87CF1"/>
    <w:rsid w:val="00F87F76"/>
    <w:rsid w:val="00F90B26"/>
    <w:rsid w:val="00F91D5C"/>
    <w:rsid w:val="00F922AC"/>
    <w:rsid w:val="00F92525"/>
    <w:rsid w:val="00F92DFA"/>
    <w:rsid w:val="00F93992"/>
    <w:rsid w:val="00F93F06"/>
    <w:rsid w:val="00F93F21"/>
    <w:rsid w:val="00F95307"/>
    <w:rsid w:val="00F95350"/>
    <w:rsid w:val="00F9558D"/>
    <w:rsid w:val="00F95854"/>
    <w:rsid w:val="00F95ED0"/>
    <w:rsid w:val="00F95FEC"/>
    <w:rsid w:val="00F9604B"/>
    <w:rsid w:val="00F960EA"/>
    <w:rsid w:val="00F960F9"/>
    <w:rsid w:val="00F962B5"/>
    <w:rsid w:val="00F96FAD"/>
    <w:rsid w:val="00FA0411"/>
    <w:rsid w:val="00FA12F3"/>
    <w:rsid w:val="00FA17D1"/>
    <w:rsid w:val="00FA268B"/>
    <w:rsid w:val="00FA2B71"/>
    <w:rsid w:val="00FA35D0"/>
    <w:rsid w:val="00FA463C"/>
    <w:rsid w:val="00FA4739"/>
    <w:rsid w:val="00FA4DE6"/>
    <w:rsid w:val="00FA5543"/>
    <w:rsid w:val="00FA563D"/>
    <w:rsid w:val="00FA6232"/>
    <w:rsid w:val="00FA62A8"/>
    <w:rsid w:val="00FA68D4"/>
    <w:rsid w:val="00FA792F"/>
    <w:rsid w:val="00FB05A6"/>
    <w:rsid w:val="00FB0A6A"/>
    <w:rsid w:val="00FB20A7"/>
    <w:rsid w:val="00FB246F"/>
    <w:rsid w:val="00FB4428"/>
    <w:rsid w:val="00FB529A"/>
    <w:rsid w:val="00FB5D9D"/>
    <w:rsid w:val="00FB6BBB"/>
    <w:rsid w:val="00FB6CFC"/>
    <w:rsid w:val="00FB7702"/>
    <w:rsid w:val="00FB7704"/>
    <w:rsid w:val="00FC1704"/>
    <w:rsid w:val="00FC3493"/>
    <w:rsid w:val="00FC3B35"/>
    <w:rsid w:val="00FC3E74"/>
    <w:rsid w:val="00FC4305"/>
    <w:rsid w:val="00FC4685"/>
    <w:rsid w:val="00FC53C9"/>
    <w:rsid w:val="00FC5729"/>
    <w:rsid w:val="00FC5F74"/>
    <w:rsid w:val="00FC7962"/>
    <w:rsid w:val="00FC7F37"/>
    <w:rsid w:val="00FD0041"/>
    <w:rsid w:val="00FD054C"/>
    <w:rsid w:val="00FD0EB0"/>
    <w:rsid w:val="00FD1258"/>
    <w:rsid w:val="00FD12FD"/>
    <w:rsid w:val="00FD16C0"/>
    <w:rsid w:val="00FD2173"/>
    <w:rsid w:val="00FD242F"/>
    <w:rsid w:val="00FD4694"/>
    <w:rsid w:val="00FD4A9C"/>
    <w:rsid w:val="00FD504E"/>
    <w:rsid w:val="00FD58E4"/>
    <w:rsid w:val="00FD59F6"/>
    <w:rsid w:val="00FD6755"/>
    <w:rsid w:val="00FD711F"/>
    <w:rsid w:val="00FD74A8"/>
    <w:rsid w:val="00FD79A3"/>
    <w:rsid w:val="00FE0636"/>
    <w:rsid w:val="00FE078F"/>
    <w:rsid w:val="00FE124F"/>
    <w:rsid w:val="00FE198D"/>
    <w:rsid w:val="00FE230E"/>
    <w:rsid w:val="00FE2571"/>
    <w:rsid w:val="00FE2957"/>
    <w:rsid w:val="00FE3B69"/>
    <w:rsid w:val="00FE49FC"/>
    <w:rsid w:val="00FE5310"/>
    <w:rsid w:val="00FE6018"/>
    <w:rsid w:val="00FE631F"/>
    <w:rsid w:val="00FE660C"/>
    <w:rsid w:val="00FE6AC7"/>
    <w:rsid w:val="00FF016F"/>
    <w:rsid w:val="00FF0690"/>
    <w:rsid w:val="00FF0877"/>
    <w:rsid w:val="00FF0C2C"/>
    <w:rsid w:val="00FF1DC8"/>
    <w:rsid w:val="00FF1DD3"/>
    <w:rsid w:val="00FF1ED1"/>
    <w:rsid w:val="00FF3235"/>
    <w:rsid w:val="00FF384F"/>
    <w:rsid w:val="00FF4B73"/>
    <w:rsid w:val="00FF5508"/>
    <w:rsid w:val="00FF5D31"/>
    <w:rsid w:val="00FF670C"/>
    <w:rsid w:val="00FF6EE9"/>
    <w:rsid w:val="00FF7B1B"/>
    <w:rsid w:val="00FF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43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D01219B26DCE52F50AB4CE19FAD6FA182CE78F0E090687BA11463B449C07AACBA88122FA59DE5m329N" TargetMode="External"/><Relationship Id="rId13" Type="http://schemas.openxmlformats.org/officeDocument/2006/relationships/hyperlink" Target="consultantplus://offline/ref=407D01219B26DCE52F50AB4CE19FAD6FA185CB7BFCE390687BA11463B449C07AACBA88122FA49DE3m327N" TargetMode="External"/><Relationship Id="rId18" Type="http://schemas.openxmlformats.org/officeDocument/2006/relationships/hyperlink" Target="consultantplus://offline/ref=407D01219B26DCE52F50AB4CE19FAD6FA183CB7FF7E290687BA11463B449C07AACBA88122FA49DE2m327N" TargetMode="External"/><Relationship Id="rId26" Type="http://schemas.openxmlformats.org/officeDocument/2006/relationships/hyperlink" Target="consultantplus://offline/ref=407D01219B26DCE52F50AB4CE19FAD6FA187CF7EFCE490687BA11463B449C07AACBA88122FA49DE3m328N" TargetMode="External"/><Relationship Id="rId3" Type="http://schemas.openxmlformats.org/officeDocument/2006/relationships/webSettings" Target="webSettings.xml"/><Relationship Id="rId21" Type="http://schemas.openxmlformats.org/officeDocument/2006/relationships/hyperlink" Target="consultantplus://offline/ref=407D01219B26DCE52F50AB4CE19FAD6FA183CB7FF7E290687BA11463B449C07AACBA88122FA49DE2m327N" TargetMode="External"/><Relationship Id="rId7" Type="http://schemas.openxmlformats.org/officeDocument/2006/relationships/hyperlink" Target="consultantplus://offline/ref=407D01219B26DCE52F50AB4CE19FAD6FA182CE78F0E090687BA11463B449C07AACBA88122FA498E2m32EN" TargetMode="External"/><Relationship Id="rId12" Type="http://schemas.openxmlformats.org/officeDocument/2006/relationships/hyperlink" Target="consultantplus://offline/ref=407D01219B26DCE52F50AB4CE19FAD6FA187C873F7E790687BA11463B449C07AACBA88122FA49DE2m32AN" TargetMode="External"/><Relationship Id="rId17" Type="http://schemas.openxmlformats.org/officeDocument/2006/relationships/hyperlink" Target="consultantplus://offline/ref=407D01219B26DCE52F50AB4CE19FAD6FA183CB7FF7E290687BA11463B449C07AACBA88122FA49DE2m329N" TargetMode="External"/><Relationship Id="rId25" Type="http://schemas.openxmlformats.org/officeDocument/2006/relationships/hyperlink" Target="consultantplus://offline/ref=407D01219B26DCE52F50AB4CE19FAD6FA187CF7EFCE490687BA11463B449C07AACBA88122FA49DE3m328N" TargetMode="External"/><Relationship Id="rId2" Type="http://schemas.openxmlformats.org/officeDocument/2006/relationships/settings" Target="settings.xml"/><Relationship Id="rId16" Type="http://schemas.openxmlformats.org/officeDocument/2006/relationships/hyperlink" Target="consultantplus://offline/ref=407D01219B26DCE52F50AB4CE19FAD6FA183CB7FF7E290687BA11463B449C07AACBA88122FA49DE2m32BN" TargetMode="External"/><Relationship Id="rId20" Type="http://schemas.openxmlformats.org/officeDocument/2006/relationships/hyperlink" Target="consultantplus://offline/ref=407D01219B26DCE52F50AB4CE19FAD6FA183CB7FF7E290687BA11463B449C07AACBA88122FA49DE2m327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7D01219B26DCE52F50AB4CE19FAD6FA183CB7FF7E290687BA11463B449C07AACBA88122FA49DE3m328N" TargetMode="External"/><Relationship Id="rId11" Type="http://schemas.openxmlformats.org/officeDocument/2006/relationships/hyperlink" Target="consultantplus://offline/ref=407D01219B26DCE52F50AB4CE19FAD6FA182CE78F0E090687BA11463B449C07AACBA88122FA59EE0m32DN" TargetMode="External"/><Relationship Id="rId24" Type="http://schemas.openxmlformats.org/officeDocument/2006/relationships/hyperlink" Target="consultantplus://offline/ref=407D01219B26DCE52F50AB4CE19FAD6FA185CB7BFCE390687BA11463B449C07AACBA88122FA49DE1m32EN" TargetMode="External"/><Relationship Id="rId5" Type="http://schemas.openxmlformats.org/officeDocument/2006/relationships/hyperlink" Target="consultantplus://offline/ref=407D01219B26DCE52F50AB4CE19FAD6FA185CB7BFCE390687BA11463B449C07AACBA88122FA49DE3m328N" TargetMode="External"/><Relationship Id="rId15" Type="http://schemas.openxmlformats.org/officeDocument/2006/relationships/hyperlink" Target="consultantplus://offline/ref=407D01219B26DCE52F50AB4CE19FAD6FA183CB7FF7E290687BA11463B449C07AACBA88122FA49DE2m32EN" TargetMode="External"/><Relationship Id="rId23" Type="http://schemas.openxmlformats.org/officeDocument/2006/relationships/hyperlink" Target="consultantplus://offline/ref=407D01219B26DCE52F50AB4CE19FAD6FA185CB7BFCE390687BA11463B449C07AACBA88122FA49DE2m326N" TargetMode="External"/><Relationship Id="rId28" Type="http://schemas.openxmlformats.org/officeDocument/2006/relationships/fontTable" Target="fontTable.xml"/><Relationship Id="rId10" Type="http://schemas.openxmlformats.org/officeDocument/2006/relationships/hyperlink" Target="consultantplus://offline/ref=407D01219B26DCE52F50AB4CE19FAD6FA182CE78F0E090687BA11463B449C07AACBA88122FA59EE3m327N" TargetMode="External"/><Relationship Id="rId19" Type="http://schemas.openxmlformats.org/officeDocument/2006/relationships/hyperlink" Target="consultantplus://offline/ref=407D01219B26DCE52F50AB4CE19FAD6FA183CB7FF7E290687BA11463B449C07AACBA88122FA49DE2m327N" TargetMode="External"/><Relationship Id="rId4" Type="http://schemas.openxmlformats.org/officeDocument/2006/relationships/hyperlink" Target="consultantplus://offline/ref=407D01219B26DCE52F50AB4CE19FAD6FA187CF7EFCE490687BA11463B449C07AACBA88122FA49DE3m328N" TargetMode="External"/><Relationship Id="rId9" Type="http://schemas.openxmlformats.org/officeDocument/2006/relationships/hyperlink" Target="consultantplus://offline/ref=407D01219B26DCE52F50AB4CE19FAD6FA182CE78F0E090687BA11463B449C07AACBA88122FA498E1m32EN" TargetMode="External"/><Relationship Id="rId14" Type="http://schemas.openxmlformats.org/officeDocument/2006/relationships/hyperlink" Target="consultantplus://offline/ref=407D01219B26DCE52F50AB4CE19FAD6FA183CB7FF7E290687BA11463B449C07AACBA88122FA49DE3m327N" TargetMode="External"/><Relationship Id="rId22" Type="http://schemas.openxmlformats.org/officeDocument/2006/relationships/hyperlink" Target="consultantplus://offline/ref=407D01219B26DCE52F50AB4CE19FAD6FA183CB7FF7E290687BA11463B449C07AACBA88122FA49DE2m327N" TargetMode="External"/><Relationship Id="rId27" Type="http://schemas.openxmlformats.org/officeDocument/2006/relationships/hyperlink" Target="consultantplus://offline/ref=407D01219B26DCE52F50AB4CE19FAD6FA185CA7DF2E490687BA11463B449C07AACBA88122FA49DE2m32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5141</Words>
  <Characters>29307</Characters>
  <Application>Microsoft Office Word</Application>
  <DocSecurity>0</DocSecurity>
  <Lines>244</Lines>
  <Paragraphs>68</Paragraphs>
  <ScaleCrop>false</ScaleCrop>
  <Company/>
  <LinksUpToDate>false</LinksUpToDate>
  <CharactersWithSpaces>34380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gordienkoei</dc:creator>
  <cp:keywords/>
  <dc:description/>
  <cp:lastModifiedBy/>
  <cp:revision>1</cp:revision>
  <dcterms:created xsi:type="dcterms:W3CDTF">2013-10-31T13:54:00Z</dcterms:created>
</cp:coreProperties>
</file>