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88" w:rsidRDefault="00056088" w:rsidP="00056088"/>
    <w:tbl>
      <w:tblPr>
        <w:tblW w:w="0" w:type="auto"/>
        <w:tblLook w:val="01E0" w:firstRow="1" w:lastRow="1" w:firstColumn="1" w:lastColumn="1" w:noHBand="0" w:noVBand="0"/>
      </w:tblPr>
      <w:tblGrid>
        <w:gridCol w:w="4281"/>
        <w:gridCol w:w="414"/>
        <w:gridCol w:w="4659"/>
      </w:tblGrid>
      <w:tr w:rsidR="00056088" w:rsidRPr="00DB5E2A" w:rsidTr="001666EA">
        <w:tc>
          <w:tcPr>
            <w:tcW w:w="9570" w:type="dxa"/>
            <w:gridSpan w:val="3"/>
            <w:shd w:val="clear" w:color="auto" w:fill="auto"/>
          </w:tcPr>
          <w:p w:rsidR="00056088" w:rsidRPr="00DB5E2A" w:rsidRDefault="00056088" w:rsidP="001666E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DB5E2A">
              <w:rPr>
                <w:rFonts w:ascii="Tahoma" w:hAnsi="Tahoma" w:cs="Tahoma"/>
                <w:b/>
                <w:sz w:val="22"/>
                <w:szCs w:val="22"/>
              </w:rPr>
              <w:t>Участникам торгов</w:t>
            </w:r>
          </w:p>
          <w:p w:rsidR="00056088" w:rsidRPr="00DB5E2A" w:rsidRDefault="00056088" w:rsidP="001666E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B5E2A">
              <w:rPr>
                <w:rFonts w:ascii="Tahoma" w:hAnsi="Tahoma" w:cs="Tahoma"/>
                <w:b/>
                <w:sz w:val="22"/>
                <w:szCs w:val="22"/>
              </w:rPr>
              <w:t xml:space="preserve">  ПАО Московская Биржа</w:t>
            </w:r>
          </w:p>
          <w:p w:rsidR="00056088" w:rsidRPr="00DB5E2A" w:rsidRDefault="00056088" w:rsidP="001666EA">
            <w:pPr>
              <w:overflowPunct w:val="0"/>
              <w:autoSpaceDE w:val="0"/>
              <w:autoSpaceDN w:val="0"/>
              <w:adjustRightInd w:val="0"/>
              <w:spacing w:after="10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056088" w:rsidRPr="00DB5E2A" w:rsidRDefault="00056088" w:rsidP="001666EA">
            <w:pPr>
              <w:overflowPunct w:val="0"/>
              <w:autoSpaceDE w:val="0"/>
              <w:autoSpaceDN w:val="0"/>
              <w:adjustRightInd w:val="0"/>
              <w:spacing w:after="10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056088" w:rsidRPr="00DB5E2A" w:rsidRDefault="00056088" w:rsidP="001666EA">
            <w:pPr>
              <w:overflowPunct w:val="0"/>
              <w:autoSpaceDE w:val="0"/>
              <w:autoSpaceDN w:val="0"/>
              <w:adjustRightInd w:val="0"/>
              <w:spacing w:after="10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056088" w:rsidRPr="00DB5E2A" w:rsidRDefault="00056088" w:rsidP="001666EA">
            <w:pPr>
              <w:overflowPunct w:val="0"/>
              <w:autoSpaceDE w:val="0"/>
              <w:autoSpaceDN w:val="0"/>
              <w:adjustRightInd w:val="0"/>
              <w:spacing w:after="10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138"/>
            </w:tblGrid>
            <w:tr w:rsidR="00056088" w:rsidRPr="00DB5E2A" w:rsidTr="001666EA">
              <w:tc>
                <w:tcPr>
                  <w:tcW w:w="9571" w:type="dxa"/>
                  <w:shd w:val="clear" w:color="auto" w:fill="auto"/>
                </w:tcPr>
                <w:p w:rsidR="00056088" w:rsidRPr="00DB5E2A" w:rsidRDefault="00056088" w:rsidP="001666EA">
                  <w:pPr>
                    <w:jc w:val="center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056088" w:rsidRPr="00DB5E2A" w:rsidRDefault="00056088" w:rsidP="001666EA">
            <w:pPr>
              <w:overflowPunct w:val="0"/>
              <w:autoSpaceDE w:val="0"/>
              <w:autoSpaceDN w:val="0"/>
              <w:adjustRightInd w:val="0"/>
              <w:spacing w:after="10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056088" w:rsidRPr="002A65E8" w:rsidTr="001666EA">
        <w:tc>
          <w:tcPr>
            <w:tcW w:w="4785" w:type="dxa"/>
            <w:gridSpan w:val="2"/>
            <w:shd w:val="clear" w:color="auto" w:fill="auto"/>
          </w:tcPr>
          <w:p w:rsidR="00056088" w:rsidRPr="002A65E8" w:rsidRDefault="00056088" w:rsidP="001666EA">
            <w:pPr>
              <w:overflowPunct w:val="0"/>
              <w:autoSpaceDE w:val="0"/>
              <w:autoSpaceDN w:val="0"/>
              <w:adjustRightInd w:val="0"/>
              <w:spacing w:before="100" w:after="1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056088" w:rsidRPr="002A65E8" w:rsidRDefault="00056088" w:rsidP="001666EA">
            <w:pPr>
              <w:overflowPunct w:val="0"/>
              <w:autoSpaceDE w:val="0"/>
              <w:autoSpaceDN w:val="0"/>
              <w:adjustRightInd w:val="0"/>
              <w:spacing w:before="100" w:after="10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56088" w:rsidRPr="002A65E8" w:rsidTr="001666EA">
        <w:tc>
          <w:tcPr>
            <w:tcW w:w="9570" w:type="dxa"/>
            <w:gridSpan w:val="3"/>
            <w:shd w:val="clear" w:color="auto" w:fill="auto"/>
          </w:tcPr>
          <w:p w:rsidR="00056088" w:rsidRPr="002A65E8" w:rsidRDefault="00056088" w:rsidP="001666EA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56088" w:rsidRPr="002A65E8" w:rsidTr="001666EA">
        <w:trPr>
          <w:trHeight w:val="1080"/>
        </w:trPr>
        <w:tc>
          <w:tcPr>
            <w:tcW w:w="4361" w:type="dxa"/>
            <w:shd w:val="clear" w:color="auto" w:fill="auto"/>
          </w:tcPr>
          <w:p w:rsidR="00056088" w:rsidRDefault="00056088" w:rsidP="001666EA">
            <w:pPr>
              <w:overflowPunct w:val="0"/>
              <w:autoSpaceDE w:val="0"/>
              <w:autoSpaceDN w:val="0"/>
              <w:adjustRightInd w:val="0"/>
              <w:spacing w:before="100" w:after="100"/>
              <w:ind w:right="969"/>
              <w:rPr>
                <w:sz w:val="22"/>
                <w:szCs w:val="22"/>
              </w:rPr>
            </w:pPr>
          </w:p>
          <w:p w:rsidR="00056088" w:rsidRPr="002A65E8" w:rsidRDefault="00056088" w:rsidP="001666EA">
            <w:pPr>
              <w:overflowPunct w:val="0"/>
              <w:autoSpaceDE w:val="0"/>
              <w:autoSpaceDN w:val="0"/>
              <w:adjustRightInd w:val="0"/>
              <w:spacing w:before="100" w:after="100"/>
              <w:ind w:right="969"/>
              <w:rPr>
                <w:sz w:val="22"/>
                <w:szCs w:val="22"/>
              </w:rPr>
            </w:pPr>
          </w:p>
        </w:tc>
        <w:tc>
          <w:tcPr>
            <w:tcW w:w="5209" w:type="dxa"/>
            <w:gridSpan w:val="2"/>
            <w:shd w:val="clear" w:color="auto" w:fill="auto"/>
          </w:tcPr>
          <w:p w:rsidR="00056088" w:rsidRPr="002A65E8" w:rsidRDefault="00056088" w:rsidP="001666EA">
            <w:pPr>
              <w:overflowPunct w:val="0"/>
              <w:autoSpaceDE w:val="0"/>
              <w:autoSpaceDN w:val="0"/>
              <w:adjustRightInd w:val="0"/>
              <w:spacing w:before="100" w:after="100"/>
              <w:rPr>
                <w:b/>
                <w:bCs/>
                <w:sz w:val="22"/>
                <w:szCs w:val="22"/>
              </w:rPr>
            </w:pPr>
          </w:p>
        </w:tc>
      </w:tr>
    </w:tbl>
    <w:p w:rsidR="00056088" w:rsidRPr="009120C5" w:rsidRDefault="00056088" w:rsidP="004A6524">
      <w:pPr>
        <w:jc w:val="both"/>
        <w:rPr>
          <w:rFonts w:ascii="Tahoma" w:hAnsi="Tahoma" w:cs="Tahoma"/>
          <w:iCs/>
        </w:rPr>
      </w:pPr>
      <w:r w:rsidRPr="002A65E8">
        <w:rPr>
          <w:bCs/>
          <w:sz w:val="22"/>
          <w:szCs w:val="22"/>
        </w:rPr>
        <w:tab/>
      </w:r>
    </w:p>
    <w:p w:rsidR="00056088" w:rsidRDefault="00056088" w:rsidP="00056088">
      <w:pPr>
        <w:rPr>
          <w:rFonts w:ascii="Tahoma" w:hAnsi="Tahoma" w:cs="Tahoma"/>
          <w:sz w:val="22"/>
          <w:szCs w:val="22"/>
        </w:rPr>
      </w:pPr>
    </w:p>
    <w:p w:rsidR="00056088" w:rsidRDefault="00056088" w:rsidP="00056088">
      <w:pPr>
        <w:rPr>
          <w:rFonts w:ascii="Tahoma" w:hAnsi="Tahoma" w:cs="Tahoma"/>
          <w:sz w:val="22"/>
          <w:szCs w:val="22"/>
        </w:rPr>
      </w:pPr>
    </w:p>
    <w:p w:rsidR="00395924" w:rsidRPr="00E573CC" w:rsidRDefault="004A6524" w:rsidP="00395924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E573CC">
        <w:rPr>
          <w:rFonts w:ascii="Tahoma" w:hAnsi="Tahoma" w:cs="Tahoma"/>
          <w:bCs/>
          <w:color w:val="000000" w:themeColor="text1"/>
          <w:sz w:val="22"/>
          <w:szCs w:val="22"/>
        </w:rPr>
        <w:t xml:space="preserve">      </w:t>
      </w:r>
      <w:r w:rsidR="00395924" w:rsidRPr="00E573CC">
        <w:rPr>
          <w:rFonts w:ascii="Tahoma" w:hAnsi="Tahoma" w:cs="Tahoma"/>
          <w:bCs/>
          <w:color w:val="000000" w:themeColor="text1"/>
          <w:sz w:val="22"/>
          <w:szCs w:val="22"/>
        </w:rPr>
        <w:t>Информируем Вас о том, что в</w:t>
      </w:r>
      <w:r w:rsidR="00395924" w:rsidRPr="00E573CC">
        <w:rPr>
          <w:rFonts w:ascii="Tahoma" w:hAnsi="Tahoma" w:cs="Tahoma"/>
          <w:color w:val="000000" w:themeColor="text1"/>
          <w:sz w:val="22"/>
          <w:szCs w:val="22"/>
        </w:rPr>
        <w:t xml:space="preserve"> соответствии с </w:t>
      </w:r>
      <w:r w:rsidR="00395924" w:rsidRPr="00E573CC">
        <w:rPr>
          <w:rFonts w:ascii="Tahoma" w:hAnsi="Tahoma" w:cs="Tahoma"/>
          <w:bCs/>
          <w:color w:val="000000" w:themeColor="text1"/>
          <w:sz w:val="22"/>
          <w:szCs w:val="22"/>
        </w:rPr>
        <w:t xml:space="preserve"> </w:t>
      </w:r>
      <w:r w:rsidR="00395924" w:rsidRPr="00E573CC">
        <w:rPr>
          <w:rFonts w:ascii="Tahoma" w:hAnsi="Tahoma" w:cs="Tahoma"/>
          <w:color w:val="000000" w:themeColor="text1"/>
          <w:sz w:val="22"/>
          <w:szCs w:val="22"/>
        </w:rPr>
        <w:t xml:space="preserve">пунктом 1.7.3 Подраздела 1.7 «Шаг цены, шаг Ставки РЕПО и процентной ставки» </w:t>
      </w:r>
      <w:r w:rsidR="00395924" w:rsidRPr="00E573CC">
        <w:rPr>
          <w:rFonts w:ascii="Tahoma" w:hAnsi="Tahoma" w:cs="Tahoma"/>
          <w:bCs/>
          <w:color w:val="000000" w:themeColor="text1"/>
          <w:sz w:val="22"/>
          <w:szCs w:val="22"/>
        </w:rPr>
        <w:t xml:space="preserve">Части I Правил проведения торгов на фондовом рынке и рынке депозитов Публичного акционерного общества «Московская Биржа ММВБ-РТС», утвержденных Наблюдательным </w:t>
      </w:r>
      <w:r w:rsidR="00E573CC" w:rsidRPr="00E573CC">
        <w:rPr>
          <w:rFonts w:ascii="Tahoma" w:hAnsi="Tahoma" w:cs="Tahoma"/>
          <w:bCs/>
          <w:color w:val="000000" w:themeColor="text1"/>
          <w:sz w:val="22"/>
          <w:szCs w:val="22"/>
        </w:rPr>
        <w:t>с</w:t>
      </w:r>
      <w:r w:rsidR="00395924" w:rsidRPr="00E573CC">
        <w:rPr>
          <w:rFonts w:ascii="Tahoma" w:hAnsi="Tahoma" w:cs="Tahoma"/>
          <w:bCs/>
          <w:color w:val="000000" w:themeColor="text1"/>
          <w:sz w:val="22"/>
          <w:szCs w:val="22"/>
        </w:rPr>
        <w:t xml:space="preserve">оветом ПАО Московская Биржа 31 мая 2019 года (Протокол №3), с 22 октября 2019 года </w:t>
      </w:r>
      <w:r w:rsidR="00395924" w:rsidRPr="00E573CC">
        <w:rPr>
          <w:rFonts w:ascii="Tahoma" w:hAnsi="Tahoma" w:cs="Tahoma"/>
          <w:color w:val="000000" w:themeColor="text1"/>
          <w:sz w:val="22"/>
          <w:szCs w:val="22"/>
        </w:rPr>
        <w:t xml:space="preserve">для акций обыкновенных Публичного акционерного общества "ГЛОБАЛТРАК МЕНЕДЖМЕНТ" (ISIN - RU000A0ZYD22, торговый код </w:t>
      </w:r>
      <w:r w:rsidR="00E573CC" w:rsidRPr="00E573CC">
        <w:rPr>
          <w:rFonts w:ascii="Tahoma" w:hAnsi="Tahoma" w:cs="Tahoma"/>
          <w:color w:val="000000" w:themeColor="text1"/>
          <w:sz w:val="22"/>
          <w:szCs w:val="22"/>
        </w:rPr>
        <w:t>–</w:t>
      </w:r>
      <w:r w:rsidR="00395924" w:rsidRPr="00E573CC">
        <w:rPr>
          <w:rFonts w:ascii="Tahoma" w:hAnsi="Tahoma" w:cs="Tahoma"/>
          <w:color w:val="000000" w:themeColor="text1"/>
          <w:sz w:val="22"/>
          <w:szCs w:val="22"/>
        </w:rPr>
        <w:t xml:space="preserve"> GTRK</w:t>
      </w:r>
      <w:r w:rsidR="00E573CC" w:rsidRPr="00E573CC">
        <w:rPr>
          <w:rFonts w:ascii="Tahoma" w:hAnsi="Tahoma" w:cs="Tahoma"/>
          <w:color w:val="000000" w:themeColor="text1"/>
          <w:sz w:val="22"/>
          <w:szCs w:val="22"/>
        </w:rPr>
        <w:t>)</w:t>
      </w:r>
      <w:r w:rsidR="00395924" w:rsidRPr="00E573CC">
        <w:rPr>
          <w:rFonts w:ascii="Tahoma" w:hAnsi="Tahoma" w:cs="Tahoma"/>
          <w:color w:val="000000" w:themeColor="text1"/>
          <w:sz w:val="22"/>
          <w:szCs w:val="22"/>
        </w:rPr>
        <w:t xml:space="preserve"> установлен размер величины шага цены, выраженной в российских рублях, равный 0,05 руб. в следующих режимах торгов:</w:t>
      </w:r>
    </w:p>
    <w:p w:rsidR="00395924" w:rsidRPr="00E573CC" w:rsidRDefault="00395924" w:rsidP="00395924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ahoma" w:hAnsi="Tahoma" w:cs="Tahoma"/>
          <w:color w:val="000000" w:themeColor="text1"/>
          <w:sz w:val="22"/>
          <w:szCs w:val="22"/>
        </w:rPr>
      </w:pPr>
      <w:r w:rsidRPr="00E573CC">
        <w:rPr>
          <w:rFonts w:ascii="Tahoma" w:hAnsi="Tahoma" w:cs="Tahoma"/>
          <w:color w:val="000000" w:themeColor="text1"/>
          <w:sz w:val="22"/>
          <w:szCs w:val="22"/>
        </w:rPr>
        <w:t>Режим основных торгов Т+ (</w:t>
      </w:r>
      <w:r w:rsidR="00E573CC" w:rsidRPr="00E573CC">
        <w:rPr>
          <w:rFonts w:ascii="Tahoma" w:hAnsi="Tahoma" w:cs="Tahoma"/>
          <w:color w:val="000000" w:themeColor="text1"/>
          <w:sz w:val="22"/>
          <w:szCs w:val="22"/>
        </w:rPr>
        <w:t>"</w:t>
      </w:r>
      <w:r w:rsidRPr="00E573CC">
        <w:rPr>
          <w:rFonts w:ascii="Tahoma" w:hAnsi="Tahoma" w:cs="Tahoma"/>
          <w:color w:val="000000" w:themeColor="text1"/>
          <w:sz w:val="22"/>
          <w:szCs w:val="22"/>
        </w:rPr>
        <w:t>стакан</w:t>
      </w:r>
      <w:r w:rsidR="00E573CC" w:rsidRPr="00E573CC">
        <w:rPr>
          <w:rFonts w:ascii="Tahoma" w:hAnsi="Tahoma" w:cs="Tahoma"/>
          <w:color w:val="000000" w:themeColor="text1"/>
          <w:sz w:val="22"/>
          <w:szCs w:val="22"/>
        </w:rPr>
        <w:t>"</w:t>
      </w:r>
      <w:r w:rsidRPr="00E573CC">
        <w:rPr>
          <w:rFonts w:ascii="Tahoma" w:hAnsi="Tahoma" w:cs="Tahoma"/>
          <w:color w:val="000000" w:themeColor="text1"/>
          <w:sz w:val="22"/>
          <w:szCs w:val="22"/>
        </w:rPr>
        <w:t xml:space="preserve"> Т+2);</w:t>
      </w:r>
    </w:p>
    <w:p w:rsidR="00395924" w:rsidRPr="00E573CC" w:rsidRDefault="00395924" w:rsidP="00395924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ahoma" w:hAnsi="Tahoma" w:cs="Tahoma"/>
          <w:color w:val="000000" w:themeColor="text1"/>
          <w:sz w:val="22"/>
          <w:szCs w:val="22"/>
        </w:rPr>
      </w:pPr>
      <w:r w:rsidRPr="00E573CC">
        <w:rPr>
          <w:rFonts w:ascii="Tahoma" w:hAnsi="Tahoma" w:cs="Tahoma"/>
          <w:color w:val="000000" w:themeColor="text1"/>
          <w:sz w:val="22"/>
          <w:szCs w:val="22"/>
        </w:rPr>
        <w:t>Режим торгов "Неполные лоты"</w:t>
      </w:r>
      <w:r w:rsidRPr="00E573CC">
        <w:rPr>
          <w:rFonts w:ascii="Tahoma" w:hAnsi="Tahoma" w:cs="Tahoma"/>
          <w:color w:val="000000" w:themeColor="text1"/>
          <w:sz w:val="22"/>
          <w:szCs w:val="22"/>
          <w:lang w:val="en-US"/>
        </w:rPr>
        <w:t>;</w:t>
      </w:r>
    </w:p>
    <w:p w:rsidR="00395924" w:rsidRPr="00E573CC" w:rsidRDefault="00395924" w:rsidP="00395924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ahoma" w:hAnsi="Tahoma" w:cs="Tahoma"/>
          <w:color w:val="000000" w:themeColor="text1"/>
          <w:sz w:val="22"/>
          <w:szCs w:val="22"/>
        </w:rPr>
      </w:pPr>
      <w:r w:rsidRPr="00E573CC">
        <w:rPr>
          <w:rFonts w:ascii="Tahoma" w:hAnsi="Tahoma" w:cs="Tahoma"/>
          <w:color w:val="000000" w:themeColor="text1"/>
          <w:sz w:val="22"/>
          <w:szCs w:val="22"/>
        </w:rPr>
        <w:t>Режим переговорных сделок (РПС)</w:t>
      </w:r>
      <w:r w:rsidRPr="00E573CC">
        <w:rPr>
          <w:rFonts w:ascii="Tahoma" w:hAnsi="Tahoma" w:cs="Tahoma"/>
          <w:color w:val="000000" w:themeColor="text1"/>
          <w:sz w:val="22"/>
          <w:szCs w:val="22"/>
          <w:lang w:val="en-US"/>
        </w:rPr>
        <w:t>;</w:t>
      </w:r>
    </w:p>
    <w:p w:rsidR="00395924" w:rsidRPr="00E573CC" w:rsidRDefault="00395924" w:rsidP="00395924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ahoma" w:hAnsi="Tahoma" w:cs="Tahoma"/>
          <w:color w:val="000000" w:themeColor="text1"/>
          <w:sz w:val="22"/>
          <w:szCs w:val="22"/>
        </w:rPr>
      </w:pPr>
      <w:r w:rsidRPr="00E573CC">
        <w:rPr>
          <w:rFonts w:ascii="Tahoma" w:hAnsi="Tahoma" w:cs="Tahoma"/>
          <w:color w:val="000000" w:themeColor="text1"/>
          <w:sz w:val="22"/>
          <w:szCs w:val="22"/>
        </w:rPr>
        <w:t>Режим торгов "РПС с ЦК".</w:t>
      </w:r>
    </w:p>
    <w:p w:rsidR="00056088" w:rsidRPr="00395924" w:rsidRDefault="00056088" w:rsidP="00395924">
      <w:pPr>
        <w:jc w:val="both"/>
        <w:rPr>
          <w:rFonts w:ascii="Tahoma" w:hAnsi="Tahoma" w:cs="Tahoma"/>
          <w:sz w:val="22"/>
          <w:szCs w:val="22"/>
        </w:rPr>
      </w:pPr>
    </w:p>
    <w:p w:rsidR="00056088" w:rsidRPr="00395924" w:rsidRDefault="00056088" w:rsidP="00056088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3406B3" w:rsidRDefault="003406B3"/>
    <w:sectPr w:rsidR="003406B3" w:rsidSect="00BB01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2" w:right="851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8B6" w:rsidRDefault="003B2E0E">
      <w:r>
        <w:separator/>
      </w:r>
    </w:p>
  </w:endnote>
  <w:endnote w:type="continuationSeparator" w:id="0">
    <w:p w:rsidR="00A258B6" w:rsidRDefault="003B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AF" w:rsidRDefault="00E573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AF" w:rsidRDefault="00E573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AF" w:rsidRDefault="00E573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8B6" w:rsidRDefault="003B2E0E">
      <w:r>
        <w:separator/>
      </w:r>
    </w:p>
  </w:footnote>
  <w:footnote w:type="continuationSeparator" w:id="0">
    <w:p w:rsidR="00A258B6" w:rsidRDefault="003B2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AF" w:rsidRDefault="00E573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AF" w:rsidRDefault="00E573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AF" w:rsidRDefault="00E573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14BF"/>
    <w:multiLevelType w:val="hybridMultilevel"/>
    <w:tmpl w:val="EF1240A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59E86352"/>
    <w:multiLevelType w:val="hybridMultilevel"/>
    <w:tmpl w:val="227085F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88"/>
    <w:rsid w:val="00056088"/>
    <w:rsid w:val="00197045"/>
    <w:rsid w:val="00283351"/>
    <w:rsid w:val="00333F49"/>
    <w:rsid w:val="003406B3"/>
    <w:rsid w:val="00373FE3"/>
    <w:rsid w:val="00395924"/>
    <w:rsid w:val="003B2E0E"/>
    <w:rsid w:val="004A6524"/>
    <w:rsid w:val="006945B1"/>
    <w:rsid w:val="00730821"/>
    <w:rsid w:val="00815847"/>
    <w:rsid w:val="00886C24"/>
    <w:rsid w:val="009120C5"/>
    <w:rsid w:val="00A258B6"/>
    <w:rsid w:val="00AF5AF3"/>
    <w:rsid w:val="00B41536"/>
    <w:rsid w:val="00B739C5"/>
    <w:rsid w:val="00B76DB9"/>
    <w:rsid w:val="00B85DC2"/>
    <w:rsid w:val="00BD1B5E"/>
    <w:rsid w:val="00C340DA"/>
    <w:rsid w:val="00D668FA"/>
    <w:rsid w:val="00E4091E"/>
    <w:rsid w:val="00E573CC"/>
    <w:rsid w:val="00F1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608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0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560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6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056088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056088"/>
    <w:rPr>
      <w:rFonts w:ascii="Times New Roman" w:eastAsia="Times New Roman" w:hAnsi="Times New Roman" w:cs="Times New Roman"/>
      <w:lang w:eastAsia="ru-RU"/>
    </w:rPr>
  </w:style>
  <w:style w:type="paragraph" w:customStyle="1" w:styleId="Iauiue">
    <w:name w:val="Iau?iue"/>
    <w:rsid w:val="00056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5AF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5AF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aliases w:val="AvtalBr,Bodytext,bt"/>
    <w:basedOn w:val="a"/>
    <w:link w:val="ac"/>
    <w:rsid w:val="004A652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c">
    <w:name w:val="Основной текст Знак"/>
    <w:aliases w:val="AvtalBr Знак,Bodytext Знак,bt Знак"/>
    <w:basedOn w:val="a0"/>
    <w:link w:val="ab"/>
    <w:rsid w:val="004A652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2019-10-21T13:30:00Z</dcterms:created>
  <dcterms:modified xsi:type="dcterms:W3CDTF">2019-10-21T13:37:00Z</dcterms:modified>
</cp:coreProperties>
</file>