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95" w:rsidRPr="001D0C95" w:rsidRDefault="001D0C95" w:rsidP="001D0C95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u-RU"/>
        </w:rPr>
      </w:pPr>
      <w:bookmarkStart w:id="0" w:name="_GoBack"/>
      <w:bookmarkEnd w:id="0"/>
      <w:r w:rsidRPr="001D0C95">
        <w:rPr>
          <w:rFonts w:ascii="Tahoma" w:eastAsia="Times New Roman" w:hAnsi="Tahoma" w:cs="Tahoma"/>
          <w:b/>
          <w:lang w:eastAsia="ru-RU"/>
        </w:rPr>
        <w:t>Индексы корпоративных Облигаций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bookmarkStart w:id="1" w:name="_Hlk124855105"/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Валюта выпуска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Дюрация</w:t>
            </w: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 xml:space="preserve"> (</w:t>
            </w: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лет)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Уровень рейтинга*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Рейтинговые агентства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Способ расчета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База расчета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Периодичность расчета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Начальное значение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начала расчета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31.12.2002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31.12.2002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RUCBTR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&lt; …</w:t>
            </w:r>
            <w:proofErr w:type="gramEnd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134,73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RUCBCP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&lt; …</w:t>
            </w:r>
            <w:proofErr w:type="gramEnd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101,84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RUCBTR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 </w:t>
            </w:r>
            <w:proofErr w:type="gramStart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&lt; …</w:t>
            </w:r>
            <w:proofErr w:type="gramEnd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134,73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RUCBCP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 </w:t>
            </w:r>
            <w:proofErr w:type="gramStart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&lt; …</w:t>
            </w:r>
            <w:proofErr w:type="gramEnd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101,84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 ≤ … &lt;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194,45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 ≤ … &lt;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194,45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194,45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 ≤ … &lt;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192,67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 ≤ … &lt;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94,92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192,67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94,92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192,67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94,92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RUCBITRBB5Y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 &lt; …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225,88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RUCBICPBB5Y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 &lt; …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112,86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RUCBITRBBB5Y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 &lt; …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225,88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RUCBICPBBB5Y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 &lt; …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112,86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194,45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194,45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lastRenderedPageBreak/>
              <w:t>RUCBITR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225,88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112,86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bookmarkEnd w:id="1"/>
    </w:tbl>
    <w:p w:rsidR="001D0C95" w:rsidRPr="001D0C95" w:rsidRDefault="001D0C95" w:rsidP="001D0C9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1D0C95" w:rsidRPr="001D0C95" w:rsidRDefault="001D0C95" w:rsidP="001D0C95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1D0C95">
        <w:rPr>
          <w:rFonts w:ascii="Tahoma" w:eastAsia="Times New Roman" w:hAnsi="Tahoma" w:cs="Tahoma"/>
          <w:b/>
          <w:lang w:eastAsia="ru-RU"/>
        </w:rPr>
        <w:t>Индексы муниципальных Облигаций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Валюта выпуска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Дюрация</w:t>
            </w: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 xml:space="preserve"> (</w:t>
            </w: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лет)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Уровень рейтинга*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Рейтинговые агентства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Способ расчета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База расчета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Периодичность расчета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Начальное значение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начала расчета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RUMBITR3+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RUMBICP3+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RUMBITRBBB3+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RUMBICPBBB3+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RUMBITRBBB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RUMBICPBBB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RUMBITRBBB3Y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RUMBICPBBB3Y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</w:tbl>
    <w:p w:rsidR="005D2665" w:rsidRDefault="00073264" w:rsidP="001D0C95">
      <w:pPr>
        <w:spacing w:after="0" w:line="240" w:lineRule="auto"/>
        <w:jc w:val="center"/>
      </w:pPr>
    </w:p>
    <w:sectPr w:rsidR="005D2665" w:rsidSect="001D0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910A79"/>
    <w:multiLevelType w:val="hybridMultilevel"/>
    <w:tmpl w:val="F8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5"/>
  </w:num>
  <w:num w:numId="11">
    <w:abstractNumId w:val="15"/>
  </w:num>
  <w:num w:numId="12">
    <w:abstractNumId w:val="34"/>
  </w:num>
  <w:num w:numId="13">
    <w:abstractNumId w:val="32"/>
  </w:num>
  <w:num w:numId="14">
    <w:abstractNumId w:val="6"/>
  </w:num>
  <w:num w:numId="15">
    <w:abstractNumId w:val="7"/>
  </w:num>
  <w:num w:numId="16">
    <w:abstractNumId w:val="42"/>
  </w:num>
  <w:num w:numId="17">
    <w:abstractNumId w:val="37"/>
  </w:num>
  <w:num w:numId="18">
    <w:abstractNumId w:val="1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2"/>
  </w:num>
  <w:num w:numId="24">
    <w:abstractNumId w:val="4"/>
  </w:num>
  <w:num w:numId="25">
    <w:abstractNumId w:val="18"/>
  </w:num>
  <w:num w:numId="26">
    <w:abstractNumId w:val="16"/>
  </w:num>
  <w:num w:numId="27">
    <w:abstractNumId w:val="41"/>
  </w:num>
  <w:num w:numId="28">
    <w:abstractNumId w:val="27"/>
  </w:num>
  <w:num w:numId="29">
    <w:abstractNumId w:val="36"/>
  </w:num>
  <w:num w:numId="30">
    <w:abstractNumId w:val="24"/>
  </w:num>
  <w:num w:numId="31">
    <w:abstractNumId w:val="25"/>
  </w:num>
  <w:num w:numId="32">
    <w:abstractNumId w:val="14"/>
  </w:num>
  <w:num w:numId="33">
    <w:abstractNumId w:val="22"/>
  </w:num>
  <w:num w:numId="34">
    <w:abstractNumId w:val="8"/>
  </w:num>
  <w:num w:numId="35">
    <w:abstractNumId w:val="21"/>
  </w:num>
  <w:num w:numId="36">
    <w:abstractNumId w:val="30"/>
  </w:num>
  <w:num w:numId="37">
    <w:abstractNumId w:val="33"/>
  </w:num>
  <w:num w:numId="38">
    <w:abstractNumId w:val="1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9"/>
  </w:num>
  <w:num w:numId="42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3">
    <w:abstractNumId w:val="5"/>
  </w:num>
  <w:num w:numId="44">
    <w:abstractNumId w:val="11"/>
  </w:num>
  <w:num w:numId="45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cs="Times New Roman" w:hint="default"/>
          <w:b/>
          <w:sz w:val="20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95"/>
    <w:rsid w:val="00073264"/>
    <w:rsid w:val="001D0C95"/>
    <w:rsid w:val="006520F2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5CE57D-52E9-4608-B9D2-B93185D7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aliases w:val="Уровень 1"/>
    <w:basedOn w:val="a"/>
    <w:next w:val="a"/>
    <w:link w:val="11"/>
    <w:qFormat/>
    <w:rsid w:val="001D0C95"/>
    <w:pPr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Уровень 1 Знак"/>
    <w:basedOn w:val="a0"/>
    <w:link w:val="10"/>
    <w:rsid w:val="001D0C9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1D0C95"/>
  </w:style>
  <w:style w:type="paragraph" w:styleId="30">
    <w:name w:val="Body Text 3"/>
    <w:basedOn w:val="a"/>
    <w:link w:val="31"/>
    <w:rsid w:val="001D0C95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1D0C9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D0C9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0C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5">
    <w:name w:val="Table Grid"/>
    <w:basedOn w:val="a1"/>
    <w:uiPriority w:val="59"/>
    <w:rsid w:val="001D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1D0C95"/>
    <w:rPr>
      <w:rFonts w:cs="Times New Roman"/>
      <w:b/>
      <w:bCs/>
    </w:rPr>
  </w:style>
  <w:style w:type="paragraph" w:customStyle="1" w:styleId="txt">
    <w:name w:val="txt"/>
    <w:basedOn w:val="a"/>
    <w:rsid w:val="001D0C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Hyperlink"/>
    <w:uiPriority w:val="99"/>
    <w:rsid w:val="001D0C95"/>
    <w:rPr>
      <w:rFonts w:cs="Times New Roman"/>
      <w:color w:val="0000FF"/>
      <w:u w:val="single"/>
    </w:rPr>
  </w:style>
  <w:style w:type="paragraph" w:customStyle="1" w:styleId="Point">
    <w:name w:val="Point"/>
    <w:rsid w:val="001D0C95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1D0C95"/>
    <w:pPr>
      <w:numPr>
        <w:ilvl w:val="4"/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1">
    <w:name w:val="Title 1"/>
    <w:rsid w:val="001D0C95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1D0C95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1D0C95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1D0C95"/>
    <w:pPr>
      <w:numPr>
        <w:ilvl w:val="5"/>
        <w:numId w:val="5"/>
      </w:numPr>
      <w:autoSpaceDE w:val="0"/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1D0C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D0C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1D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D0C95"/>
    <w:rPr>
      <w:rFonts w:cs="Times New Roman"/>
    </w:rPr>
  </w:style>
  <w:style w:type="paragraph" w:styleId="ad">
    <w:name w:val="header"/>
    <w:basedOn w:val="a"/>
    <w:link w:val="ae"/>
    <w:rsid w:val="001D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1D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Рецензия1"/>
    <w:hidden/>
    <w:semiHidden/>
    <w:rsid w:val="001D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1D0C95"/>
    <w:pPr>
      <w:tabs>
        <w:tab w:val="num" w:pos="360"/>
      </w:tabs>
      <w:spacing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Iauiue">
    <w:name w:val="Iau?iue"/>
    <w:rsid w:val="001D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annotation reference"/>
    <w:rsid w:val="001D0C9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1D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1D0C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rsid w:val="001D0C95"/>
    <w:rPr>
      <w:b/>
      <w:bCs/>
    </w:rPr>
  </w:style>
  <w:style w:type="character" w:customStyle="1" w:styleId="af3">
    <w:name w:val="Тема примечания Знак"/>
    <w:basedOn w:val="af1"/>
    <w:link w:val="af2"/>
    <w:rsid w:val="001D0C9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">
    <w:name w:val="Стиль1"/>
    <w:rsid w:val="001D0C95"/>
    <w:pPr>
      <w:numPr>
        <w:numId w:val="14"/>
      </w:numPr>
    </w:pPr>
  </w:style>
  <w:style w:type="character" w:styleId="af4">
    <w:name w:val="FollowedHyperlink"/>
    <w:rsid w:val="001D0C95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rsid w:val="001D0C95"/>
    <w:pPr>
      <w:widowControl w:val="0"/>
      <w:tabs>
        <w:tab w:val="left" w:pos="480"/>
        <w:tab w:val="right" w:leader="dot" w:pos="9344"/>
      </w:tabs>
      <w:spacing w:before="120" w:after="120" w:line="240" w:lineRule="auto"/>
      <w:ind w:left="68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1D0C9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1D0C95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1D0C95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1D0C9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0">
    <w:name w:val="toc 6"/>
    <w:basedOn w:val="a"/>
    <w:next w:val="a"/>
    <w:autoRedefine/>
    <w:semiHidden/>
    <w:rsid w:val="001D0C95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1D0C95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1D0C95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1D0C95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Стиль6"/>
    <w:link w:val="61"/>
    <w:rsid w:val="001D0C95"/>
    <w:pPr>
      <w:numPr>
        <w:ilvl w:val="1"/>
        <w:numId w:val="24"/>
      </w:numPr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61">
    <w:name w:val="Стиль6 Знак"/>
    <w:link w:val="6"/>
    <w:locked/>
    <w:rsid w:val="001D0C95"/>
    <w:rPr>
      <w:rFonts w:ascii="Arial" w:eastAsia="Times New Roman" w:hAnsi="Arial" w:cs="Times New Roman"/>
      <w:lang w:eastAsia="ru-RU"/>
    </w:rPr>
  </w:style>
  <w:style w:type="paragraph" w:customStyle="1" w:styleId="15">
    <w:name w:val="Обычный1"/>
    <w:rsid w:val="001D0C9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">
    <w:name w:val="pr"/>
    <w:basedOn w:val="a"/>
    <w:rsid w:val="001D0C95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 w:cs="Times New Roman"/>
      <w:color w:val="001F4B"/>
      <w:sz w:val="20"/>
      <w:szCs w:val="20"/>
      <w:lang w:eastAsia="ru-RU"/>
    </w:rPr>
  </w:style>
  <w:style w:type="numbering" w:styleId="111111">
    <w:name w:val="Outline List 2"/>
    <w:rsid w:val="001D0C95"/>
    <w:pPr>
      <w:numPr>
        <w:numId w:val="29"/>
      </w:numPr>
    </w:pPr>
  </w:style>
  <w:style w:type="paragraph" w:customStyle="1" w:styleId="20">
    <w:name w:val="Обычный2"/>
    <w:rsid w:val="001D0C9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1D0C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0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aliases w:val="Глава 3"/>
    <w:qFormat/>
    <w:rsid w:val="001D0C95"/>
    <w:rPr>
      <w:rFonts w:ascii="Arial" w:hAnsi="Arial" w:cs="Arial"/>
      <w:sz w:val="20"/>
      <w:szCs w:val="20"/>
    </w:rPr>
  </w:style>
  <w:style w:type="paragraph" w:styleId="af7">
    <w:name w:val="Revision"/>
    <w:hidden/>
    <w:uiPriority w:val="99"/>
    <w:semiHidden/>
    <w:rsid w:val="001D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Стиль3"/>
    <w:uiPriority w:val="99"/>
    <w:rsid w:val="001D0C95"/>
    <w:pPr>
      <w:numPr>
        <w:numId w:val="40"/>
      </w:numPr>
    </w:pPr>
  </w:style>
  <w:style w:type="paragraph" w:styleId="af8">
    <w:name w:val="Title"/>
    <w:aliases w:val="Уровень 2"/>
    <w:basedOn w:val="2"/>
    <w:next w:val="a"/>
    <w:link w:val="af9"/>
    <w:qFormat/>
    <w:rsid w:val="001D0C95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9">
    <w:name w:val="Заголовок Знак"/>
    <w:aliases w:val="Уровень 2 Знак"/>
    <w:basedOn w:val="a0"/>
    <w:link w:val="af8"/>
    <w:rsid w:val="001D0C95"/>
    <w:rPr>
      <w:rFonts w:ascii="Tahoma" w:eastAsia="Times New Roman" w:hAnsi="Tahoma" w:cs="Arial"/>
      <w:b/>
      <w:sz w:val="20"/>
      <w:szCs w:val="20"/>
      <w:lang w:eastAsia="ru-RU"/>
    </w:rPr>
  </w:style>
  <w:style w:type="paragraph" w:customStyle="1" w:styleId="33">
    <w:name w:val="Уровень 3"/>
    <w:basedOn w:val="a"/>
    <w:link w:val="34"/>
    <w:qFormat/>
    <w:rsid w:val="001D0C95"/>
    <w:pPr>
      <w:spacing w:after="0" w:line="240" w:lineRule="auto"/>
      <w:ind w:left="1077" w:hanging="793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40">
    <w:name w:val="Уровень 4"/>
    <w:basedOn w:val="a"/>
    <w:qFormat/>
    <w:rsid w:val="001D0C95"/>
    <w:pPr>
      <w:tabs>
        <w:tab w:val="left" w:pos="1701"/>
      </w:tabs>
      <w:spacing w:after="0" w:line="240" w:lineRule="auto"/>
      <w:ind w:left="1701" w:hanging="1134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34">
    <w:name w:val="Уровень 3 Знак"/>
    <w:link w:val="33"/>
    <w:rsid w:val="001D0C95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16">
    <w:name w:val="Уровень Выделение 1"/>
    <w:basedOn w:val="a"/>
    <w:link w:val="17"/>
    <w:qFormat/>
    <w:rsid w:val="001D0C95"/>
    <w:pPr>
      <w:spacing w:after="0" w:line="240" w:lineRule="auto"/>
      <w:ind w:left="1701" w:hanging="397"/>
      <w:jc w:val="both"/>
    </w:pPr>
    <w:rPr>
      <w:rFonts w:ascii="Tahoma" w:eastAsia="Times New Roman" w:hAnsi="Tahoma" w:cs="Arial"/>
      <w:sz w:val="20"/>
      <w:szCs w:val="20"/>
      <w:lang w:eastAsia="ru-RU"/>
    </w:rPr>
  </w:style>
  <w:style w:type="character" w:customStyle="1" w:styleId="17">
    <w:name w:val="Уровень Выделение 1 Знак"/>
    <w:link w:val="16"/>
    <w:rsid w:val="001D0C95"/>
    <w:rPr>
      <w:rFonts w:ascii="Tahoma" w:eastAsia="Times New Roman" w:hAnsi="Tahoma" w:cs="Arial"/>
      <w:sz w:val="20"/>
      <w:szCs w:val="20"/>
      <w:lang w:eastAsia="ru-RU"/>
    </w:rPr>
  </w:style>
  <w:style w:type="paragraph" w:customStyle="1" w:styleId="21">
    <w:name w:val="Уровень Выделение 2"/>
    <w:basedOn w:val="a"/>
    <w:qFormat/>
    <w:rsid w:val="001D0C95"/>
    <w:pPr>
      <w:spacing w:after="0" w:line="240" w:lineRule="auto"/>
      <w:ind w:left="1814" w:hanging="340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50">
    <w:name w:val="Уровень 5"/>
    <w:basedOn w:val="a"/>
    <w:qFormat/>
    <w:rsid w:val="001D0C95"/>
    <w:pPr>
      <w:spacing w:after="0" w:line="240" w:lineRule="auto"/>
      <w:ind w:left="3240" w:hanging="1080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Уровень Формул текст"/>
    <w:basedOn w:val="a"/>
    <w:link w:val="afb"/>
    <w:qFormat/>
    <w:rsid w:val="001D0C95"/>
    <w:pPr>
      <w:spacing w:after="120" w:line="240" w:lineRule="auto"/>
      <w:ind w:left="1559"/>
      <w:contextualSpacing/>
      <w:jc w:val="both"/>
    </w:pPr>
    <w:rPr>
      <w:rFonts w:ascii="Tahoma" w:eastAsia="Times New Roman" w:hAnsi="Tahoma" w:cs="Arial"/>
      <w:sz w:val="20"/>
      <w:szCs w:val="20"/>
      <w:lang w:eastAsia="ru-RU"/>
    </w:rPr>
  </w:style>
  <w:style w:type="character" w:customStyle="1" w:styleId="afb">
    <w:name w:val="Уровень Формул текст Знак"/>
    <w:link w:val="afa"/>
    <w:rsid w:val="001D0C95"/>
    <w:rPr>
      <w:rFonts w:ascii="Tahoma" w:eastAsia="Times New Roman" w:hAnsi="Tahoma" w:cs="Arial"/>
      <w:sz w:val="20"/>
      <w:szCs w:val="20"/>
      <w:lang w:eastAsia="ru-RU"/>
    </w:rPr>
  </w:style>
  <w:style w:type="paragraph" w:customStyle="1" w:styleId="afc">
    <w:name w:val="Уровень Формул"/>
    <w:basedOn w:val="a"/>
    <w:link w:val="afd"/>
    <w:qFormat/>
    <w:rsid w:val="001D0C95"/>
    <w:pPr>
      <w:spacing w:before="240" w:after="240" w:line="240" w:lineRule="auto"/>
      <w:jc w:val="both"/>
    </w:pPr>
    <w:rPr>
      <w:rFonts w:ascii="Cambria Math" w:eastAsia="Times New Roman" w:hAnsi="Cambria Math" w:cs="Arial"/>
      <w:i/>
      <w:sz w:val="24"/>
      <w:szCs w:val="20"/>
      <w:lang w:val="en-US" w:eastAsia="ru-RU"/>
    </w:rPr>
  </w:style>
  <w:style w:type="character" w:customStyle="1" w:styleId="afd">
    <w:name w:val="Уровень Формул Знак"/>
    <w:link w:val="afc"/>
    <w:rsid w:val="001D0C95"/>
    <w:rPr>
      <w:rFonts w:ascii="Cambria Math" w:eastAsia="Times New Roman" w:hAnsi="Cambria Math" w:cs="Arial"/>
      <w:i/>
      <w:sz w:val="24"/>
      <w:szCs w:val="20"/>
      <w:lang w:val="en-US" w:eastAsia="ru-RU"/>
    </w:rPr>
  </w:style>
  <w:style w:type="paragraph" w:styleId="afe">
    <w:name w:val="footnote text"/>
    <w:basedOn w:val="a"/>
    <w:link w:val="aff"/>
    <w:rsid w:val="001D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1D0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rsid w:val="001D0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2</cp:revision>
  <dcterms:created xsi:type="dcterms:W3CDTF">2023-05-22T11:56:00Z</dcterms:created>
  <dcterms:modified xsi:type="dcterms:W3CDTF">2023-05-22T11:56:00Z</dcterms:modified>
</cp:coreProperties>
</file>