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45" w:rsidRPr="00EF2476" w:rsidRDefault="00423645" w:rsidP="00423645">
      <w:pPr>
        <w:pStyle w:val="a3"/>
        <w:spacing w:after="0" w:line="240" w:lineRule="auto"/>
        <w:ind w:left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М</w:t>
      </w:r>
      <w:r w:rsidRPr="00EF2476">
        <w:rPr>
          <w:rFonts w:ascii="Tahoma" w:hAnsi="Tahoma" w:cs="Tahoma"/>
          <w:b/>
        </w:rPr>
        <w:t>етодика расчета индексов вина</w:t>
      </w:r>
      <w:bookmarkStart w:id="0" w:name="_GoBack"/>
      <w:bookmarkEnd w:id="0"/>
    </w:p>
    <w:p w:rsidR="00423645" w:rsidRPr="00822A68" w:rsidRDefault="00423645" w:rsidP="00423645">
      <w:pPr>
        <w:pStyle w:val="1"/>
        <w:numPr>
          <w:ilvl w:val="0"/>
          <w:numId w:val="2"/>
        </w:numPr>
        <w:spacing w:before="0" w:after="0"/>
        <w:ind w:left="993"/>
        <w:rPr>
          <w:rFonts w:ascii="Tahoma" w:hAnsi="Tahoma" w:cs="Tahoma"/>
          <w:sz w:val="22"/>
          <w:szCs w:val="22"/>
        </w:rPr>
      </w:pPr>
      <w:bookmarkStart w:id="1" w:name="_Toc2682660"/>
      <w:r w:rsidRPr="00822A68">
        <w:rPr>
          <w:rFonts w:ascii="Tahoma" w:hAnsi="Tahoma" w:cs="Tahoma"/>
          <w:sz w:val="22"/>
          <w:szCs w:val="22"/>
        </w:rPr>
        <w:t>Введение</w:t>
      </w:r>
      <w:bookmarkEnd w:id="1"/>
    </w:p>
    <w:p w:rsidR="00423645" w:rsidRPr="00822A68" w:rsidRDefault="00423645" w:rsidP="00423645">
      <w:pPr>
        <w:pStyle w:val="aa"/>
        <w:numPr>
          <w:ilvl w:val="1"/>
          <w:numId w:val="2"/>
        </w:numPr>
        <w:tabs>
          <w:tab w:val="clear" w:pos="1026"/>
        </w:tabs>
        <w:ind w:left="1701" w:hanging="708"/>
        <w:rPr>
          <w:rFonts w:cs="Tahoma"/>
        </w:rPr>
      </w:pPr>
      <w:bookmarkStart w:id="2" w:name="_Toc2682661"/>
      <w:bookmarkStart w:id="3" w:name="_Toc488065462"/>
      <w:bookmarkStart w:id="4" w:name="_Toc463443749"/>
      <w:bookmarkStart w:id="5" w:name="_Toc433902895"/>
      <w:bookmarkStart w:id="6" w:name="_Toc438206979"/>
      <w:bookmarkStart w:id="7" w:name="_Toc438206759"/>
      <w:bookmarkStart w:id="8" w:name="_Toc438206723"/>
      <w:bookmarkStart w:id="9" w:name="_Toc424122347"/>
      <w:r w:rsidRPr="00822A68">
        <w:rPr>
          <w:rFonts w:cs="Tahoma"/>
        </w:rPr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3645" w:rsidRPr="00822A68" w:rsidRDefault="00423645" w:rsidP="00423645">
      <w:pPr>
        <w:pStyle w:val="33"/>
        <w:numPr>
          <w:ilvl w:val="2"/>
          <w:numId w:val="2"/>
        </w:numPr>
        <w:ind w:left="1985" w:hanging="708"/>
        <w:rPr>
          <w:rStyle w:val="a8"/>
          <w:rFonts w:cs="Tahoma"/>
          <w:szCs w:val="22"/>
        </w:rPr>
      </w:pPr>
      <w:bookmarkStart w:id="10" w:name="_Ref424309154"/>
      <w:r w:rsidRPr="00822A68">
        <w:rPr>
          <w:rStyle w:val="a8"/>
          <w:rFonts w:cs="Tahoma"/>
          <w:szCs w:val="22"/>
        </w:rPr>
        <w:t>В целях настоящей Методики расчета индексов вина (далее – Методика) применяются следующие термины и определения:</w:t>
      </w:r>
      <w:bookmarkEnd w:id="10"/>
    </w:p>
    <w:p w:rsidR="00423645" w:rsidRPr="00822A68" w:rsidRDefault="00423645" w:rsidP="00423645">
      <w:pPr>
        <w:pStyle w:val="13"/>
        <w:numPr>
          <w:ilvl w:val="4"/>
          <w:numId w:val="2"/>
        </w:numPr>
        <w:ind w:left="1985" w:hanging="708"/>
        <w:rPr>
          <w:rStyle w:val="a8"/>
          <w:rFonts w:cs="Tahoma"/>
        </w:rPr>
      </w:pPr>
      <w:r w:rsidRPr="00822A68">
        <w:rPr>
          <w:rStyle w:val="a8"/>
          <w:rFonts w:cs="Tahoma"/>
        </w:rPr>
        <w:t>Биржа, ПАО Московская Биржа - Публичное акционерное общество «Московская Биржа ММВБ-РТС».</w:t>
      </w:r>
    </w:p>
    <w:p w:rsidR="00423645" w:rsidRPr="00822A68" w:rsidRDefault="00423645" w:rsidP="00423645">
      <w:pPr>
        <w:pStyle w:val="13"/>
        <w:numPr>
          <w:ilvl w:val="4"/>
          <w:numId w:val="2"/>
        </w:numPr>
        <w:ind w:left="1985" w:hanging="708"/>
        <w:rPr>
          <w:rStyle w:val="a8"/>
          <w:rFonts w:cs="Tahoma"/>
        </w:rPr>
      </w:pPr>
      <w:r w:rsidRPr="00822A68">
        <w:rPr>
          <w:rStyle w:val="a8"/>
          <w:rFonts w:cs="Tahoma"/>
        </w:rPr>
        <w:t>РБК - АКЦИОНЕРНОЕ ОБЩЕСТВО «РОСБИЗНЕСКОНСАЛТИНГ» (ИНН 7737008974, ОГРН 1027700316159).</w:t>
      </w:r>
    </w:p>
    <w:p w:rsidR="00423645" w:rsidRPr="00822A68" w:rsidRDefault="00423645" w:rsidP="00423645">
      <w:pPr>
        <w:numPr>
          <w:ilvl w:val="4"/>
          <w:numId w:val="2"/>
        </w:numPr>
        <w:spacing w:after="0" w:line="240" w:lineRule="auto"/>
        <w:ind w:left="1985" w:hanging="708"/>
        <w:jc w:val="both"/>
        <w:rPr>
          <w:rStyle w:val="a8"/>
          <w:rFonts w:ascii="Tahoma" w:hAnsi="Tahoma" w:cs="Tahoma"/>
        </w:rPr>
      </w:pPr>
      <w:r w:rsidRPr="00822A68">
        <w:rPr>
          <w:rStyle w:val="a8"/>
          <w:rFonts w:ascii="Tahoma" w:hAnsi="Tahoma" w:cs="Tahoma"/>
        </w:rPr>
        <w:t>Поставщик данных – АО «ТОРГОВЫЙ ДОМ «ПЕРЕКРЕСТОК» (ИНН 7728029110, ОГРН 1027700034493), являющийся поставщиком данных о розничных ценах и объемах реализации вина в собственной розничной сети.</w:t>
      </w:r>
    </w:p>
    <w:p w:rsidR="00423645" w:rsidRPr="00822A68" w:rsidRDefault="00423645" w:rsidP="00423645">
      <w:pPr>
        <w:numPr>
          <w:ilvl w:val="4"/>
          <w:numId w:val="2"/>
        </w:numPr>
        <w:spacing w:after="0" w:line="240" w:lineRule="auto"/>
        <w:ind w:left="1985" w:hanging="708"/>
        <w:jc w:val="both"/>
        <w:rPr>
          <w:rStyle w:val="a8"/>
          <w:rFonts w:ascii="Tahoma" w:hAnsi="Tahoma" w:cs="Tahoma"/>
        </w:rPr>
      </w:pPr>
      <w:r w:rsidRPr="00822A68">
        <w:rPr>
          <w:rStyle w:val="a8"/>
          <w:rFonts w:ascii="Tahoma" w:hAnsi="Tahoma" w:cs="Tahoma"/>
        </w:rPr>
        <w:t>Категория вина – вид вина с определенным набором характеристик. Для расчета Индексов используются следующие категории вина: вино тихое красное, вино крепленое красное, вино тихое белое, вино крепленое белое, вино игристое красное, вино игристое белое, вино игристое розовое.</w:t>
      </w:r>
    </w:p>
    <w:p w:rsidR="00423645" w:rsidRPr="00822A68" w:rsidRDefault="00423645" w:rsidP="00423645">
      <w:pPr>
        <w:pStyle w:val="13"/>
        <w:numPr>
          <w:ilvl w:val="4"/>
          <w:numId w:val="2"/>
        </w:numPr>
        <w:ind w:left="1985" w:hanging="708"/>
        <w:rPr>
          <w:rStyle w:val="a8"/>
          <w:rFonts w:cs="Tahoma"/>
        </w:rPr>
      </w:pPr>
      <w:r w:rsidRPr="00822A68">
        <w:rPr>
          <w:rStyle w:val="a8"/>
          <w:rFonts w:cs="Tahoma"/>
        </w:rPr>
        <w:t>ЕСУ (SKU) – Единица складского учета, уникальная товарная позиция вина в системе учета Поставщика данных.</w:t>
      </w:r>
    </w:p>
    <w:p w:rsidR="00423645" w:rsidRPr="00822A68" w:rsidRDefault="00423645" w:rsidP="00423645">
      <w:pPr>
        <w:pStyle w:val="13"/>
        <w:numPr>
          <w:ilvl w:val="4"/>
          <w:numId w:val="2"/>
        </w:numPr>
        <w:ind w:left="1985" w:hanging="708"/>
        <w:rPr>
          <w:rFonts w:cs="Tahoma"/>
        </w:rPr>
      </w:pPr>
      <w:r w:rsidRPr="00822A68">
        <w:rPr>
          <w:rStyle w:val="a8"/>
          <w:rFonts w:cs="Tahoma"/>
        </w:rPr>
        <w:t>Индекс – показатель, рассчитываемый Биржей на основании данных о розничных ценах и объемах реализации вина в розничной сети Поставщика данных, предоставляемых Поставщиком данных, и отражающий изменение стоимости одного литра вина определённой категории, выраженной в российских рублях</w:t>
      </w:r>
      <w:r w:rsidRPr="00822A68">
        <w:rPr>
          <w:rFonts w:cs="Tahoma"/>
        </w:rPr>
        <w:t>.</w:t>
      </w:r>
    </w:p>
    <w:p w:rsidR="00423645" w:rsidRPr="00822A68" w:rsidRDefault="00423645" w:rsidP="00423645">
      <w:pPr>
        <w:pStyle w:val="13"/>
        <w:numPr>
          <w:ilvl w:val="4"/>
          <w:numId w:val="2"/>
        </w:numPr>
        <w:ind w:left="1985" w:hanging="708"/>
        <w:rPr>
          <w:rStyle w:val="a8"/>
          <w:rFonts w:cs="Tahoma"/>
        </w:rPr>
      </w:pPr>
      <w:r w:rsidRPr="00822A68">
        <w:rPr>
          <w:rStyle w:val="a8"/>
          <w:rFonts w:cs="Tahoma"/>
        </w:rPr>
        <w:t>Ценовой сегмент – ценовой диапазон, к которому относится вино со схожими характеристиками. Для расчета индекса используются низкий, средний, высокий и премиальный ценовые сегменты. Информация о классификации ЕСУ по ценовым сегментам предоставляется Поставщиком данных.</w:t>
      </w:r>
    </w:p>
    <w:p w:rsidR="00423645" w:rsidRPr="00822A68" w:rsidRDefault="00423645" w:rsidP="00423645">
      <w:pPr>
        <w:pStyle w:val="33"/>
        <w:numPr>
          <w:ilvl w:val="2"/>
          <w:numId w:val="2"/>
        </w:numPr>
        <w:ind w:left="1985" w:hanging="708"/>
        <w:rPr>
          <w:rFonts w:eastAsia="Times New Roman" w:cs="Tahoma"/>
          <w:bCs/>
          <w:szCs w:val="22"/>
        </w:rPr>
      </w:pPr>
      <w:r w:rsidRPr="00822A68">
        <w:rPr>
          <w:rFonts w:eastAsia="Times New Roman" w:cs="Tahoma"/>
          <w:bCs/>
          <w:szCs w:val="22"/>
        </w:rPr>
        <w:t>Термины, специально не определенные в настоящей Методике, используются в значениях, установленных иными внутренними документами Биржи, а также законами и иными нормативными актами Банка России.</w:t>
      </w:r>
    </w:p>
    <w:p w:rsidR="00423645" w:rsidRPr="00822A68" w:rsidRDefault="00423645" w:rsidP="00423645">
      <w:pPr>
        <w:ind w:left="1701" w:hanging="708"/>
        <w:rPr>
          <w:rFonts w:ascii="Tahoma" w:hAnsi="Tahoma" w:cs="Tahoma"/>
        </w:rPr>
      </w:pPr>
    </w:p>
    <w:p w:rsidR="00423645" w:rsidRPr="00822A68" w:rsidRDefault="00423645" w:rsidP="00423645">
      <w:pPr>
        <w:pStyle w:val="aa"/>
        <w:numPr>
          <w:ilvl w:val="1"/>
          <w:numId w:val="2"/>
        </w:numPr>
        <w:tabs>
          <w:tab w:val="clear" w:pos="1026"/>
        </w:tabs>
        <w:ind w:left="1701" w:hanging="708"/>
        <w:rPr>
          <w:rStyle w:val="a8"/>
          <w:rFonts w:cs="Tahoma"/>
        </w:rPr>
      </w:pPr>
      <w:bookmarkStart w:id="11" w:name="_Toc2682662"/>
      <w:r w:rsidRPr="00822A68">
        <w:rPr>
          <w:rFonts w:cs="Tahoma"/>
        </w:rPr>
        <w:t>Общие положения</w:t>
      </w:r>
      <w:bookmarkEnd w:id="11"/>
    </w:p>
    <w:p w:rsidR="00423645" w:rsidRPr="00822A68" w:rsidRDefault="00423645" w:rsidP="00423645">
      <w:pPr>
        <w:pStyle w:val="33"/>
        <w:numPr>
          <w:ilvl w:val="2"/>
          <w:numId w:val="2"/>
        </w:numPr>
        <w:ind w:left="2127" w:hanging="708"/>
        <w:rPr>
          <w:rFonts w:cs="Tahoma"/>
          <w:szCs w:val="22"/>
        </w:rPr>
      </w:pPr>
      <w:r w:rsidRPr="00822A68">
        <w:rPr>
          <w:rFonts w:cs="Tahoma"/>
          <w:szCs w:val="22"/>
        </w:rPr>
        <w:t>В соответствии с Методикой Биржа рассчитывает следующие Индексы вина:</w:t>
      </w:r>
    </w:p>
    <w:p w:rsidR="00423645" w:rsidRPr="00822A68" w:rsidRDefault="00423645" w:rsidP="00423645">
      <w:pPr>
        <w:pStyle w:val="a6"/>
        <w:numPr>
          <w:ilvl w:val="3"/>
          <w:numId w:val="2"/>
        </w:numPr>
        <w:spacing w:after="0"/>
        <w:ind w:left="2127" w:hanging="708"/>
        <w:jc w:val="both"/>
        <w:rPr>
          <w:rFonts w:ascii="Tahoma" w:hAnsi="Tahoma" w:cs="Tahoma"/>
          <w:b w:val="0"/>
          <w:sz w:val="22"/>
          <w:szCs w:val="22"/>
        </w:rPr>
      </w:pPr>
      <w:r w:rsidRPr="00822A68">
        <w:rPr>
          <w:rFonts w:ascii="Tahoma" w:hAnsi="Tahoma" w:cs="Tahoma"/>
          <w:b w:val="0"/>
          <w:sz w:val="22"/>
          <w:szCs w:val="22"/>
        </w:rPr>
        <w:t>«Индекс РБК красного вина» – Индекс, рассчитываемый на основании данных о розничных ценах и объемах реализации вина следующих категорий: вино тихое красное, вино крепленое красное. Наименование Индекса на английском языке – «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RBC</w:t>
      </w:r>
      <w:r w:rsidRPr="00822A68">
        <w:rPr>
          <w:rFonts w:ascii="Tahoma" w:hAnsi="Tahoma" w:cs="Tahoma"/>
          <w:b w:val="0"/>
          <w:sz w:val="22"/>
          <w:szCs w:val="22"/>
        </w:rPr>
        <w:t xml:space="preserve"> 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Red</w:t>
      </w:r>
      <w:r w:rsidRPr="00822A68">
        <w:rPr>
          <w:rFonts w:ascii="Tahoma" w:hAnsi="Tahoma" w:cs="Tahoma"/>
          <w:b w:val="0"/>
          <w:sz w:val="22"/>
          <w:szCs w:val="22"/>
        </w:rPr>
        <w:t xml:space="preserve"> 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Wine</w:t>
      </w:r>
      <w:r w:rsidRPr="00822A68">
        <w:rPr>
          <w:rFonts w:ascii="Tahoma" w:hAnsi="Tahoma" w:cs="Tahoma"/>
          <w:b w:val="0"/>
          <w:sz w:val="22"/>
          <w:szCs w:val="22"/>
        </w:rPr>
        <w:t xml:space="preserve"> Index». Код Индекса – </w:t>
      </w:r>
      <w:bookmarkStart w:id="12" w:name="_Hlk190348745"/>
      <w:r w:rsidRPr="00822A68">
        <w:rPr>
          <w:rFonts w:ascii="Tahoma" w:hAnsi="Tahoma" w:cs="Tahoma"/>
          <w:b w:val="0"/>
          <w:sz w:val="22"/>
          <w:szCs w:val="22"/>
          <w:lang w:val="en-US"/>
        </w:rPr>
        <w:t>RBCRED</w:t>
      </w:r>
      <w:bookmarkEnd w:id="12"/>
      <w:r w:rsidRPr="00822A68">
        <w:rPr>
          <w:rFonts w:ascii="Tahoma" w:hAnsi="Tahoma" w:cs="Tahoma"/>
          <w:b w:val="0"/>
          <w:sz w:val="22"/>
          <w:szCs w:val="22"/>
        </w:rPr>
        <w:t>.</w:t>
      </w:r>
    </w:p>
    <w:p w:rsidR="00423645" w:rsidRPr="00822A68" w:rsidRDefault="00423645" w:rsidP="00423645">
      <w:pPr>
        <w:pStyle w:val="a6"/>
        <w:numPr>
          <w:ilvl w:val="3"/>
          <w:numId w:val="2"/>
        </w:numPr>
        <w:spacing w:after="0"/>
        <w:ind w:left="2127" w:hanging="708"/>
        <w:jc w:val="both"/>
        <w:rPr>
          <w:rFonts w:ascii="Tahoma" w:hAnsi="Tahoma" w:cs="Tahoma"/>
          <w:b w:val="0"/>
          <w:sz w:val="22"/>
          <w:szCs w:val="22"/>
        </w:rPr>
      </w:pPr>
      <w:r w:rsidRPr="00822A68">
        <w:rPr>
          <w:rFonts w:ascii="Tahoma" w:hAnsi="Tahoma" w:cs="Tahoma"/>
          <w:b w:val="0"/>
          <w:sz w:val="22"/>
          <w:szCs w:val="22"/>
        </w:rPr>
        <w:t xml:space="preserve">«Индекс РБК белого вина» – Индекс, рассчитываемый на основании данных о розничных ценах и объемах реализации вина следующих категорий: вино тихое белое, вино крепленое белое. Наименование Индекса на английском языке – «RBC 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White</w:t>
      </w:r>
      <w:r w:rsidRPr="00822A68">
        <w:rPr>
          <w:rFonts w:ascii="Tahoma" w:hAnsi="Tahoma" w:cs="Tahoma"/>
          <w:b w:val="0"/>
          <w:sz w:val="22"/>
          <w:szCs w:val="22"/>
        </w:rPr>
        <w:t xml:space="preserve"> Wine </w:t>
      </w:r>
      <w:proofErr w:type="spellStart"/>
      <w:r w:rsidRPr="00822A68">
        <w:rPr>
          <w:rFonts w:ascii="Tahoma" w:hAnsi="Tahoma" w:cs="Tahoma"/>
          <w:b w:val="0"/>
          <w:sz w:val="22"/>
          <w:szCs w:val="22"/>
        </w:rPr>
        <w:t>Index</w:t>
      </w:r>
      <w:proofErr w:type="spellEnd"/>
      <w:r w:rsidRPr="00822A68">
        <w:rPr>
          <w:rFonts w:ascii="Tahoma" w:hAnsi="Tahoma" w:cs="Tahoma"/>
          <w:b w:val="0"/>
          <w:sz w:val="22"/>
          <w:szCs w:val="22"/>
        </w:rPr>
        <w:t xml:space="preserve">». Код Индекса – </w:t>
      </w:r>
      <w:bookmarkStart w:id="13" w:name="_Hlk190348759"/>
      <w:r w:rsidRPr="00822A68">
        <w:rPr>
          <w:rFonts w:ascii="Tahoma" w:hAnsi="Tahoma" w:cs="Tahoma"/>
          <w:b w:val="0"/>
          <w:sz w:val="22"/>
          <w:szCs w:val="22"/>
          <w:lang w:val="en-US"/>
        </w:rPr>
        <w:t>RBCWHITE</w:t>
      </w:r>
      <w:bookmarkEnd w:id="13"/>
      <w:r w:rsidRPr="00822A68">
        <w:rPr>
          <w:rFonts w:ascii="Tahoma" w:hAnsi="Tahoma" w:cs="Tahoma"/>
          <w:b w:val="0"/>
          <w:sz w:val="22"/>
          <w:szCs w:val="22"/>
        </w:rPr>
        <w:t>.</w:t>
      </w:r>
    </w:p>
    <w:p w:rsidR="00423645" w:rsidRPr="00822A68" w:rsidRDefault="00423645" w:rsidP="00423645">
      <w:pPr>
        <w:pStyle w:val="a6"/>
        <w:numPr>
          <w:ilvl w:val="3"/>
          <w:numId w:val="2"/>
        </w:numPr>
        <w:spacing w:after="0"/>
        <w:ind w:left="2127" w:hanging="708"/>
        <w:jc w:val="both"/>
        <w:rPr>
          <w:rFonts w:ascii="Tahoma" w:hAnsi="Tahoma" w:cs="Tahoma"/>
          <w:b w:val="0"/>
          <w:sz w:val="22"/>
          <w:szCs w:val="22"/>
        </w:rPr>
      </w:pPr>
      <w:r w:rsidRPr="00822A68">
        <w:rPr>
          <w:rFonts w:ascii="Tahoma" w:hAnsi="Tahoma" w:cs="Tahoma"/>
          <w:b w:val="0"/>
          <w:sz w:val="22"/>
          <w:szCs w:val="22"/>
        </w:rPr>
        <w:t xml:space="preserve">«Индекс РБК игристого вина» – Индекс, рассчитываемый на основании данных о розничных ценах и объемах реализации вина следующих категорий: вино игристое красное, вино игристое белое, вино игристое розовое. Наименование Индекса на английском языке – «RBC 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Sparkling</w:t>
      </w:r>
      <w:r w:rsidRPr="00822A68">
        <w:rPr>
          <w:rFonts w:ascii="Tahoma" w:hAnsi="Tahoma" w:cs="Tahoma"/>
          <w:b w:val="0"/>
          <w:sz w:val="22"/>
          <w:szCs w:val="22"/>
        </w:rPr>
        <w:t xml:space="preserve"> </w:t>
      </w:r>
      <w:r w:rsidRPr="00822A68">
        <w:rPr>
          <w:rFonts w:ascii="Tahoma" w:hAnsi="Tahoma" w:cs="Tahoma"/>
          <w:b w:val="0"/>
          <w:sz w:val="22"/>
          <w:szCs w:val="22"/>
          <w:lang w:val="en-US"/>
        </w:rPr>
        <w:t>Wine</w:t>
      </w:r>
      <w:r w:rsidRPr="00822A68">
        <w:rPr>
          <w:rFonts w:ascii="Tahoma" w:hAnsi="Tahoma" w:cs="Tahoma"/>
          <w:b w:val="0"/>
          <w:sz w:val="22"/>
          <w:szCs w:val="22"/>
        </w:rPr>
        <w:t xml:space="preserve"> Index». Код Индекса – </w:t>
      </w:r>
      <w:bookmarkStart w:id="14" w:name="_Hlk190348773"/>
      <w:r w:rsidRPr="00822A68">
        <w:rPr>
          <w:rFonts w:ascii="Tahoma" w:hAnsi="Tahoma" w:cs="Tahoma"/>
          <w:b w:val="0"/>
          <w:sz w:val="22"/>
          <w:szCs w:val="22"/>
          <w:lang w:val="en-US"/>
        </w:rPr>
        <w:t>RBCSPARK</w:t>
      </w:r>
      <w:bookmarkEnd w:id="14"/>
      <w:r w:rsidRPr="00822A68">
        <w:rPr>
          <w:rFonts w:ascii="Tahoma" w:hAnsi="Tahoma" w:cs="Tahoma"/>
          <w:b w:val="0"/>
          <w:sz w:val="22"/>
          <w:szCs w:val="22"/>
        </w:rPr>
        <w:t>.</w:t>
      </w:r>
    </w:p>
    <w:p w:rsidR="00423645" w:rsidRPr="00822A68" w:rsidRDefault="00423645" w:rsidP="00423645">
      <w:pPr>
        <w:pStyle w:val="33"/>
        <w:numPr>
          <w:ilvl w:val="2"/>
          <w:numId w:val="2"/>
        </w:numPr>
        <w:ind w:left="2127" w:hanging="708"/>
        <w:rPr>
          <w:rFonts w:cs="Tahoma"/>
          <w:szCs w:val="22"/>
        </w:rPr>
      </w:pPr>
      <w:r w:rsidRPr="00822A68">
        <w:rPr>
          <w:rFonts w:cs="Tahoma"/>
          <w:szCs w:val="22"/>
        </w:rPr>
        <w:t>Внесение изменений и дополнений в Методику осуществляется по инициативе РБК по согласованию с Биржей (калькулирующий агент).</w:t>
      </w:r>
    </w:p>
    <w:p w:rsidR="00423645" w:rsidRPr="00822A68" w:rsidRDefault="00423645" w:rsidP="00423645">
      <w:pPr>
        <w:pStyle w:val="33"/>
        <w:ind w:left="1701" w:hanging="708"/>
        <w:rPr>
          <w:rFonts w:cs="Tahoma"/>
          <w:szCs w:val="22"/>
        </w:rPr>
      </w:pPr>
    </w:p>
    <w:p w:rsidR="00423645" w:rsidRPr="00822A68" w:rsidRDefault="00423645" w:rsidP="00423645">
      <w:pPr>
        <w:pStyle w:val="1"/>
        <w:numPr>
          <w:ilvl w:val="0"/>
          <w:numId w:val="2"/>
        </w:numPr>
        <w:spacing w:before="0" w:after="0"/>
        <w:ind w:left="993"/>
        <w:rPr>
          <w:rFonts w:ascii="Tahoma" w:hAnsi="Tahoma" w:cs="Tahoma"/>
          <w:sz w:val="22"/>
          <w:szCs w:val="22"/>
        </w:rPr>
      </w:pPr>
      <w:r w:rsidRPr="00822A68">
        <w:rPr>
          <w:rFonts w:ascii="Tahoma" w:hAnsi="Tahoma" w:cs="Tahoma"/>
          <w:sz w:val="22"/>
          <w:szCs w:val="22"/>
        </w:rPr>
        <w:lastRenderedPageBreak/>
        <w:t>Порядок расчета Индексов и раскрытия информации</w:t>
      </w:r>
    </w:p>
    <w:p w:rsidR="00423645" w:rsidRPr="00822A68" w:rsidRDefault="00423645" w:rsidP="00423645">
      <w:pPr>
        <w:pStyle w:val="33"/>
        <w:numPr>
          <w:ilvl w:val="1"/>
          <w:numId w:val="2"/>
        </w:numPr>
        <w:ind w:left="1701" w:hanging="708"/>
        <w:rPr>
          <w:rFonts w:cs="Tahoma"/>
          <w:szCs w:val="22"/>
        </w:rPr>
      </w:pPr>
      <w:r w:rsidRPr="00822A68">
        <w:rPr>
          <w:rFonts w:cs="Tahoma"/>
          <w:szCs w:val="22"/>
        </w:rPr>
        <w:t xml:space="preserve">Индекс рассчитывается на основании </w:t>
      </w:r>
      <w:bookmarkStart w:id="15" w:name="_Hlk133320989"/>
      <w:r w:rsidRPr="00822A68">
        <w:rPr>
          <w:rFonts w:cs="Tahoma"/>
          <w:szCs w:val="22"/>
        </w:rPr>
        <w:t>информации от Поставщика данных о розничных ценах и объемах реализации вина за предыдущую календарную неделю</w:t>
      </w:r>
      <w:bookmarkEnd w:id="15"/>
      <w:r w:rsidRPr="00822A68">
        <w:rPr>
          <w:rFonts w:cs="Tahoma"/>
          <w:szCs w:val="22"/>
        </w:rPr>
        <w:t>.</w:t>
      </w:r>
    </w:p>
    <w:p w:rsidR="00423645" w:rsidRPr="00822A68" w:rsidRDefault="00423645" w:rsidP="00423645">
      <w:pPr>
        <w:pStyle w:val="33"/>
        <w:numPr>
          <w:ilvl w:val="1"/>
          <w:numId w:val="2"/>
        </w:numPr>
        <w:ind w:left="1701" w:hanging="708"/>
        <w:rPr>
          <w:rFonts w:cs="Tahoma"/>
          <w:szCs w:val="22"/>
        </w:rPr>
      </w:pPr>
      <w:r w:rsidRPr="00822A68">
        <w:rPr>
          <w:rFonts w:cs="Tahoma"/>
          <w:szCs w:val="22"/>
        </w:rPr>
        <w:t>Расчет Индекса производится по следующей формуле:</w:t>
      </w:r>
    </w:p>
    <w:p w:rsidR="00423645" w:rsidRPr="00822A68" w:rsidRDefault="00423645" w:rsidP="00423645">
      <w:pPr>
        <w:pStyle w:val="33"/>
        <w:ind w:left="1701" w:hanging="708"/>
        <w:rPr>
          <w:rFonts w:cs="Tahoma"/>
          <w:szCs w:val="22"/>
        </w:rPr>
      </w:pPr>
      <w:r w:rsidRPr="00822A68">
        <w:rPr>
          <w:rStyle w:val="a8"/>
          <w:rFonts w:cs="Tahoma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2"/>
                </w:rPr>
              </m:ctrlPr>
            </m:sSubPr>
            <m:e>
              <m:r>
                <w:rPr>
                  <w:rFonts w:ascii="Cambria Math" w:hAnsi="Cambria Math" w:cs="Tahoma"/>
                  <w:szCs w:val="22"/>
                </w:rPr>
                <m:t>I</m:t>
              </m:r>
            </m:e>
            <m:sub>
              <m:r>
                <w:rPr>
                  <w:rFonts w:ascii="Cambria Math" w:hAnsi="Cambria Math" w:cs="Tahoma"/>
                  <w:szCs w:val="22"/>
                </w:rPr>
                <m:t xml:space="preserve"> WINE</m:t>
              </m:r>
            </m:sub>
          </m:sSub>
          <m:r>
            <w:rPr>
              <w:rFonts w:ascii="Cambria Math" w:hAnsi="Cambria Math" w:cs="Tahoma"/>
              <w:szCs w:val="22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2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ahoma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 w:cs="Tahoma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2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ahoma"/>
              <w:szCs w:val="22"/>
            </w:rPr>
            <m:t xml:space="preserve"> </m:t>
          </m:r>
        </m:oMath>
      </m:oMathPara>
    </w:p>
    <w:p w:rsidR="00423645" w:rsidRPr="00822A68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822A68">
        <w:rPr>
          <w:rFonts w:ascii="Tahoma" w:hAnsi="Tahoma" w:cs="Tahoma"/>
        </w:rPr>
        <w:t>где:</w:t>
      </w:r>
    </w:p>
    <w:p w:rsidR="00423645" w:rsidRPr="00822A68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822A68">
        <w:rPr>
          <w:rFonts w:ascii="Tahoma" w:hAnsi="Tahoma" w:cs="Tahoma"/>
          <w:i/>
          <w:lang w:val="en-US"/>
        </w:rPr>
        <w:t>I</w:t>
      </w:r>
      <w:r w:rsidRPr="00822A68">
        <w:rPr>
          <w:rFonts w:ascii="Tahoma" w:hAnsi="Tahoma" w:cs="Tahoma"/>
          <w:i/>
          <w:vertAlign w:val="subscript"/>
          <w:lang w:val="en-US"/>
        </w:rPr>
        <w:t>WINE</w:t>
      </w:r>
      <w:r w:rsidRPr="00822A68">
        <w:rPr>
          <w:rFonts w:ascii="Tahoma" w:hAnsi="Tahoma" w:cs="Tahoma"/>
        </w:rPr>
        <w:t xml:space="preserve"> – значение Индекса, выраженное в рублях РФ;</w:t>
      </w:r>
    </w:p>
    <w:p w:rsidR="00423645" w:rsidRPr="00822A68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822A68">
        <w:rPr>
          <w:rFonts w:ascii="Tahoma" w:hAnsi="Tahoma" w:cs="Tahoma"/>
          <w:lang w:val="en-US"/>
        </w:rPr>
        <w:t>P</w:t>
      </w:r>
      <w:r w:rsidRPr="00822A68">
        <w:rPr>
          <w:rFonts w:ascii="Tahoma" w:hAnsi="Tahoma" w:cs="Tahoma"/>
          <w:vertAlign w:val="subscript"/>
          <w:lang w:val="en-US"/>
        </w:rPr>
        <w:t>i</w:t>
      </w:r>
      <w:r w:rsidRPr="00822A68">
        <w:rPr>
          <w:rFonts w:ascii="Tahoma" w:hAnsi="Tahoma" w:cs="Tahoma"/>
        </w:rPr>
        <w:t xml:space="preserve"> – средняя цена 0,75 л вина из </w:t>
      </w:r>
      <w:r w:rsidRPr="00822A68">
        <w:rPr>
          <w:rFonts w:ascii="Tahoma" w:hAnsi="Tahoma" w:cs="Tahoma"/>
          <w:lang w:val="en-US"/>
        </w:rPr>
        <w:t>i</w:t>
      </w:r>
      <w:r w:rsidRPr="00822A68">
        <w:rPr>
          <w:rFonts w:ascii="Tahoma" w:hAnsi="Tahoma" w:cs="Tahoma"/>
        </w:rPr>
        <w:t>-ого ценового сегмента по ЕСУ определенных категорий, используемых для расчёта Индекса, выраженная в рублях РФ;</w:t>
      </w:r>
    </w:p>
    <w:p w:rsidR="00423645" w:rsidRPr="00822A68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822A68">
        <w:rPr>
          <w:rFonts w:ascii="Tahoma" w:hAnsi="Tahoma" w:cs="Tahoma"/>
          <w:lang w:val="en-US"/>
        </w:rPr>
        <w:t>w</w:t>
      </w:r>
      <w:r w:rsidRPr="00822A68">
        <w:rPr>
          <w:rFonts w:ascii="Tahoma" w:hAnsi="Tahoma" w:cs="Tahoma"/>
          <w:vertAlign w:val="subscript"/>
          <w:lang w:val="en-US"/>
        </w:rPr>
        <w:t>i</w:t>
      </w:r>
      <w:r w:rsidRPr="00822A68">
        <w:rPr>
          <w:rFonts w:ascii="Tahoma" w:hAnsi="Tahoma" w:cs="Tahoma"/>
        </w:rPr>
        <w:t xml:space="preserve"> – доля </w:t>
      </w:r>
      <w:r w:rsidRPr="00822A68">
        <w:rPr>
          <w:rFonts w:ascii="Tahoma" w:hAnsi="Tahoma" w:cs="Tahoma"/>
          <w:lang w:val="en-US"/>
        </w:rPr>
        <w:t>i</w:t>
      </w:r>
      <w:r w:rsidRPr="00822A68">
        <w:rPr>
          <w:rFonts w:ascii="Tahoma" w:hAnsi="Tahoma" w:cs="Tahoma"/>
        </w:rPr>
        <w:t xml:space="preserve">-го ценового сегмента. </w:t>
      </w:r>
    </w:p>
    <w:p w:rsidR="00423645" w:rsidRPr="00822A68" w:rsidRDefault="00423645" w:rsidP="00423645">
      <w:pPr>
        <w:pStyle w:val="33"/>
        <w:numPr>
          <w:ilvl w:val="1"/>
          <w:numId w:val="2"/>
        </w:numPr>
        <w:ind w:left="1701" w:hanging="708"/>
        <w:rPr>
          <w:rFonts w:cs="Tahoma"/>
          <w:szCs w:val="22"/>
        </w:rPr>
      </w:pPr>
      <w:r w:rsidRPr="00822A68">
        <w:rPr>
          <w:rFonts w:cs="Tahoma"/>
          <w:szCs w:val="22"/>
        </w:rPr>
        <w:t>Расчет долей ценовых сегментов производится по следующей формуле:</w:t>
      </w:r>
    </w:p>
    <w:p w:rsidR="00423645" w:rsidRPr="00C713C0" w:rsidRDefault="00423645" w:rsidP="00423645">
      <w:pPr>
        <w:pStyle w:val="33"/>
        <w:ind w:left="1701" w:hanging="708"/>
        <w:rPr>
          <w:rFonts w:cs="Tahoma"/>
          <w:szCs w:val="22"/>
        </w:rPr>
      </w:pPr>
      <w:r w:rsidRPr="00822A68">
        <w:rPr>
          <w:rStyle w:val="a8"/>
          <w:rFonts w:cs="Tahoma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2"/>
                </w:rPr>
              </m:ctrlPr>
            </m:sSubPr>
            <m:e>
              <m:r>
                <w:rPr>
                  <w:rFonts w:ascii="Cambria Math" w:hAnsi="Cambria Math" w:cs="Tahoma"/>
                  <w:szCs w:val="22"/>
                </w:rPr>
                <m:t>w</m:t>
              </m:r>
            </m:e>
            <m:sub>
              <m:r>
                <w:rPr>
                  <w:rFonts w:ascii="Cambria Math" w:hAnsi="Cambria Math" w:cs="Tahoma"/>
                  <w:szCs w:val="22"/>
                </w:rPr>
                <m:t xml:space="preserve"> i</m:t>
              </m:r>
            </m:sub>
          </m:sSub>
          <m:r>
            <w:rPr>
              <w:rFonts w:ascii="Cambria Math" w:hAnsi="Cambria Math" w:cs="Tahoma"/>
              <w:szCs w:val="22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 w:cs="Tahoma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ahoma"/>
              <w:szCs w:val="22"/>
            </w:rPr>
            <m:t xml:space="preserve"> </m:t>
          </m:r>
        </m:oMath>
      </m:oMathPara>
    </w:p>
    <w:p w:rsidR="00423645" w:rsidRPr="00C713C0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C713C0">
        <w:rPr>
          <w:rFonts w:ascii="Tahoma" w:hAnsi="Tahoma" w:cs="Tahoma"/>
        </w:rPr>
        <w:t>где:</w:t>
      </w:r>
    </w:p>
    <w:p w:rsidR="00423645" w:rsidRPr="00C713C0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C713C0">
        <w:rPr>
          <w:rFonts w:ascii="Tahoma" w:hAnsi="Tahoma" w:cs="Tahoma"/>
          <w:lang w:val="en-US"/>
        </w:rPr>
        <w:t>w</w:t>
      </w:r>
      <w:r w:rsidRPr="00C713C0">
        <w:rPr>
          <w:rFonts w:ascii="Tahoma" w:hAnsi="Tahoma" w:cs="Tahoma"/>
          <w:vertAlign w:val="subscript"/>
          <w:lang w:val="en-US"/>
        </w:rPr>
        <w:t>j</w:t>
      </w:r>
      <w:r w:rsidRPr="00C713C0">
        <w:rPr>
          <w:rFonts w:ascii="Tahoma" w:hAnsi="Tahoma" w:cs="Tahoma"/>
        </w:rPr>
        <w:t xml:space="preserve"> – доля ценового сегмента;</w:t>
      </w:r>
    </w:p>
    <w:p w:rsidR="00423645" w:rsidRPr="00C713C0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C713C0">
        <w:rPr>
          <w:rFonts w:ascii="Tahoma" w:hAnsi="Tahoma" w:cs="Tahoma"/>
          <w:lang w:val="en-US"/>
        </w:rPr>
        <w:t>V</w:t>
      </w:r>
      <w:r w:rsidRPr="00C713C0">
        <w:rPr>
          <w:rFonts w:ascii="Tahoma" w:hAnsi="Tahoma" w:cs="Tahoma"/>
          <w:vertAlign w:val="subscript"/>
          <w:lang w:val="en-US"/>
        </w:rPr>
        <w:t>i</w:t>
      </w:r>
      <w:r w:rsidRPr="00C713C0">
        <w:rPr>
          <w:rFonts w:ascii="Tahoma" w:hAnsi="Tahoma" w:cs="Tahoma"/>
        </w:rPr>
        <w:t xml:space="preserve"> – объем реализации вина из </w:t>
      </w:r>
      <w:r w:rsidRPr="00C713C0">
        <w:rPr>
          <w:rFonts w:ascii="Tahoma" w:hAnsi="Tahoma" w:cs="Tahoma"/>
          <w:lang w:val="en-US"/>
        </w:rPr>
        <w:t>i</w:t>
      </w:r>
      <w:r w:rsidRPr="00C713C0">
        <w:rPr>
          <w:rFonts w:ascii="Tahoma" w:hAnsi="Tahoma" w:cs="Tahoma"/>
        </w:rPr>
        <w:t>-ого ценового сегмента по ЕСУ определенных категорий, используемых для расчёта Индекса, выраженный в рублях РФ.</w:t>
      </w:r>
    </w:p>
    <w:p w:rsidR="00423645" w:rsidRPr="00C713C0" w:rsidRDefault="00423645" w:rsidP="00423645">
      <w:pPr>
        <w:tabs>
          <w:tab w:val="num" w:pos="1142"/>
        </w:tabs>
        <w:spacing w:after="120"/>
        <w:ind w:left="1701" w:hanging="708"/>
        <w:jc w:val="both"/>
        <w:rPr>
          <w:rFonts w:ascii="Tahoma" w:hAnsi="Tahoma" w:cs="Tahoma"/>
        </w:rPr>
      </w:pPr>
      <w:r w:rsidRPr="00C713C0">
        <w:rPr>
          <w:rFonts w:ascii="Tahoma" w:hAnsi="Tahoma" w:cs="Tahoma"/>
        </w:rPr>
        <w:t>Пересмотр долей ценовых сегментов осуществляется не чаще одного раза в год.</w:t>
      </w:r>
    </w:p>
    <w:p w:rsidR="00423645" w:rsidRPr="00C713C0" w:rsidRDefault="00423645" w:rsidP="00423645">
      <w:pPr>
        <w:pStyle w:val="30"/>
        <w:numPr>
          <w:ilvl w:val="1"/>
          <w:numId w:val="2"/>
        </w:numPr>
        <w:spacing w:beforeLines="50" w:before="120" w:after="0" w:line="240" w:lineRule="auto"/>
        <w:ind w:left="1701" w:hanging="708"/>
        <w:jc w:val="both"/>
        <w:rPr>
          <w:rFonts w:ascii="Tahoma" w:hAnsi="Tahoma" w:cs="Tahoma"/>
          <w:sz w:val="22"/>
          <w:szCs w:val="22"/>
        </w:rPr>
      </w:pPr>
      <w:r w:rsidRPr="00C713C0">
        <w:rPr>
          <w:rFonts w:ascii="Tahoma" w:hAnsi="Tahoma" w:cs="Tahoma"/>
          <w:sz w:val="22"/>
          <w:szCs w:val="22"/>
        </w:rPr>
        <w:t>Значения Индексов рассчитываются в рублях РФ, с точностью до 2 знаков после запятой.</w:t>
      </w:r>
    </w:p>
    <w:p w:rsidR="00423645" w:rsidRPr="00C713C0" w:rsidRDefault="00423645" w:rsidP="00423645">
      <w:pPr>
        <w:pStyle w:val="30"/>
        <w:numPr>
          <w:ilvl w:val="1"/>
          <w:numId w:val="2"/>
        </w:numPr>
        <w:spacing w:beforeLines="50" w:before="120" w:after="0" w:line="240" w:lineRule="auto"/>
        <w:ind w:left="1701" w:hanging="708"/>
        <w:jc w:val="both"/>
        <w:rPr>
          <w:rFonts w:ascii="Tahoma" w:hAnsi="Tahoma" w:cs="Tahoma"/>
          <w:sz w:val="22"/>
          <w:szCs w:val="22"/>
        </w:rPr>
      </w:pPr>
      <w:r w:rsidRPr="00C713C0">
        <w:rPr>
          <w:rFonts w:ascii="Tahoma" w:hAnsi="Tahoma" w:cs="Tahoma"/>
          <w:sz w:val="22"/>
          <w:szCs w:val="22"/>
        </w:rPr>
        <w:t xml:space="preserve">Дата первого произведенного расчета Индексов – </w:t>
      </w:r>
      <w:r>
        <w:rPr>
          <w:rFonts w:ascii="Tahoma" w:hAnsi="Tahoma" w:cs="Tahoma"/>
          <w:sz w:val="22"/>
          <w:szCs w:val="22"/>
        </w:rPr>
        <w:t xml:space="preserve">16.06.2025 </w:t>
      </w:r>
      <w:r w:rsidRPr="00C713C0">
        <w:rPr>
          <w:rFonts w:ascii="Tahoma" w:hAnsi="Tahoma" w:cs="Tahoma"/>
          <w:sz w:val="22"/>
          <w:szCs w:val="22"/>
        </w:rPr>
        <w:t>г. Ретроспективный расчет Индексов выполнен с 03.01.2024 г.</w:t>
      </w:r>
    </w:p>
    <w:p w:rsidR="00423645" w:rsidRPr="00822A68" w:rsidRDefault="00423645" w:rsidP="00423645">
      <w:pPr>
        <w:pStyle w:val="30"/>
        <w:numPr>
          <w:ilvl w:val="1"/>
          <w:numId w:val="2"/>
        </w:numPr>
        <w:spacing w:beforeLines="50" w:before="120" w:after="0" w:line="240" w:lineRule="auto"/>
        <w:ind w:left="1701" w:hanging="708"/>
        <w:jc w:val="both"/>
        <w:rPr>
          <w:rFonts w:ascii="Tahoma" w:hAnsi="Tahoma" w:cs="Tahoma"/>
          <w:sz w:val="22"/>
          <w:szCs w:val="22"/>
        </w:rPr>
      </w:pPr>
      <w:r w:rsidRPr="00C713C0">
        <w:rPr>
          <w:rFonts w:ascii="Tahoma" w:hAnsi="Tahoma" w:cs="Tahoma"/>
          <w:sz w:val="22"/>
          <w:szCs w:val="22"/>
        </w:rPr>
        <w:t>Расчет значений Индексов осуществляется с периодичностью 1 раз</w:t>
      </w:r>
      <w:r w:rsidRPr="00822A68">
        <w:rPr>
          <w:rFonts w:ascii="Tahoma" w:hAnsi="Tahoma" w:cs="Tahoma"/>
          <w:sz w:val="22"/>
          <w:szCs w:val="22"/>
        </w:rPr>
        <w:t xml:space="preserve"> в неделю за исключением недель, в которых все дни являются нерабочими. Данные единственные за неделю значения Индексов являются одновременно и текущими значениями, и значениями закрытия до очередного перерасчета Индексов на следующей неделе. Указанная периодичность расчета Индексов может быть изменена по инициативе РБК по согласованию с Биржей (калькулирующий агент). </w:t>
      </w:r>
    </w:p>
    <w:p w:rsidR="00423645" w:rsidRPr="00822A68" w:rsidRDefault="00423645" w:rsidP="00423645">
      <w:pPr>
        <w:pStyle w:val="30"/>
        <w:numPr>
          <w:ilvl w:val="1"/>
          <w:numId w:val="2"/>
        </w:numPr>
        <w:spacing w:beforeLines="50" w:before="120" w:after="0" w:line="240" w:lineRule="auto"/>
        <w:ind w:left="1701" w:hanging="708"/>
        <w:jc w:val="both"/>
        <w:rPr>
          <w:rFonts w:ascii="Tahoma" w:hAnsi="Tahoma" w:cs="Tahoma"/>
          <w:sz w:val="22"/>
          <w:szCs w:val="22"/>
        </w:rPr>
      </w:pPr>
      <w:r w:rsidRPr="00822A68">
        <w:rPr>
          <w:rFonts w:ascii="Tahoma" w:hAnsi="Tahoma" w:cs="Tahoma"/>
          <w:sz w:val="22"/>
          <w:szCs w:val="22"/>
        </w:rPr>
        <w:t>Раскрытие значений Индексов осуществляется не позднее трех рабочих дней, следующих за датой расчета, на официальном сайте Биржи в сети Интернет.</w:t>
      </w:r>
    </w:p>
    <w:p w:rsidR="00423645" w:rsidRPr="00822A68" w:rsidRDefault="00423645" w:rsidP="00423645">
      <w:pPr>
        <w:pStyle w:val="30"/>
        <w:tabs>
          <w:tab w:val="num" w:pos="1152"/>
        </w:tabs>
        <w:spacing w:beforeLines="50" w:before="120" w:after="0"/>
        <w:ind w:left="1701" w:hanging="708"/>
        <w:jc w:val="both"/>
        <w:rPr>
          <w:rFonts w:ascii="Tahoma" w:hAnsi="Tahoma" w:cs="Tahoma"/>
          <w:sz w:val="22"/>
          <w:szCs w:val="22"/>
        </w:rPr>
      </w:pPr>
    </w:p>
    <w:p w:rsidR="00423645" w:rsidRPr="00822A68" w:rsidRDefault="00423645" w:rsidP="00423645">
      <w:pPr>
        <w:pStyle w:val="1"/>
        <w:numPr>
          <w:ilvl w:val="0"/>
          <w:numId w:val="2"/>
        </w:numPr>
        <w:spacing w:before="0" w:after="0"/>
        <w:ind w:left="993"/>
        <w:rPr>
          <w:rFonts w:ascii="Tahoma" w:hAnsi="Tahoma" w:cs="Tahoma"/>
          <w:sz w:val="22"/>
          <w:szCs w:val="22"/>
        </w:rPr>
      </w:pPr>
      <w:bookmarkStart w:id="16" w:name="_Toc21348751"/>
      <w:bookmarkStart w:id="17" w:name="_Toc25935918"/>
      <w:r w:rsidRPr="00822A68">
        <w:rPr>
          <w:rFonts w:ascii="Tahoma" w:hAnsi="Tahoma" w:cs="Tahoma"/>
          <w:sz w:val="22"/>
          <w:szCs w:val="22"/>
        </w:rPr>
        <w:t xml:space="preserve">Контроль за расчетом </w:t>
      </w:r>
      <w:bookmarkEnd w:id="16"/>
      <w:bookmarkEnd w:id="17"/>
      <w:r w:rsidRPr="00822A68">
        <w:rPr>
          <w:rFonts w:ascii="Tahoma" w:hAnsi="Tahoma" w:cs="Tahoma"/>
          <w:sz w:val="22"/>
          <w:szCs w:val="22"/>
        </w:rPr>
        <w:t>Индексов</w:t>
      </w:r>
    </w:p>
    <w:p w:rsidR="00423645" w:rsidRPr="00822A68" w:rsidRDefault="00423645" w:rsidP="00423645">
      <w:pPr>
        <w:pStyle w:val="30"/>
        <w:numPr>
          <w:ilvl w:val="1"/>
          <w:numId w:val="2"/>
        </w:numPr>
        <w:spacing w:beforeLines="50" w:before="120" w:after="0" w:line="240" w:lineRule="auto"/>
        <w:ind w:left="1701" w:hanging="708"/>
        <w:jc w:val="both"/>
        <w:rPr>
          <w:rFonts w:ascii="Tahoma" w:hAnsi="Tahoma" w:cs="Tahoma"/>
          <w:sz w:val="22"/>
          <w:szCs w:val="22"/>
        </w:rPr>
      </w:pPr>
      <w:bookmarkStart w:id="18" w:name="_Hlk189063830"/>
      <w:r w:rsidRPr="00822A68">
        <w:rPr>
          <w:rFonts w:ascii="Tahoma" w:hAnsi="Tahoma" w:cs="Tahoma"/>
          <w:sz w:val="22"/>
          <w:szCs w:val="22"/>
        </w:rPr>
        <w:t>В случае возникновения технического сбоя при расчете Индексов или при получении дополнительной информации от Поставщика данных, необходимой для расчета Индексов, допускается перерасчет рассчитанных ранее значений. Указанный перерасчет осуществляется в минимально короткие сроки с момента обнаружения технического сбоя.</w:t>
      </w:r>
    </w:p>
    <w:bookmarkEnd w:id="18"/>
    <w:p w:rsidR="00D24FFB" w:rsidRDefault="00423645"/>
    <w:sectPr w:rsidR="00D2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4E4"/>
    <w:multiLevelType w:val="multilevel"/>
    <w:tmpl w:val="AA7E339C"/>
    <w:numStyleLink w:val="3"/>
  </w:abstractNum>
  <w:abstractNum w:abstractNumId="1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cs="Times New Roman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cs="Times New Roman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cs="Times New Roman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cs="Times New Roman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cs="Times New Roman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cs="Times New Roman" w:hint="default"/>
      </w:rPr>
    </w:lvl>
  </w:abstractNum>
  <w:abstractNum w:abstractNumId="2" w15:restartNumberingAfterBreak="0">
    <w:nsid w:val="4F8E430F"/>
    <w:multiLevelType w:val="hybridMultilevel"/>
    <w:tmpl w:val="AB6AA606"/>
    <w:lvl w:ilvl="0" w:tplc="BD06FE0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AFC225AE">
      <w:start w:val="1"/>
      <w:numFmt w:val="decimal"/>
      <w:lvlText w:val="3.4.%2."/>
      <w:lvlJc w:val="left"/>
      <w:pPr>
        <w:ind w:left="1156" w:hanging="360"/>
      </w:pPr>
      <w:rPr>
        <w:rFonts w:hint="default"/>
      </w:rPr>
    </w:lvl>
    <w:lvl w:ilvl="2" w:tplc="FD80C36A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64D0130A" w:tentative="1">
      <w:start w:val="1"/>
      <w:numFmt w:val="decimal"/>
      <w:lvlText w:val="%4."/>
      <w:lvlJc w:val="left"/>
      <w:pPr>
        <w:ind w:left="2596" w:hanging="360"/>
      </w:pPr>
    </w:lvl>
    <w:lvl w:ilvl="4" w:tplc="E048C988" w:tentative="1">
      <w:start w:val="1"/>
      <w:numFmt w:val="lowerLetter"/>
      <w:lvlText w:val="%5."/>
      <w:lvlJc w:val="left"/>
      <w:pPr>
        <w:ind w:left="3316" w:hanging="360"/>
      </w:pPr>
    </w:lvl>
    <w:lvl w:ilvl="5" w:tplc="D90A04B2" w:tentative="1">
      <w:start w:val="1"/>
      <w:numFmt w:val="lowerRoman"/>
      <w:lvlText w:val="%6."/>
      <w:lvlJc w:val="right"/>
      <w:pPr>
        <w:ind w:left="4036" w:hanging="180"/>
      </w:pPr>
    </w:lvl>
    <w:lvl w:ilvl="6" w:tplc="988CC886" w:tentative="1">
      <w:start w:val="1"/>
      <w:numFmt w:val="decimal"/>
      <w:lvlText w:val="%7."/>
      <w:lvlJc w:val="left"/>
      <w:pPr>
        <w:ind w:left="4756" w:hanging="360"/>
      </w:pPr>
    </w:lvl>
    <w:lvl w:ilvl="7" w:tplc="45D438FA" w:tentative="1">
      <w:start w:val="1"/>
      <w:numFmt w:val="lowerLetter"/>
      <w:lvlText w:val="%8."/>
      <w:lvlJc w:val="left"/>
      <w:pPr>
        <w:ind w:left="5476" w:hanging="360"/>
      </w:pPr>
    </w:lvl>
    <w:lvl w:ilvl="8" w:tplc="5D062F60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cs="Times New Roman" w:hint="default"/>
          <w:b w:val="0"/>
          <w:i w:val="0"/>
          <w:sz w:val="20"/>
          <w:szCs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45"/>
    <w:rsid w:val="003C6B6B"/>
    <w:rsid w:val="00423645"/>
    <w:rsid w:val="00D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744D"/>
  <w15:chartTrackingRefBased/>
  <w15:docId w15:val="{DB7A2052-CDC8-430C-B803-A49703B0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645"/>
  </w:style>
  <w:style w:type="paragraph" w:styleId="1">
    <w:name w:val="heading 1"/>
    <w:aliases w:val="Уровень 1"/>
    <w:basedOn w:val="a"/>
    <w:next w:val="a"/>
    <w:link w:val="10"/>
    <w:qFormat/>
    <w:rsid w:val="004236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 1 Знак"/>
    <w:basedOn w:val="a0"/>
    <w:link w:val="1"/>
    <w:rsid w:val="004236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23645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4236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3645"/>
    <w:rPr>
      <w:sz w:val="20"/>
      <w:szCs w:val="20"/>
    </w:rPr>
  </w:style>
  <w:style w:type="paragraph" w:styleId="a6">
    <w:name w:val="annotation subject"/>
    <w:basedOn w:val="a4"/>
    <w:next w:val="a4"/>
    <w:link w:val="a7"/>
    <w:semiHidden/>
    <w:unhideWhenUsed/>
    <w:rsid w:val="00423645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423645"/>
    <w:rPr>
      <w:b/>
      <w:bCs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42364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23645"/>
    <w:rPr>
      <w:sz w:val="16"/>
      <w:szCs w:val="16"/>
    </w:rPr>
  </w:style>
  <w:style w:type="numbering" w:customStyle="1" w:styleId="3">
    <w:name w:val="Стиль3"/>
    <w:uiPriority w:val="99"/>
    <w:rsid w:val="00423645"/>
    <w:pPr>
      <w:numPr>
        <w:numId w:val="3"/>
      </w:numPr>
    </w:pPr>
  </w:style>
  <w:style w:type="character" w:styleId="a8">
    <w:name w:val="Emphasis"/>
    <w:aliases w:val="Глава 3"/>
    <w:uiPriority w:val="20"/>
    <w:qFormat/>
    <w:rsid w:val="00423645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a9">
    <w:name w:val="Заголовок Знак"/>
    <w:aliases w:val="Уровень 2 Знак"/>
    <w:basedOn w:val="a0"/>
    <w:link w:val="aa"/>
    <w:locked/>
    <w:rsid w:val="00423645"/>
    <w:rPr>
      <w:rFonts w:ascii="Tahoma" w:hAnsi="Tahoma" w:cs="Arial"/>
      <w:b/>
      <w:lang w:eastAsia="ru-RU"/>
    </w:rPr>
  </w:style>
  <w:style w:type="paragraph" w:styleId="aa">
    <w:name w:val="Title"/>
    <w:aliases w:val="Уровень 2"/>
    <w:basedOn w:val="2"/>
    <w:next w:val="a"/>
    <w:link w:val="a9"/>
    <w:qFormat/>
    <w:rsid w:val="00423645"/>
    <w:pPr>
      <w:keepNext/>
      <w:tabs>
        <w:tab w:val="left" w:pos="1026"/>
        <w:tab w:val="right" w:leader="dot" w:pos="9344"/>
      </w:tabs>
      <w:spacing w:after="0" w:line="240" w:lineRule="auto"/>
      <w:ind w:left="680" w:hanging="567"/>
      <w:outlineLvl w:val="1"/>
    </w:pPr>
    <w:rPr>
      <w:rFonts w:ascii="Tahoma" w:hAnsi="Tahoma" w:cs="Arial"/>
      <w:b/>
      <w:lang w:eastAsia="ru-RU"/>
    </w:rPr>
  </w:style>
  <w:style w:type="character" w:customStyle="1" w:styleId="11">
    <w:name w:val="Заголовок Знак1"/>
    <w:basedOn w:val="a0"/>
    <w:uiPriority w:val="10"/>
    <w:rsid w:val="0042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Уровень 3 Знак"/>
    <w:basedOn w:val="a0"/>
    <w:link w:val="33"/>
    <w:locked/>
    <w:rsid w:val="00423645"/>
    <w:rPr>
      <w:rFonts w:ascii="Tahoma" w:hAnsi="Tahoma"/>
      <w:szCs w:val="24"/>
      <w:lang w:eastAsia="ru-RU"/>
    </w:rPr>
  </w:style>
  <w:style w:type="paragraph" w:customStyle="1" w:styleId="33">
    <w:name w:val="Уровень 3"/>
    <w:basedOn w:val="a"/>
    <w:link w:val="32"/>
    <w:qFormat/>
    <w:rsid w:val="00423645"/>
    <w:pPr>
      <w:spacing w:after="0" w:line="240" w:lineRule="auto"/>
      <w:ind w:left="1077" w:hanging="793"/>
      <w:jc w:val="both"/>
    </w:pPr>
    <w:rPr>
      <w:rFonts w:ascii="Tahoma" w:hAnsi="Tahoma"/>
      <w:szCs w:val="24"/>
      <w:lang w:eastAsia="ru-RU"/>
    </w:rPr>
  </w:style>
  <w:style w:type="character" w:customStyle="1" w:styleId="12">
    <w:name w:val="Уровень Выделение 1 Знак"/>
    <w:basedOn w:val="a0"/>
    <w:link w:val="13"/>
    <w:locked/>
    <w:rsid w:val="00423645"/>
    <w:rPr>
      <w:rFonts w:ascii="Tahoma" w:hAnsi="Tahoma" w:cs="Arial"/>
      <w:lang w:eastAsia="ru-RU"/>
    </w:rPr>
  </w:style>
  <w:style w:type="paragraph" w:customStyle="1" w:styleId="13">
    <w:name w:val="Уровень Выделение 1"/>
    <w:basedOn w:val="a"/>
    <w:link w:val="12"/>
    <w:qFormat/>
    <w:rsid w:val="00423645"/>
    <w:pPr>
      <w:spacing w:after="0" w:line="240" w:lineRule="auto"/>
      <w:ind w:left="1701" w:hanging="397"/>
      <w:jc w:val="both"/>
    </w:pPr>
    <w:rPr>
      <w:rFonts w:ascii="Tahoma" w:hAnsi="Tahoma" w:cs="Arial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42364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4030</Characters>
  <Application>Microsoft Office Word</Application>
  <DocSecurity>0</DocSecurity>
  <Lines>33</Lines>
  <Paragraphs>9</Paragraphs>
  <ScaleCrop>false</ScaleCrop>
  <Company>MOEX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Николаевна</dc:creator>
  <cp:keywords/>
  <dc:description/>
  <cp:lastModifiedBy>Зайцева Анна Николаевна</cp:lastModifiedBy>
  <cp:revision>1</cp:revision>
  <dcterms:created xsi:type="dcterms:W3CDTF">2025-06-26T11:16:00Z</dcterms:created>
  <dcterms:modified xsi:type="dcterms:W3CDTF">2025-06-26T11:17:00Z</dcterms:modified>
</cp:coreProperties>
</file>