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71" w:rsidRPr="00AB6871" w:rsidRDefault="00AB6871" w:rsidP="00AB6871">
      <w:pPr>
        <w:pStyle w:val="afd"/>
        <w:ind w:left="4820"/>
        <w:jc w:val="right"/>
        <w:rPr>
          <w:b/>
        </w:rPr>
      </w:pPr>
      <w:r w:rsidRPr="00AB6871">
        <w:rPr>
          <w:b/>
        </w:rPr>
        <w:t>APPROVED</w:t>
      </w:r>
    </w:p>
    <w:p w:rsidR="00AB6871" w:rsidRPr="00AB6871" w:rsidRDefault="00AB6871" w:rsidP="00AB6871">
      <w:pPr>
        <w:pStyle w:val="afd"/>
        <w:tabs>
          <w:tab w:val="left" w:pos="4962"/>
        </w:tabs>
        <w:ind w:left="4820"/>
        <w:jc w:val="right"/>
        <w:rPr>
          <w:bCs/>
        </w:rPr>
      </w:pPr>
      <w:r w:rsidRPr="00AB6871">
        <w:rPr>
          <w:bCs/>
        </w:rPr>
        <w:t xml:space="preserve">by the </w:t>
      </w:r>
      <w:r>
        <w:rPr>
          <w:bCs/>
        </w:rPr>
        <w:t>r</w:t>
      </w:r>
      <w:r w:rsidRPr="00AB6871">
        <w:rPr>
          <w:bCs/>
        </w:rPr>
        <w:t>esolution of the Supervisory Board</w:t>
      </w:r>
    </w:p>
    <w:p w:rsidR="00AB6871" w:rsidRPr="00AB6871" w:rsidRDefault="00AB6871" w:rsidP="00AB6871">
      <w:pPr>
        <w:pStyle w:val="afd"/>
        <w:tabs>
          <w:tab w:val="left" w:pos="4962"/>
        </w:tabs>
        <w:ind w:left="4820"/>
        <w:jc w:val="right"/>
        <w:rPr>
          <w:bCs/>
        </w:rPr>
      </w:pPr>
      <w:r w:rsidRPr="00AB6871">
        <w:rPr>
          <w:bCs/>
        </w:rPr>
        <w:t xml:space="preserve">of </w:t>
      </w:r>
      <w:r>
        <w:rPr>
          <w:bCs/>
        </w:rPr>
        <w:t xml:space="preserve">the </w:t>
      </w:r>
      <w:r w:rsidRPr="00AB6871">
        <w:rPr>
          <w:bCs/>
        </w:rPr>
        <w:t xml:space="preserve">Moscow Exchange </w:t>
      </w:r>
    </w:p>
    <w:p w:rsidR="00AB6871" w:rsidRPr="00AB6871" w:rsidRDefault="00AB6871" w:rsidP="00AB6871">
      <w:pPr>
        <w:tabs>
          <w:tab w:val="left" w:pos="1021"/>
        </w:tabs>
        <w:ind w:firstLine="567"/>
        <w:jc w:val="right"/>
        <w:rPr>
          <w:rFonts w:ascii="Times New Roman" w:hAnsi="Times New Roman" w:cs="Times New Roman"/>
          <w:sz w:val="24"/>
          <w:szCs w:val="24"/>
        </w:rPr>
      </w:pP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r>
      <w:r w:rsidRPr="00AB6871">
        <w:rPr>
          <w:rFonts w:ascii="Times New Roman" w:hAnsi="Times New Roman" w:cs="Times New Roman"/>
          <w:sz w:val="24"/>
          <w:szCs w:val="24"/>
          <w:bdr w:val="none" w:sz="0" w:space="0" w:color="auto" w:frame="1"/>
        </w:rPr>
        <w:tab/>
        <w:t xml:space="preserve">    on </w:t>
      </w:r>
      <w:r w:rsidR="001A7D17">
        <w:rPr>
          <w:rFonts w:ascii="Times New Roman" w:hAnsi="Times New Roman" w:cs="Times New Roman"/>
          <w:sz w:val="24"/>
          <w:szCs w:val="24"/>
          <w:bdr w:val="none" w:sz="0" w:space="0" w:color="auto" w:frame="1"/>
        </w:rPr>
        <w:t>November 26,</w:t>
      </w:r>
      <w:r w:rsidR="002B503A">
        <w:rPr>
          <w:rFonts w:ascii="Times New Roman" w:hAnsi="Times New Roman" w:cs="Times New Roman"/>
          <w:sz w:val="24"/>
          <w:szCs w:val="24"/>
          <w:bdr w:val="none" w:sz="0" w:space="0" w:color="auto" w:frame="1"/>
        </w:rPr>
        <w:t xml:space="preserve"> 2018 </w:t>
      </w:r>
      <w:r w:rsidRPr="00AB6871">
        <w:rPr>
          <w:rFonts w:ascii="Times New Roman" w:hAnsi="Times New Roman" w:cs="Times New Roman"/>
          <w:sz w:val="24"/>
          <w:szCs w:val="24"/>
          <w:bdr w:val="none" w:sz="0" w:space="0" w:color="auto" w:frame="1"/>
        </w:rPr>
        <w:t>(Minutes No.</w:t>
      </w:r>
      <w:r w:rsidR="002B503A">
        <w:rPr>
          <w:rFonts w:ascii="Times New Roman" w:hAnsi="Times New Roman" w:cs="Times New Roman"/>
          <w:sz w:val="24"/>
          <w:szCs w:val="24"/>
          <w:bdr w:val="none" w:sz="0" w:space="0" w:color="auto" w:frame="1"/>
        </w:rPr>
        <w:t xml:space="preserve"> </w:t>
      </w:r>
      <w:r w:rsidR="001A7D17">
        <w:rPr>
          <w:rFonts w:ascii="Times New Roman" w:hAnsi="Times New Roman" w:cs="Times New Roman"/>
          <w:sz w:val="24"/>
          <w:szCs w:val="24"/>
          <w:bdr w:val="none" w:sz="0" w:space="0" w:color="auto" w:frame="1"/>
        </w:rPr>
        <w:t>11</w:t>
      </w:r>
      <w:r w:rsidRPr="00AB6871">
        <w:rPr>
          <w:rFonts w:ascii="Times New Roman" w:hAnsi="Times New Roman" w:cs="Times New Roman"/>
          <w:sz w:val="24"/>
          <w:szCs w:val="24"/>
          <w:bdr w:val="none" w:sz="0" w:space="0" w:color="auto" w:frame="1"/>
        </w:rPr>
        <w:t>)</w:t>
      </w:r>
    </w:p>
    <w:p w:rsidR="001B0C1A" w:rsidRPr="00372C07" w:rsidRDefault="001B0C1A" w:rsidP="001B0C1A">
      <w:pPr>
        <w:pStyle w:val="125"/>
        <w:ind w:firstLine="0"/>
        <w:rPr>
          <w:rFonts w:ascii="Times New Roman" w:hAnsi="Times New Roman"/>
          <w:b/>
          <w:i/>
          <w:szCs w:val="24"/>
          <w:lang w:val="en-US"/>
        </w:rPr>
      </w:pPr>
    </w:p>
    <w:p w:rsidR="00AB6871" w:rsidRDefault="00AB6871" w:rsidP="00C33465">
      <w:pPr>
        <w:tabs>
          <w:tab w:val="left" w:pos="0"/>
        </w:tabs>
        <w:spacing w:after="120"/>
        <w:jc w:val="center"/>
        <w:rPr>
          <w:rFonts w:ascii="Times New Roman" w:hAnsi="Times New Roman" w:cs="Times New Roman"/>
          <w:b/>
          <w:sz w:val="24"/>
          <w:szCs w:val="24"/>
          <w:lang w:val="en-US"/>
        </w:rPr>
      </w:pPr>
    </w:p>
    <w:p w:rsidR="001A7D17" w:rsidRDefault="001A7D17" w:rsidP="00C33465">
      <w:pPr>
        <w:tabs>
          <w:tab w:val="left" w:pos="0"/>
        </w:tabs>
        <w:spacing w:after="120"/>
        <w:jc w:val="center"/>
        <w:rPr>
          <w:rFonts w:ascii="Times New Roman" w:hAnsi="Times New Roman" w:cs="Times New Roman"/>
          <w:b/>
          <w:sz w:val="24"/>
          <w:szCs w:val="24"/>
          <w:lang w:val="en-US"/>
        </w:rPr>
      </w:pPr>
    </w:p>
    <w:p w:rsidR="002C76AC" w:rsidRDefault="00C33465" w:rsidP="002C76AC">
      <w:pPr>
        <w:tabs>
          <w:tab w:val="left" w:pos="0"/>
        </w:tabs>
        <w:spacing w:after="0" w:line="240" w:lineRule="auto"/>
        <w:jc w:val="center"/>
        <w:rPr>
          <w:rFonts w:ascii="Times New Roman" w:hAnsi="Times New Roman" w:cs="Times New Roman"/>
          <w:b/>
          <w:sz w:val="24"/>
          <w:szCs w:val="24"/>
          <w:lang w:val="en-US"/>
        </w:rPr>
      </w:pPr>
      <w:r w:rsidRPr="00372C07">
        <w:rPr>
          <w:rFonts w:ascii="Times New Roman" w:hAnsi="Times New Roman" w:cs="Times New Roman"/>
          <w:b/>
          <w:sz w:val="24"/>
          <w:szCs w:val="24"/>
          <w:lang w:val="en-US"/>
        </w:rPr>
        <w:t>Moscow</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Exchange</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fees</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per</w:t>
      </w:r>
      <w:r w:rsidRPr="00372C07">
        <w:rPr>
          <w:rFonts w:ascii="Times New Roman" w:hAnsi="Times New Roman" w:cs="Times New Roman"/>
          <w:b/>
          <w:sz w:val="24"/>
          <w:szCs w:val="24"/>
        </w:rPr>
        <w:t xml:space="preserve"> deals </w:t>
      </w:r>
      <w:r w:rsidRPr="00372C07">
        <w:rPr>
          <w:rFonts w:ascii="Times New Roman" w:hAnsi="Times New Roman" w:cs="Times New Roman"/>
          <w:b/>
          <w:sz w:val="24"/>
          <w:szCs w:val="24"/>
          <w:lang w:val="en-US"/>
        </w:rPr>
        <w:t>in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foreign</w:t>
      </w:r>
      <w:r w:rsidRPr="00372C07">
        <w:rPr>
          <w:rFonts w:ascii="Times New Roman" w:hAnsi="Times New Roman" w:cs="Times New Roman"/>
          <w:b/>
          <w:sz w:val="24"/>
          <w:szCs w:val="24"/>
        </w:rPr>
        <w:t xml:space="preserve"> </w:t>
      </w:r>
      <w:r w:rsidRPr="00372C07">
        <w:rPr>
          <w:rFonts w:ascii="Times New Roman" w:hAnsi="Times New Roman" w:cs="Times New Roman"/>
          <w:b/>
          <w:sz w:val="24"/>
          <w:szCs w:val="24"/>
          <w:lang w:val="en-US"/>
        </w:rPr>
        <w:t>currency</w:t>
      </w:r>
    </w:p>
    <w:p w:rsidR="00C33465" w:rsidRDefault="002C76AC" w:rsidP="002C76AC">
      <w:pPr>
        <w:tabs>
          <w:tab w:val="left" w:pos="0"/>
        </w:tabs>
        <w:spacing w:after="0" w:line="240" w:lineRule="auto"/>
        <w:jc w:val="center"/>
        <w:rPr>
          <w:rFonts w:ascii="Times New Roman" w:hAnsi="Times New Roman" w:cs="Times New Roman"/>
          <w:sz w:val="24"/>
          <w:szCs w:val="24"/>
        </w:rPr>
      </w:pPr>
      <w:r w:rsidRPr="002C76AC">
        <w:rPr>
          <w:rFonts w:ascii="Times New Roman" w:hAnsi="Times New Roman" w:cs="Times New Roman"/>
          <w:sz w:val="24"/>
          <w:szCs w:val="24"/>
          <w:lang w:val="en-US"/>
        </w:rPr>
        <w:t>(restated version)</w:t>
      </w:r>
      <w:r w:rsidR="00AB6871" w:rsidRPr="002C76AC">
        <w:rPr>
          <w:rFonts w:ascii="Times New Roman" w:hAnsi="Times New Roman" w:cs="Times New Roman"/>
          <w:sz w:val="24"/>
          <w:szCs w:val="24"/>
        </w:rPr>
        <w:t xml:space="preserve"> </w:t>
      </w:r>
    </w:p>
    <w:p w:rsidR="002C76AC" w:rsidRPr="002C76AC" w:rsidRDefault="002C76AC" w:rsidP="002C76AC">
      <w:pPr>
        <w:tabs>
          <w:tab w:val="left" w:pos="0"/>
        </w:tabs>
        <w:spacing w:after="0" w:line="240" w:lineRule="auto"/>
        <w:jc w:val="center"/>
        <w:rPr>
          <w:rFonts w:ascii="Times New Roman" w:hAnsi="Times New Roman" w:cs="Times New Roman"/>
          <w:sz w:val="24"/>
          <w:szCs w:val="24"/>
        </w:rPr>
      </w:pPr>
    </w:p>
    <w:p w:rsidR="00C33465" w:rsidRPr="00372C07" w:rsidRDefault="00C33465" w:rsidP="00C33465">
      <w:pPr>
        <w:numPr>
          <w:ilvl w:val="0"/>
          <w:numId w:val="12"/>
        </w:numPr>
        <w:tabs>
          <w:tab w:val="left" w:pos="720"/>
          <w:tab w:val="left" w:pos="1080"/>
        </w:tabs>
        <w:spacing w:after="120" w:line="240" w:lineRule="auto"/>
        <w:jc w:val="both"/>
        <w:rPr>
          <w:rFonts w:ascii="Times New Roman" w:hAnsi="Times New Roman" w:cs="Times New Roman"/>
          <w:sz w:val="24"/>
          <w:szCs w:val="24"/>
        </w:rPr>
      </w:pPr>
      <w:r w:rsidRPr="00372C07">
        <w:rPr>
          <w:rFonts w:ascii="Times New Roman" w:hAnsi="Times New Roman" w:cs="Times New Roman"/>
          <w:sz w:val="24"/>
          <w:szCs w:val="24"/>
          <w:lang w:val="en-US"/>
        </w:rPr>
        <w:t>The size</w:t>
      </w:r>
      <w:r w:rsidRPr="00372C07">
        <w:rPr>
          <w:rFonts w:ascii="Times New Roman" w:hAnsi="Times New Roman" w:cs="Times New Roman"/>
          <w:sz w:val="24"/>
          <w:szCs w:val="24"/>
        </w:rPr>
        <w:t xml:space="preserve">, calculation procedure and dates of payment </w:t>
      </w:r>
      <w:r w:rsidRPr="00372C07">
        <w:rPr>
          <w:rFonts w:ascii="Times New Roman" w:hAnsi="Times New Roman" w:cs="Times New Roman"/>
          <w:sz w:val="24"/>
          <w:szCs w:val="24"/>
          <w:lang w:val="en-US"/>
        </w:rPr>
        <w:t>of</w:t>
      </w:r>
      <w:r w:rsidRPr="00372C07">
        <w:rPr>
          <w:rFonts w:ascii="Times New Roman" w:hAnsi="Times New Roman" w:cs="Times New Roman"/>
          <w:sz w:val="24"/>
          <w:szCs w:val="24"/>
        </w:rPr>
        <w:t xml:space="preserve"> Moscow Exchange’s fee</w:t>
      </w:r>
      <w:r w:rsidRPr="00372C07">
        <w:rPr>
          <w:rFonts w:ascii="Times New Roman" w:hAnsi="Times New Roman" w:cs="Times New Roman"/>
          <w:sz w:val="24"/>
          <w:szCs w:val="24"/>
          <w:lang w:val="en-US"/>
        </w:rPr>
        <w:t>s</w:t>
      </w:r>
      <w:r w:rsidRPr="00372C07">
        <w:rPr>
          <w:rFonts w:ascii="Times New Roman" w:hAnsi="Times New Roman" w:cs="Times New Roman"/>
          <w:sz w:val="24"/>
          <w:szCs w:val="24"/>
        </w:rPr>
        <w:t xml:space="preserve"> for organisation of trading per deals in foreign currency </w:t>
      </w:r>
      <w:r w:rsidRPr="00372C07">
        <w:rPr>
          <w:rFonts w:ascii="Times New Roman" w:hAnsi="Times New Roman" w:cs="Times New Roman"/>
          <w:sz w:val="24"/>
          <w:szCs w:val="24"/>
          <w:lang w:val="en-US"/>
        </w:rPr>
        <w:t>effected</w:t>
      </w:r>
      <w:r w:rsidRPr="00372C07">
        <w:rPr>
          <w:rFonts w:ascii="Times New Roman" w:hAnsi="Times New Roman" w:cs="Times New Roman"/>
          <w:sz w:val="24"/>
          <w:szCs w:val="24"/>
        </w:rPr>
        <w:t xml:space="preserve"> by trading members during on-exchange trading:</w:t>
      </w:r>
    </w:p>
    <w:p w:rsidR="00C33465" w:rsidRPr="00372C07" w:rsidRDefault="00C33465" w:rsidP="00C33465">
      <w:pPr>
        <w:numPr>
          <w:ilvl w:val="1"/>
          <w:numId w:val="12"/>
        </w:numPr>
        <w:tabs>
          <w:tab w:val="clear" w:pos="1389"/>
          <w:tab w:val="num" w:pos="-29418"/>
          <w:tab w:val="left" w:pos="180"/>
          <w:tab w:val="left" w:pos="1080"/>
          <w:tab w:val="num" w:pos="4082"/>
        </w:tabs>
        <w:spacing w:after="120" w:line="240" w:lineRule="auto"/>
        <w:ind w:left="0" w:firstLine="540"/>
        <w:jc w:val="both"/>
        <w:rPr>
          <w:rFonts w:ascii="Times New Roman" w:hAnsi="Times New Roman" w:cs="Times New Roman"/>
          <w:sz w:val="24"/>
          <w:szCs w:val="24"/>
        </w:rPr>
      </w:pP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executing</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spot</w:t>
      </w:r>
      <w:r w:rsidRPr="00372C07">
        <w:rPr>
          <w:rFonts w:ascii="Times New Roman" w:hAnsi="Times New Roman" w:cs="Times New Roman"/>
          <w:sz w:val="24"/>
          <w:szCs w:val="24"/>
        </w:rPr>
        <w:t xml:space="preserve"> </w:t>
      </w:r>
      <w:r w:rsidR="00AB6871">
        <w:rPr>
          <w:rFonts w:ascii="Times New Roman" w:hAnsi="Times New Roman" w:cs="Times New Roman"/>
          <w:sz w:val="24"/>
          <w:szCs w:val="24"/>
        </w:rPr>
        <w:t xml:space="preserve">and fix </w:t>
      </w:r>
      <w:r w:rsidRPr="00372C07">
        <w:rPr>
          <w:rFonts w:ascii="Times New Roman" w:hAnsi="Times New Roman" w:cs="Times New Roman"/>
          <w:sz w:val="24"/>
          <w:szCs w:val="24"/>
        </w:rPr>
        <w:t xml:space="preserve">deals, </w:t>
      </w:r>
      <w:r w:rsidRPr="00372C07">
        <w:rPr>
          <w:rFonts w:ascii="Times New Roman" w:hAnsi="Times New Roman" w:cs="Times New Roman"/>
          <w:sz w:val="24"/>
          <w:szCs w:val="24"/>
          <w:lang w:val="en-US"/>
        </w:rPr>
        <w:t>the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variable rate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payable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shall</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as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specified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below</w:t>
      </w:r>
      <w:r w:rsidRPr="00372C07">
        <w:rPr>
          <w:rFonts w:ascii="Times New Roman" w:hAnsi="Times New Roman" w:cs="Times New Roman"/>
          <w:sz w:val="24"/>
          <w:szCs w:val="24"/>
        </w:rPr>
        <w:t>:</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9"/>
        <w:gridCol w:w="3405"/>
        <w:gridCol w:w="4279"/>
      </w:tblGrid>
      <w:tr w:rsidR="00C33465" w:rsidRPr="00372C07" w:rsidTr="00C33465">
        <w:trPr>
          <w:cantSplit/>
          <w:trHeight w:val="1293"/>
        </w:trPr>
        <w:tc>
          <w:tcPr>
            <w:tcW w:w="1779"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Fee package</w:t>
            </w:r>
          </w:p>
        </w:tc>
        <w:tc>
          <w:tcPr>
            <w:tcW w:w="3405" w:type="dxa"/>
            <w:vAlign w:val="center"/>
          </w:tcPr>
          <w:p w:rsidR="00C33465" w:rsidRPr="00372C07" w:rsidRDefault="00C33465" w:rsidP="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Flat rate</w:t>
            </w:r>
          </w:p>
          <w:p w:rsidR="00C33465" w:rsidRPr="00372C07" w:rsidRDefault="00C33465">
            <w:pPr>
              <w:pStyle w:val="NoSpacing1"/>
              <w:keepNext/>
              <w:spacing w:before="0" w:after="0" w:line="240" w:lineRule="auto"/>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(monthly commission fee charged to each </w:t>
            </w:r>
            <w:r w:rsidR="00AB6871">
              <w:rPr>
                <w:rFonts w:ascii="Times New Roman" w:hAnsi="Times New Roman"/>
                <w:b/>
                <w:sz w:val="24"/>
                <w:szCs w:val="24"/>
                <w:lang w:val="en-GB" w:eastAsia="ru-RU"/>
              </w:rPr>
              <w:t xml:space="preserve"> identifier </w:t>
            </w:r>
            <w:r w:rsidRPr="00372C07">
              <w:rPr>
                <w:rFonts w:ascii="Times New Roman" w:hAnsi="Times New Roman"/>
                <w:b/>
                <w:sz w:val="24"/>
                <w:szCs w:val="24"/>
                <w:lang w:val="en-GB" w:eastAsia="ru-RU"/>
              </w:rPr>
              <w:t>of a Trading Member)</w:t>
            </w:r>
          </w:p>
        </w:tc>
        <w:tc>
          <w:tcPr>
            <w:tcW w:w="4279" w:type="dxa"/>
            <w:vAlign w:val="center"/>
          </w:tcPr>
          <w:p w:rsidR="00C33465" w:rsidRPr="00372C07" w:rsidRDefault="00C33465" w:rsidP="00C33465">
            <w:pPr>
              <w:pStyle w:val="NoSpacing1"/>
              <w:keepNext/>
              <w:jc w:val="center"/>
              <w:rPr>
                <w:rFonts w:ascii="Times New Roman" w:hAnsi="Times New Roman"/>
                <w:b/>
                <w:sz w:val="24"/>
                <w:szCs w:val="24"/>
                <w:lang w:val="en-GB" w:eastAsia="ru-RU"/>
              </w:rPr>
            </w:pPr>
            <w:r w:rsidRPr="00372C07">
              <w:rPr>
                <w:rFonts w:ascii="Times New Roman" w:hAnsi="Times New Roman"/>
                <w:b/>
                <w:sz w:val="24"/>
                <w:szCs w:val="24"/>
                <w:lang w:val="en-GB" w:eastAsia="ru-RU"/>
              </w:rPr>
              <w:t xml:space="preserve">Variable rate </w:t>
            </w:r>
            <w:r w:rsidRPr="00372C07">
              <w:rPr>
                <w:rFonts w:ascii="Times New Roman" w:hAnsi="Times New Roman"/>
                <w:b/>
                <w:sz w:val="24"/>
                <w:szCs w:val="24"/>
                <w:lang w:val="en-GB"/>
              </w:rPr>
              <w:t>(volume-based commission fee charged off volume of each spot trade</w:t>
            </w:r>
            <w:r w:rsidR="00AB6871">
              <w:rPr>
                <w:rFonts w:ascii="Times New Roman" w:hAnsi="Times New Roman"/>
                <w:b/>
                <w:sz w:val="24"/>
                <w:szCs w:val="24"/>
                <w:lang w:val="en-GB"/>
              </w:rPr>
              <w:t>/fix trade</w:t>
            </w:r>
            <w:r w:rsidRPr="00372C07">
              <w:rPr>
                <w:rFonts w:ascii="Times New Roman" w:hAnsi="Times New Roman"/>
                <w:b/>
                <w:sz w:val="24"/>
                <w:szCs w:val="24"/>
                <w:lang w:val="en-GB"/>
              </w:rPr>
              <w:t xml:space="preserve"> in quoted currency (%)</w:t>
            </w:r>
            <w:r w:rsidRPr="00372C07">
              <w:rPr>
                <w:rFonts w:ascii="Times New Roman" w:hAnsi="Times New Roman"/>
                <w:b/>
                <w:sz w:val="24"/>
                <w:szCs w:val="24"/>
                <w:lang w:val="en-GB" w:eastAsia="ru-RU"/>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SPT_0</w:t>
            </w:r>
          </w:p>
        </w:tc>
        <w:tc>
          <w:tcPr>
            <w:tcW w:w="3405" w:type="dxa"/>
            <w:vAlign w:val="bottom"/>
          </w:tcPr>
          <w:p w:rsidR="00C33465" w:rsidRPr="00372C07" w:rsidRDefault="00C33465" w:rsidP="00C3346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w:t>
            </w:r>
          </w:p>
        </w:tc>
        <w:tc>
          <w:tcPr>
            <w:tcW w:w="4279"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8625</w:t>
            </w:r>
            <w:r w:rsidRPr="00372C07">
              <w:rPr>
                <w:rFonts w:ascii="Times New Roman" w:hAnsi="Times New Roman"/>
                <w:sz w:val="24"/>
                <w:szCs w:val="24"/>
                <w:lang w:val="en-GB"/>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SPT_1000</w:t>
            </w:r>
          </w:p>
        </w:tc>
        <w:tc>
          <w:tcPr>
            <w:tcW w:w="3405"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w:t>
            </w:r>
            <w:r w:rsidR="00AC4015">
              <w:rPr>
                <w:rFonts w:ascii="Times New Roman" w:hAnsi="Times New Roman"/>
                <w:sz w:val="24"/>
                <w:szCs w:val="24"/>
                <w:lang w:val="en-GB"/>
              </w:rPr>
              <w:t>575</w:t>
            </w:r>
            <w:r w:rsidRPr="00372C07">
              <w:rPr>
                <w:rFonts w:ascii="Times New Roman" w:hAnsi="Times New Roman"/>
                <w:sz w:val="24"/>
                <w:szCs w:val="24"/>
                <w:lang w:val="en-GB"/>
              </w:rPr>
              <w:t>,000</w:t>
            </w:r>
          </w:p>
        </w:tc>
        <w:tc>
          <w:tcPr>
            <w:tcW w:w="4279" w:type="dxa"/>
            <w:vAlign w:val="bottom"/>
          </w:tcPr>
          <w:p w:rsidR="00C33465" w:rsidRPr="00372C07" w:rsidRDefault="00C33465" w:rsidP="00AC4015">
            <w:pPr>
              <w:pStyle w:val="NoSpacing1"/>
              <w:keepNext/>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5750</w:t>
            </w:r>
            <w:r w:rsidRPr="00372C07">
              <w:rPr>
                <w:rFonts w:ascii="Times New Roman" w:hAnsi="Times New Roman"/>
                <w:sz w:val="24"/>
                <w:szCs w:val="24"/>
                <w:lang w:val="en-GB"/>
              </w:rPr>
              <w:t>%</w:t>
            </w:r>
          </w:p>
        </w:tc>
      </w:tr>
      <w:tr w:rsidR="00C33465" w:rsidRPr="00372C07" w:rsidTr="00C33465">
        <w:trPr>
          <w:cantSplit/>
          <w:trHeight w:val="477"/>
        </w:trPr>
        <w:tc>
          <w:tcPr>
            <w:tcW w:w="1779" w:type="dxa"/>
            <w:vAlign w:val="center"/>
          </w:tcPr>
          <w:p w:rsidR="00C33465" w:rsidRPr="00372C07" w:rsidRDefault="00C33465" w:rsidP="00C33465">
            <w:pPr>
              <w:jc w:val="center"/>
              <w:rPr>
                <w:rFonts w:ascii="Times New Roman" w:hAnsi="Times New Roman" w:cs="Times New Roman"/>
                <w:sz w:val="24"/>
                <w:szCs w:val="24"/>
              </w:rPr>
            </w:pPr>
            <w:r w:rsidRPr="00372C07">
              <w:rPr>
                <w:rFonts w:ascii="Times New Roman" w:hAnsi="Times New Roman" w:cs="Times New Roman"/>
                <w:color w:val="000000"/>
                <w:sz w:val="24"/>
                <w:szCs w:val="24"/>
              </w:rPr>
              <w:t>SPT_2000</w:t>
            </w:r>
          </w:p>
        </w:tc>
        <w:tc>
          <w:tcPr>
            <w:tcW w:w="3405" w:type="dxa"/>
            <w:vAlign w:val="bottom"/>
          </w:tcPr>
          <w:p w:rsidR="00C33465" w:rsidRPr="00372C07" w:rsidRDefault="00C33465" w:rsidP="00AC401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RUB </w:t>
            </w:r>
            <w:r w:rsidR="00AC4015">
              <w:rPr>
                <w:rFonts w:ascii="Times New Roman" w:hAnsi="Times New Roman"/>
                <w:sz w:val="24"/>
                <w:szCs w:val="24"/>
                <w:lang w:val="en-GB"/>
              </w:rPr>
              <w:t>1,150</w:t>
            </w:r>
            <w:r w:rsidRPr="00372C07">
              <w:rPr>
                <w:rFonts w:ascii="Times New Roman" w:hAnsi="Times New Roman"/>
                <w:sz w:val="24"/>
                <w:szCs w:val="24"/>
                <w:lang w:val="en-GB"/>
              </w:rPr>
              <w:t>,000</w:t>
            </w:r>
          </w:p>
        </w:tc>
        <w:tc>
          <w:tcPr>
            <w:tcW w:w="4279" w:type="dxa"/>
            <w:vAlign w:val="bottom"/>
          </w:tcPr>
          <w:p w:rsidR="00C33465" w:rsidRPr="00372C07" w:rsidRDefault="00C33465" w:rsidP="00AC4015">
            <w:pPr>
              <w:pStyle w:val="NoSpacing1"/>
              <w:spacing w:line="240" w:lineRule="auto"/>
              <w:jc w:val="center"/>
              <w:rPr>
                <w:rFonts w:ascii="Times New Roman" w:hAnsi="Times New Roman"/>
                <w:sz w:val="24"/>
                <w:szCs w:val="24"/>
                <w:lang w:val="en-GB" w:eastAsia="ru-RU"/>
              </w:rPr>
            </w:pPr>
            <w:r w:rsidRPr="00372C07">
              <w:rPr>
                <w:rFonts w:ascii="Times New Roman" w:hAnsi="Times New Roman"/>
                <w:sz w:val="24"/>
                <w:szCs w:val="24"/>
                <w:lang w:val="en-GB"/>
              </w:rPr>
              <w:t>0.000</w:t>
            </w:r>
            <w:r w:rsidR="00AC4015">
              <w:rPr>
                <w:rFonts w:ascii="Times New Roman" w:hAnsi="Times New Roman"/>
                <w:sz w:val="24"/>
                <w:szCs w:val="24"/>
                <w:lang w:val="en-GB"/>
              </w:rPr>
              <w:t>4600</w:t>
            </w:r>
            <w:r w:rsidRPr="00372C07">
              <w:rPr>
                <w:rFonts w:ascii="Times New Roman" w:hAnsi="Times New Roman"/>
                <w:sz w:val="24"/>
                <w:szCs w:val="24"/>
                <w:lang w:val="en-GB"/>
              </w:rPr>
              <w:t>%</w:t>
            </w:r>
          </w:p>
        </w:tc>
      </w:tr>
    </w:tbl>
    <w:p w:rsidR="00AB6871" w:rsidRDefault="00AB6871" w:rsidP="00AB6871">
      <w:pPr>
        <w:tabs>
          <w:tab w:val="left" w:pos="0"/>
        </w:tabs>
        <w:spacing w:after="120"/>
        <w:rPr>
          <w:rFonts w:ascii="Times New Roman" w:hAnsi="Times New Roman" w:cs="Times New Roman"/>
          <w:sz w:val="24"/>
          <w:szCs w:val="24"/>
        </w:rPr>
      </w:pPr>
    </w:p>
    <w:p w:rsidR="00C33465" w:rsidRPr="00372C07" w:rsidRDefault="00E37C64" w:rsidP="00AB6871">
      <w:pPr>
        <w:tabs>
          <w:tab w:val="left" w:pos="0"/>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1.2. </w:t>
      </w:r>
      <w:r w:rsidR="00C33465" w:rsidRPr="00372C07">
        <w:rPr>
          <w:rFonts w:ascii="Times New Roman" w:hAnsi="Times New Roman" w:cs="Times New Roman"/>
          <w:sz w:val="24"/>
          <w:szCs w:val="24"/>
          <w:lang w:val="en-US"/>
        </w:rPr>
        <w:t xml:space="preserve">Fee packages in sub-clause 1.1 of clause 1 </w:t>
      </w:r>
      <w:r w:rsidR="00AB6871" w:rsidRPr="00AB6871">
        <w:rPr>
          <w:rFonts w:ascii="Times New Roman" w:hAnsi="Times New Roman" w:cs="Times New Roman"/>
          <w:sz w:val="24"/>
          <w:szCs w:val="24"/>
          <w:lang w:val="en-US"/>
        </w:rPr>
        <w:t xml:space="preserve">of </w:t>
      </w:r>
      <w:r w:rsidR="00AB6871">
        <w:rPr>
          <w:rFonts w:ascii="Times New Roman" w:hAnsi="Times New Roman" w:cs="Times New Roman"/>
          <w:sz w:val="24"/>
          <w:szCs w:val="24"/>
          <w:lang w:val="en-US"/>
        </w:rPr>
        <w:t xml:space="preserve">the </w:t>
      </w:r>
      <w:r w:rsidR="00AB6871" w:rsidRPr="00AB6871">
        <w:rPr>
          <w:rFonts w:ascii="Times New Roman" w:hAnsi="Times New Roman" w:cs="Times New Roman"/>
          <w:sz w:val="24"/>
          <w:szCs w:val="24"/>
          <w:lang w:val="en-US"/>
        </w:rPr>
        <w:t>Moscow</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Exchange</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fees</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per</w:t>
      </w:r>
      <w:r w:rsidR="00AB6871" w:rsidRPr="00AB6871">
        <w:rPr>
          <w:rFonts w:ascii="Times New Roman" w:hAnsi="Times New Roman" w:cs="Times New Roman"/>
          <w:sz w:val="24"/>
          <w:szCs w:val="24"/>
        </w:rPr>
        <w:t xml:space="preserve"> deals </w:t>
      </w:r>
      <w:r w:rsidR="00AB6871" w:rsidRPr="00AB6871">
        <w:rPr>
          <w:rFonts w:ascii="Times New Roman" w:hAnsi="Times New Roman" w:cs="Times New Roman"/>
          <w:sz w:val="24"/>
          <w:szCs w:val="24"/>
          <w:lang w:val="en-US"/>
        </w:rPr>
        <w:t>in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foreign</w:t>
      </w:r>
      <w:r w:rsidR="00AB6871" w:rsidRPr="00AB6871">
        <w:rPr>
          <w:rFonts w:ascii="Times New Roman" w:hAnsi="Times New Roman" w:cs="Times New Roman"/>
          <w:sz w:val="24"/>
          <w:szCs w:val="24"/>
        </w:rPr>
        <w:t xml:space="preserve"> </w:t>
      </w:r>
      <w:r w:rsidR="00AB6871" w:rsidRPr="00AB6871">
        <w:rPr>
          <w:rFonts w:ascii="Times New Roman" w:hAnsi="Times New Roman" w:cs="Times New Roman"/>
          <w:sz w:val="24"/>
          <w:szCs w:val="24"/>
          <w:lang w:val="en-US"/>
        </w:rPr>
        <w:t>currency</w:t>
      </w:r>
      <w:r w:rsidR="00AB6871" w:rsidRPr="00AB6871">
        <w:rPr>
          <w:rFonts w:ascii="Times New Roman" w:hAnsi="Times New Roman" w:cs="Times New Roman"/>
          <w:sz w:val="24"/>
          <w:szCs w:val="24"/>
        </w:rPr>
        <w:t xml:space="preserve"> </w:t>
      </w:r>
      <w:r w:rsidR="00AB6871">
        <w:rPr>
          <w:rFonts w:ascii="Times New Roman" w:hAnsi="Times New Roman" w:cs="Times New Roman"/>
          <w:sz w:val="24"/>
          <w:szCs w:val="24"/>
        </w:rPr>
        <w:t xml:space="preserve">(hereinafter, the Fees) </w:t>
      </w:r>
      <w:r w:rsidR="00C33465" w:rsidRPr="00372C07">
        <w:rPr>
          <w:rFonts w:ascii="Times New Roman" w:hAnsi="Times New Roman" w:cs="Times New Roman"/>
          <w:sz w:val="24"/>
          <w:szCs w:val="24"/>
          <w:lang w:val="en-US"/>
        </w:rPr>
        <w:t xml:space="preserve">shall be selected or changed based on the trading member’s application submitted to </w:t>
      </w:r>
      <w:r w:rsidR="00864F45">
        <w:rPr>
          <w:rFonts w:ascii="Times New Roman" w:hAnsi="Times New Roman" w:cs="Times New Roman"/>
          <w:sz w:val="24"/>
          <w:szCs w:val="24"/>
          <w:lang w:val="en-US"/>
        </w:rPr>
        <w:t xml:space="preserve">CCP </w:t>
      </w:r>
      <w:r w:rsidR="00C413AB" w:rsidRPr="00372C07">
        <w:rPr>
          <w:rFonts w:ascii="Times New Roman" w:hAnsi="Times New Roman" w:cs="Times New Roman"/>
          <w:sz w:val="24"/>
          <w:szCs w:val="24"/>
          <w:lang w:val="en-US"/>
        </w:rPr>
        <w:t>NCC</w:t>
      </w:r>
      <w:r w:rsidR="00C33465" w:rsidRPr="00372C07">
        <w:rPr>
          <w:rFonts w:ascii="Times New Roman" w:hAnsi="Times New Roman" w:cs="Times New Roman"/>
          <w:sz w:val="24"/>
          <w:szCs w:val="24"/>
          <w:lang w:val="en-US"/>
        </w:rPr>
        <w:t>. Such application should be submitted at least five (5) business days before the beginning of a calendar month from which the fee package is to apply.</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 1.1 of clause 1 hereof shall only take effect from the first day of a calendar month, except for the fee package </w:t>
      </w:r>
      <w:r w:rsidR="00C413AB" w:rsidRPr="00372C07">
        <w:rPr>
          <w:rFonts w:ascii="Times New Roman" w:hAnsi="Times New Roman" w:cs="Times New Roman"/>
          <w:sz w:val="24"/>
          <w:szCs w:val="24"/>
        </w:rPr>
        <w:t>SPT_0</w:t>
      </w:r>
      <w:r w:rsidRPr="00372C07">
        <w:rPr>
          <w:rFonts w:ascii="Times New Roman" w:hAnsi="Times New Roman" w:cs="Times New Roman"/>
          <w:sz w:val="24"/>
          <w:szCs w:val="24"/>
        </w:rPr>
        <w:t>, which in case of first admission to trading can takes effect from any day of a calendar month.</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lang w:val="en-US"/>
        </w:rPr>
      </w:pPr>
      <w:r w:rsidRPr="00372C07">
        <w:rPr>
          <w:rFonts w:ascii="Times New Roman" w:hAnsi="Times New Roman" w:cs="Times New Roman"/>
          <w:sz w:val="24"/>
          <w:szCs w:val="24"/>
        </w:rPr>
        <w:t xml:space="preserve">Failing to select any of the fee packages described in sub-clause </w:t>
      </w:r>
      <w:r w:rsidR="00213B26" w:rsidRPr="00372C07">
        <w:rPr>
          <w:rFonts w:ascii="Times New Roman" w:hAnsi="Times New Roman" w:cs="Times New Roman"/>
          <w:sz w:val="24"/>
          <w:szCs w:val="24"/>
        </w:rPr>
        <w:t>1.1 of</w:t>
      </w:r>
      <w:r w:rsidRPr="00372C07">
        <w:rPr>
          <w:rFonts w:ascii="Times New Roman" w:hAnsi="Times New Roman" w:cs="Times New Roman"/>
          <w:sz w:val="24"/>
          <w:szCs w:val="24"/>
        </w:rPr>
        <w:t xml:space="preserve"> clause 1 hereof, trading embers shall be assigned the fee package </w:t>
      </w:r>
      <w:r w:rsidR="00C413AB" w:rsidRPr="00372C07">
        <w:rPr>
          <w:rFonts w:ascii="Times New Roman" w:hAnsi="Times New Roman" w:cs="Times New Roman"/>
          <w:sz w:val="24"/>
          <w:szCs w:val="24"/>
        </w:rPr>
        <w:t>SPT_</w:t>
      </w:r>
      <w:r w:rsidR="00213B26" w:rsidRPr="00372C07">
        <w:rPr>
          <w:rFonts w:ascii="Times New Roman" w:hAnsi="Times New Roman" w:cs="Times New Roman"/>
          <w:sz w:val="24"/>
          <w:szCs w:val="24"/>
        </w:rPr>
        <w:t>0.</w:t>
      </w:r>
    </w:p>
    <w:p w:rsidR="00C33465" w:rsidRPr="00372C07" w:rsidRDefault="00E37C64" w:rsidP="00E37C64">
      <w:pPr>
        <w:tabs>
          <w:tab w:val="left" w:pos="180"/>
          <w:tab w:val="left" w:pos="709"/>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1.3. </w:t>
      </w:r>
      <w:r w:rsidR="00C33465" w:rsidRPr="00372C07">
        <w:rPr>
          <w:rFonts w:ascii="Times New Roman" w:hAnsi="Times New Roman" w:cs="Times New Roman"/>
          <w:sz w:val="24"/>
          <w:szCs w:val="24"/>
        </w:rPr>
        <w:t xml:space="preserve">If the trading member executes </w:t>
      </w:r>
      <w:r w:rsidR="00D14D14" w:rsidRPr="00372C07">
        <w:rPr>
          <w:rFonts w:ascii="Times New Roman" w:hAnsi="Times New Roman" w:cs="Times New Roman"/>
          <w:sz w:val="24"/>
          <w:szCs w:val="24"/>
        </w:rPr>
        <w:t xml:space="preserve">an anonymous </w:t>
      </w:r>
      <w:r w:rsidR="00C33465" w:rsidRPr="00372C07">
        <w:rPr>
          <w:rFonts w:ascii="Times New Roman" w:hAnsi="Times New Roman" w:cs="Times New Roman"/>
          <w:sz w:val="24"/>
          <w:szCs w:val="24"/>
        </w:rPr>
        <w:t>spot trade, under the order filed by the trading member for less than 50 lots, the fee for organization of trading in such spot deals shall be as follows (also considering section 4 of this sub-clause):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rubles – V * </w:t>
      </w:r>
      <w:r w:rsidR="004417F7">
        <w:rPr>
          <w:rFonts w:ascii="Times New Roman" w:hAnsi="Times New Roman" w:cs="Times New Roman"/>
          <w:sz w:val="24"/>
          <w:szCs w:val="24"/>
          <w:lang w:val="en-US"/>
        </w:rPr>
        <w:t xml:space="preserve">0.0006375% </w:t>
      </w:r>
      <w:r w:rsidRPr="00372C07">
        <w:rPr>
          <w:rFonts w:ascii="Times New Roman" w:hAnsi="Times New Roman" w:cs="Times New Roman"/>
          <w:sz w:val="24"/>
          <w:szCs w:val="24"/>
        </w:rPr>
        <w:t>(for members opting for fee package SPT_0),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rubles – V * </w:t>
      </w:r>
      <w:r w:rsidR="004417F7">
        <w:rPr>
          <w:rFonts w:ascii="Times New Roman" w:hAnsi="Times New Roman" w:cs="Times New Roman"/>
          <w:sz w:val="24"/>
          <w:szCs w:val="24"/>
        </w:rPr>
        <w:t>0.000425%</w:t>
      </w:r>
      <w:r w:rsidRPr="00372C07">
        <w:rPr>
          <w:rFonts w:ascii="Times New Roman" w:hAnsi="Times New Roman" w:cs="Times New Roman"/>
          <w:sz w:val="24"/>
          <w:szCs w:val="24"/>
        </w:rPr>
        <w:t>(for members opting for fee package SPT_1000),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 xml:space="preserve">С = 25 rubles – V * </w:t>
      </w:r>
      <w:r w:rsidR="004417F7">
        <w:rPr>
          <w:rFonts w:ascii="Times New Roman" w:hAnsi="Times New Roman" w:cs="Times New Roman"/>
          <w:sz w:val="24"/>
          <w:szCs w:val="24"/>
        </w:rPr>
        <w:t xml:space="preserve">0.00034 </w:t>
      </w:r>
      <w:r w:rsidRPr="00372C07">
        <w:rPr>
          <w:rFonts w:ascii="Times New Roman" w:hAnsi="Times New Roman" w:cs="Times New Roman"/>
          <w:sz w:val="24"/>
          <w:szCs w:val="24"/>
        </w:rPr>
        <w:t>(for members opting for fee package SPT_2000),</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lastRenderedPageBreak/>
        <w:t>where:</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C – the trade organizing fee in a spot trade executed under the order for less than 50 lots,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V – volume of the spot trade in Russian rubles.</w:t>
      </w:r>
    </w:p>
    <w:p w:rsidR="00C33465" w:rsidRPr="00372C07" w:rsidRDefault="00C33465" w:rsidP="00C33465">
      <w:pPr>
        <w:tabs>
          <w:tab w:val="left" w:pos="180"/>
          <w:tab w:val="left" w:pos="1080"/>
        </w:tabs>
        <w:spacing w:after="120"/>
        <w:ind w:firstLine="540"/>
        <w:jc w:val="both"/>
        <w:rPr>
          <w:rFonts w:ascii="Times New Roman" w:hAnsi="Times New Roman" w:cs="Times New Roman"/>
          <w:sz w:val="24"/>
          <w:szCs w:val="24"/>
        </w:rPr>
      </w:pPr>
      <w:r w:rsidRPr="00372C07">
        <w:rPr>
          <w:rFonts w:ascii="Times New Roman" w:hAnsi="Times New Roman" w:cs="Times New Roman"/>
          <w:sz w:val="24"/>
          <w:szCs w:val="24"/>
        </w:rPr>
        <w:t>Should the value of V * 0.0015% for fee package SPT_0, and V * 0.0010% for fee package SPT_1000 or V * 0.0008% for fee package SPT_2000 exceed 25 rubles, the trading member shall be charged the fee as envisaged in the selected fee package.</w:t>
      </w:r>
    </w:p>
    <w:p w:rsidR="00C33465" w:rsidRPr="00372C07" w:rsidRDefault="00E37C64" w:rsidP="00E37C64">
      <w:pPr>
        <w:tabs>
          <w:tab w:val="left" w:pos="709"/>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1.4. </w:t>
      </w:r>
      <w:r w:rsidR="00C33465" w:rsidRPr="00372C07">
        <w:rPr>
          <w:rFonts w:ascii="Times New Roman" w:hAnsi="Times New Roman" w:cs="Times New Roman"/>
          <w:sz w:val="24"/>
          <w:szCs w:val="24"/>
        </w:rPr>
        <w:t>T</w:t>
      </w:r>
      <w:r w:rsidR="00C33465" w:rsidRPr="00372C07">
        <w:rPr>
          <w:rFonts w:ascii="Times New Roman" w:hAnsi="Times New Roman" w:cs="Times New Roman"/>
          <w:sz w:val="24"/>
          <w:szCs w:val="24"/>
          <w:lang w:val="en-US"/>
        </w:rPr>
        <w:t>he flat rate payable when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executing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deals, </w:t>
      </w:r>
      <w:r w:rsidR="00C33465" w:rsidRPr="00372C07">
        <w:rPr>
          <w:rFonts w:ascii="Times New Roman" w:hAnsi="Times New Roman" w:cs="Times New Roman"/>
          <w:sz w:val="24"/>
          <w:szCs w:val="24"/>
          <w:lang w:val="en-US"/>
        </w:rPr>
        <w:t>swap</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deliverable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futures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contracts shall be determined as follows</w:t>
      </w:r>
      <w:r w:rsidR="00C33465" w:rsidRPr="00372C07">
        <w:rPr>
          <w:rFonts w:ascii="Times New Roman" w:hAnsi="Times New Roman" w:cs="Times New Roman"/>
          <w:sz w:val="24"/>
          <w:szCs w:val="24"/>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0"/>
        <w:gridCol w:w="5396"/>
      </w:tblGrid>
      <w:tr w:rsidR="00C33465" w:rsidRPr="00372C07" w:rsidTr="008463D9">
        <w:trPr>
          <w:cantSplit/>
          <w:trHeight w:val="1050"/>
        </w:trPr>
        <w:tc>
          <w:tcPr>
            <w:tcW w:w="3960"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Fee package</w:t>
            </w:r>
          </w:p>
        </w:tc>
        <w:tc>
          <w:tcPr>
            <w:tcW w:w="5396" w:type="dxa"/>
            <w:vMerge w:val="restart"/>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Flat rate</w:t>
            </w:r>
          </w:p>
          <w:p w:rsidR="00C33465" w:rsidRPr="00E960D9" w:rsidRDefault="00C33465">
            <w:pPr>
              <w:pStyle w:val="NoSpacing1"/>
              <w:keepNext/>
              <w:spacing w:before="0" w:after="0" w:line="240" w:lineRule="auto"/>
              <w:jc w:val="center"/>
              <w:rPr>
                <w:rFonts w:ascii="Times New Roman" w:hAnsi="Times New Roman"/>
                <w:b/>
                <w:lang w:val="en-GB" w:eastAsia="ru-RU"/>
              </w:rPr>
            </w:pPr>
            <w:r w:rsidRPr="00E960D9">
              <w:rPr>
                <w:rFonts w:ascii="Times New Roman" w:hAnsi="Times New Roman"/>
                <w:b/>
                <w:lang w:val="en-GB" w:eastAsia="ru-RU"/>
              </w:rPr>
              <w:t xml:space="preserve">(monthly commission fee charged to </w:t>
            </w:r>
            <w:r w:rsidR="00E37C64">
              <w:rPr>
                <w:rFonts w:ascii="Times New Roman" w:hAnsi="Times New Roman"/>
                <w:b/>
                <w:lang w:val="en-GB" w:eastAsia="ru-RU"/>
              </w:rPr>
              <w:t>identifier</w:t>
            </w:r>
            <w:r w:rsidRPr="00E960D9">
              <w:rPr>
                <w:rFonts w:ascii="Times New Roman" w:hAnsi="Times New Roman"/>
                <w:b/>
                <w:lang w:val="en-GB" w:eastAsia="ru-RU"/>
              </w:rPr>
              <w:t xml:space="preserve"> of a Trading Member) </w:t>
            </w:r>
          </w:p>
        </w:tc>
      </w:tr>
      <w:tr w:rsidR="00C33465" w:rsidRPr="00372C07" w:rsidTr="008463D9">
        <w:trPr>
          <w:cantSplit/>
          <w:trHeight w:val="276"/>
        </w:trPr>
        <w:tc>
          <w:tcPr>
            <w:tcW w:w="3960"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c>
          <w:tcPr>
            <w:tcW w:w="5396" w:type="dxa"/>
            <w:vMerge/>
            <w:vAlign w:val="center"/>
          </w:tcPr>
          <w:p w:rsidR="00C33465" w:rsidRPr="00E960D9" w:rsidRDefault="00C33465" w:rsidP="00C33465">
            <w:pPr>
              <w:pStyle w:val="NoSpacing1"/>
              <w:keepNext/>
              <w:spacing w:before="0" w:after="0" w:line="240" w:lineRule="auto"/>
              <w:jc w:val="center"/>
              <w:rPr>
                <w:rFonts w:ascii="Times New Roman" w:hAnsi="Times New Roman"/>
                <w:b/>
                <w:lang w:val="en-GB" w:eastAsia="ru-RU"/>
              </w:rPr>
            </w:pP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SWP_0</w:t>
            </w:r>
          </w:p>
        </w:tc>
        <w:tc>
          <w:tcPr>
            <w:tcW w:w="5396" w:type="dxa"/>
            <w:vAlign w:val="center"/>
          </w:tcPr>
          <w:p w:rsidR="00C33465" w:rsidRPr="00E960D9" w:rsidRDefault="00C33465" w:rsidP="00C3346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w:t>
            </w:r>
          </w:p>
        </w:tc>
      </w:tr>
      <w:tr w:rsidR="00C33465" w:rsidRPr="00372C07" w:rsidTr="008463D9">
        <w:trPr>
          <w:cantSplit/>
          <w:trHeight w:val="465"/>
        </w:trPr>
        <w:tc>
          <w:tcPr>
            <w:tcW w:w="3960" w:type="dxa"/>
            <w:vAlign w:val="center"/>
          </w:tcPr>
          <w:p w:rsidR="00C33465" w:rsidRPr="00E960D9" w:rsidRDefault="00C33465" w:rsidP="00C33465">
            <w:pPr>
              <w:pStyle w:val="NoSpacing1"/>
              <w:keepNext/>
              <w:spacing w:line="240" w:lineRule="auto"/>
              <w:jc w:val="left"/>
              <w:rPr>
                <w:rFonts w:ascii="Times New Roman" w:hAnsi="Times New Roman"/>
                <w:lang w:val="en-GB" w:eastAsia="ru-RU"/>
              </w:rPr>
            </w:pPr>
            <w:r w:rsidRPr="00E960D9">
              <w:rPr>
                <w:rFonts w:ascii="Times New Roman" w:hAnsi="Times New Roman"/>
                <w:lang w:val="en-GB" w:eastAsia="ru-RU"/>
              </w:rPr>
              <w:t>SWP_300</w:t>
            </w:r>
          </w:p>
        </w:tc>
        <w:tc>
          <w:tcPr>
            <w:tcW w:w="5396" w:type="dxa"/>
            <w:vAlign w:val="center"/>
          </w:tcPr>
          <w:p w:rsidR="00C33465" w:rsidRPr="00E960D9" w:rsidRDefault="00C33465" w:rsidP="00864F45">
            <w:pPr>
              <w:pStyle w:val="NoSpacing1"/>
              <w:keepNext/>
              <w:spacing w:line="240" w:lineRule="auto"/>
              <w:jc w:val="center"/>
              <w:rPr>
                <w:rFonts w:ascii="Times New Roman" w:hAnsi="Times New Roman"/>
                <w:lang w:val="en-GB" w:eastAsia="ru-RU"/>
              </w:rPr>
            </w:pPr>
            <w:r w:rsidRPr="00E960D9">
              <w:rPr>
                <w:rFonts w:ascii="Times New Roman" w:hAnsi="Times New Roman"/>
                <w:lang w:val="en-GB" w:eastAsia="ru-RU"/>
              </w:rPr>
              <w:t>RUB </w:t>
            </w:r>
            <w:r w:rsidR="00864F45">
              <w:rPr>
                <w:rFonts w:ascii="Times New Roman" w:hAnsi="Times New Roman"/>
                <w:lang w:val="en-GB" w:eastAsia="ru-RU"/>
              </w:rPr>
              <w:t>172</w:t>
            </w:r>
            <w:r w:rsidR="00864F45" w:rsidRPr="00E960D9">
              <w:rPr>
                <w:rFonts w:ascii="Times New Roman" w:hAnsi="Times New Roman"/>
                <w:lang w:val="en-GB" w:eastAsia="ru-RU"/>
              </w:rPr>
              <w:t>,500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SWP_600</w:t>
            </w:r>
          </w:p>
        </w:tc>
        <w:tc>
          <w:tcPr>
            <w:tcW w:w="5396" w:type="dxa"/>
            <w:vAlign w:val="center"/>
          </w:tcPr>
          <w:p w:rsidR="00C33465" w:rsidRPr="00E960D9" w:rsidRDefault="00C33465" w:rsidP="00864F4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64F45">
              <w:rPr>
                <w:rFonts w:ascii="Times New Roman" w:hAnsi="Times New Roman"/>
                <w:lang w:val="en-GB" w:eastAsia="ru-RU"/>
              </w:rPr>
              <w:t>345</w:t>
            </w:r>
            <w:r w:rsidR="00864F45" w:rsidRPr="00E960D9">
              <w:rPr>
                <w:rFonts w:ascii="Times New Roman" w:hAnsi="Times New Roman"/>
                <w:lang w:val="en-GB" w:eastAsia="ru-RU"/>
              </w:rPr>
              <w:t>,000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SWP_1000</w:t>
            </w:r>
          </w:p>
        </w:tc>
        <w:tc>
          <w:tcPr>
            <w:tcW w:w="5396" w:type="dxa"/>
            <w:vAlign w:val="center"/>
          </w:tcPr>
          <w:p w:rsidR="00C33465" w:rsidRPr="00E960D9" w:rsidRDefault="00C33465" w:rsidP="00864F45">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64F45">
              <w:rPr>
                <w:rFonts w:ascii="Times New Roman" w:hAnsi="Times New Roman"/>
                <w:lang w:val="en-GB" w:eastAsia="ru-RU"/>
              </w:rPr>
              <w:t>575</w:t>
            </w:r>
            <w:r w:rsidR="00864F45" w:rsidRPr="00E960D9">
              <w:rPr>
                <w:rFonts w:ascii="Times New Roman" w:hAnsi="Times New Roman"/>
                <w:lang w:val="en-GB" w:eastAsia="ru-RU"/>
              </w:rPr>
              <w:t>,000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SWP_1500</w:t>
            </w:r>
          </w:p>
        </w:tc>
        <w:tc>
          <w:tcPr>
            <w:tcW w:w="5396" w:type="dxa"/>
            <w:vAlign w:val="center"/>
          </w:tcPr>
          <w:p w:rsidR="00C33465" w:rsidRPr="00E960D9" w:rsidRDefault="00C33465" w:rsidP="008C3347">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C3347">
              <w:rPr>
                <w:rFonts w:ascii="Times New Roman" w:hAnsi="Times New Roman"/>
                <w:lang w:val="en-GB" w:eastAsia="ru-RU"/>
              </w:rPr>
              <w:t>862</w:t>
            </w:r>
            <w:r w:rsidR="008C3347" w:rsidRPr="00E960D9">
              <w:rPr>
                <w:rFonts w:ascii="Times New Roman" w:hAnsi="Times New Roman"/>
                <w:lang w:val="en-GB" w:eastAsia="ru-RU"/>
              </w:rPr>
              <w:t>,500</w:t>
            </w:r>
          </w:p>
        </w:tc>
      </w:tr>
      <w:tr w:rsidR="00C33465" w:rsidRPr="00372C07" w:rsidTr="008463D9">
        <w:trPr>
          <w:cantSplit/>
          <w:trHeight w:val="465"/>
        </w:trPr>
        <w:tc>
          <w:tcPr>
            <w:tcW w:w="3960" w:type="dxa"/>
            <w:vAlign w:val="center"/>
          </w:tcPr>
          <w:p w:rsidR="00C33465" w:rsidRPr="00E960D9" w:rsidRDefault="00C33465" w:rsidP="00C33465">
            <w:pPr>
              <w:pStyle w:val="NoSpacing1"/>
              <w:spacing w:line="240" w:lineRule="auto"/>
              <w:jc w:val="left"/>
              <w:rPr>
                <w:rFonts w:ascii="Times New Roman" w:hAnsi="Times New Roman"/>
                <w:lang w:val="en-GB" w:eastAsia="ru-RU"/>
              </w:rPr>
            </w:pPr>
            <w:r w:rsidRPr="00E960D9">
              <w:rPr>
                <w:rFonts w:ascii="Times New Roman" w:hAnsi="Times New Roman"/>
                <w:lang w:val="en-GB" w:eastAsia="ru-RU"/>
              </w:rPr>
              <w:t>SWP_3500</w:t>
            </w:r>
          </w:p>
        </w:tc>
        <w:tc>
          <w:tcPr>
            <w:tcW w:w="5396" w:type="dxa"/>
            <w:vAlign w:val="center"/>
          </w:tcPr>
          <w:p w:rsidR="00C33465" w:rsidRPr="00E960D9" w:rsidRDefault="00C33465" w:rsidP="008C3347">
            <w:pPr>
              <w:pStyle w:val="NoSpacing1"/>
              <w:spacing w:line="240" w:lineRule="auto"/>
              <w:jc w:val="center"/>
              <w:rPr>
                <w:rFonts w:ascii="Times New Roman" w:hAnsi="Times New Roman"/>
                <w:lang w:val="en-GB" w:eastAsia="ru-RU"/>
              </w:rPr>
            </w:pPr>
            <w:r w:rsidRPr="00E960D9">
              <w:rPr>
                <w:rFonts w:ascii="Times New Roman" w:hAnsi="Times New Roman"/>
                <w:lang w:val="en-GB" w:eastAsia="ru-RU"/>
              </w:rPr>
              <w:t xml:space="preserve">RUB </w:t>
            </w:r>
            <w:r w:rsidR="008C3347">
              <w:rPr>
                <w:rFonts w:ascii="Times New Roman" w:hAnsi="Times New Roman"/>
                <w:lang w:val="en-GB" w:eastAsia="ru-RU"/>
              </w:rPr>
              <w:t>2,012</w:t>
            </w:r>
            <w:r w:rsidR="008C3347" w:rsidRPr="00E960D9">
              <w:rPr>
                <w:rFonts w:ascii="Times New Roman" w:hAnsi="Times New Roman"/>
                <w:lang w:val="en-GB" w:eastAsia="ru-RU"/>
              </w:rPr>
              <w:t>,500</w:t>
            </w:r>
          </w:p>
        </w:tc>
      </w:tr>
    </w:tbl>
    <w:p w:rsidR="00C33465" w:rsidRPr="00372C07" w:rsidRDefault="00E37C64" w:rsidP="00E37C64">
      <w:pPr>
        <w:keepNext/>
        <w:tabs>
          <w:tab w:val="left" w:pos="709"/>
          <w:tab w:val="left" w:pos="1080"/>
        </w:tabs>
        <w:spacing w:before="120"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1.5. </w:t>
      </w:r>
      <w:r w:rsidR="00C33465" w:rsidRPr="00372C07">
        <w:rPr>
          <w:rFonts w:ascii="Times New Roman" w:hAnsi="Times New Roman" w:cs="Times New Roman"/>
          <w:sz w:val="24"/>
          <w:szCs w:val="24"/>
        </w:rPr>
        <w:t xml:space="preserve">For swap </w:t>
      </w:r>
      <w:r w:rsidR="00214A7E">
        <w:rPr>
          <w:rFonts w:ascii="Times New Roman" w:hAnsi="Times New Roman" w:cs="Times New Roman"/>
          <w:sz w:val="24"/>
          <w:szCs w:val="24"/>
        </w:rPr>
        <w:t>trades</w:t>
      </w:r>
      <w:r w:rsidR="00C33465" w:rsidRPr="00372C07">
        <w:rPr>
          <w:rFonts w:ascii="Times New Roman" w:hAnsi="Times New Roman" w:cs="Times New Roman"/>
          <w:sz w:val="24"/>
          <w:szCs w:val="24"/>
        </w:rPr>
        <w:t>/</w:t>
      </w:r>
      <w:r w:rsidR="00214A7E">
        <w:rPr>
          <w:rFonts w:ascii="Times New Roman" w:hAnsi="Times New Roman" w:cs="Times New Roman"/>
          <w:sz w:val="24"/>
          <w:szCs w:val="24"/>
        </w:rPr>
        <w:t xml:space="preserve">swap contracts with the standard </w:t>
      </w:r>
      <w:r w:rsidR="00214A7E">
        <w:rPr>
          <w:rFonts w:ascii="Times New Roman" w:hAnsi="Times New Roman" w:cs="Times New Roman"/>
          <w:sz w:val="24"/>
          <w:szCs w:val="24"/>
          <w:lang w:val="en-US"/>
        </w:rPr>
        <w:t>second leg settlement period</w:t>
      </w:r>
      <w:r w:rsidR="00214A7E">
        <w:rPr>
          <w:rFonts w:ascii="Times New Roman" w:hAnsi="Times New Roman" w:cs="Times New Roman"/>
          <w:sz w:val="24"/>
          <w:szCs w:val="24"/>
        </w:rPr>
        <w:t xml:space="preserve"> (standard swap contract) </w:t>
      </w:r>
      <w:r w:rsidR="00C33465" w:rsidRPr="00372C07">
        <w:rPr>
          <w:rFonts w:ascii="Times New Roman" w:hAnsi="Times New Roman" w:cs="Times New Roman"/>
          <w:sz w:val="24"/>
          <w:szCs w:val="24"/>
        </w:rPr>
        <w:t>the variable rate of the commission fee shall be as specified below, depending on the settlement period under the second leg of the swap trade/</w:t>
      </w:r>
      <w:r w:rsidR="00214A7E">
        <w:rPr>
          <w:rFonts w:ascii="Times New Roman" w:hAnsi="Times New Roman" w:cs="Times New Roman"/>
          <w:sz w:val="24"/>
          <w:szCs w:val="24"/>
        </w:rPr>
        <w:t xml:space="preserve">standard swap </w:t>
      </w:r>
      <w:r w:rsidR="00C33465" w:rsidRPr="00372C07">
        <w:rPr>
          <w:rFonts w:ascii="Times New Roman" w:hAnsi="Times New Roman" w:cs="Times New Roman"/>
          <w:sz w:val="24"/>
          <w:szCs w:val="24"/>
        </w:rPr>
        <w:t>contract</w:t>
      </w:r>
      <w:r w:rsidR="00C33465" w:rsidRPr="00372C07">
        <w:rPr>
          <w:rFonts w:ascii="Times New Roman" w:hAnsi="Times New Roman" w:cs="Times New Roman"/>
          <w:sz w:val="24"/>
          <w:szCs w:val="24"/>
          <w:lang w:val="en-US"/>
        </w:rPr>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851"/>
        <w:gridCol w:w="567"/>
        <w:gridCol w:w="1275"/>
        <w:gridCol w:w="1276"/>
        <w:gridCol w:w="1276"/>
        <w:gridCol w:w="1276"/>
        <w:gridCol w:w="1275"/>
        <w:gridCol w:w="1276"/>
      </w:tblGrid>
      <w:tr w:rsidR="00364AC2" w:rsidRPr="00372C07" w:rsidTr="00364AC2">
        <w:trPr>
          <w:cantSplit/>
          <w:trHeight w:val="446"/>
        </w:trPr>
        <w:tc>
          <w:tcPr>
            <w:tcW w:w="1135" w:type="dxa"/>
            <w:vMerge w:val="restart"/>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eastAsia="ru-RU"/>
              </w:rPr>
              <w:t>Fee package</w:t>
            </w:r>
          </w:p>
        </w:tc>
        <w:tc>
          <w:tcPr>
            <w:tcW w:w="9072" w:type="dxa"/>
            <w:gridSpan w:val="8"/>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en-GB" w:eastAsia="ru-RU"/>
              </w:rPr>
              <w:t>Variable</w:t>
            </w:r>
            <w:r w:rsidRPr="00E960D9">
              <w:rPr>
                <w:rFonts w:ascii="Times New Roman" w:hAnsi="Times New Roman"/>
                <w:b/>
                <w:sz w:val="20"/>
                <w:szCs w:val="20"/>
                <w:lang w:eastAsia="ru-RU"/>
              </w:rPr>
              <w:t xml:space="preserve"> </w:t>
            </w:r>
            <w:r w:rsidRPr="00E960D9">
              <w:rPr>
                <w:rFonts w:ascii="Times New Roman" w:hAnsi="Times New Roman"/>
                <w:b/>
                <w:sz w:val="20"/>
                <w:szCs w:val="20"/>
                <w:lang w:val="en-GB" w:eastAsia="ru-RU"/>
              </w:rPr>
              <w:t>rate</w:t>
            </w:r>
            <w:r w:rsidRPr="00E960D9">
              <w:rPr>
                <w:rFonts w:ascii="Times New Roman" w:hAnsi="Times New Roman"/>
                <w:b/>
                <w:sz w:val="20"/>
                <w:szCs w:val="20"/>
                <w:lang w:eastAsia="ru-RU"/>
              </w:rPr>
              <w:t xml:space="preserve"> </w:t>
            </w:r>
            <w:r w:rsidRPr="00E960D9">
              <w:rPr>
                <w:rFonts w:ascii="Times New Roman" w:hAnsi="Times New Roman"/>
                <w:b/>
                <w:sz w:val="20"/>
                <w:szCs w:val="20"/>
              </w:rPr>
              <w:t>(</w:t>
            </w:r>
            <w:r w:rsidRPr="00E960D9">
              <w:rPr>
                <w:rFonts w:ascii="Times New Roman" w:hAnsi="Times New Roman"/>
                <w:b/>
                <w:sz w:val="20"/>
                <w:szCs w:val="20"/>
                <w:lang w:val="en-GB"/>
              </w:rPr>
              <w:t xml:space="preserve">volume-based commission fee charged off volume of each </w:t>
            </w:r>
            <w:r>
              <w:rPr>
                <w:rFonts w:ascii="Times New Roman" w:hAnsi="Times New Roman"/>
                <w:b/>
                <w:sz w:val="20"/>
                <w:szCs w:val="20"/>
                <w:lang w:val="en-GB"/>
              </w:rPr>
              <w:t>swap</w:t>
            </w:r>
            <w:r w:rsidRPr="00E960D9">
              <w:rPr>
                <w:rFonts w:ascii="Times New Roman" w:hAnsi="Times New Roman"/>
                <w:b/>
                <w:sz w:val="20"/>
                <w:szCs w:val="20"/>
                <w:lang w:val="en-GB"/>
              </w:rPr>
              <w:t xml:space="preserve"> trade/</w:t>
            </w:r>
            <w:r>
              <w:rPr>
                <w:rFonts w:ascii="Times New Roman" w:hAnsi="Times New Roman"/>
                <w:b/>
                <w:sz w:val="20"/>
                <w:szCs w:val="20"/>
                <w:lang w:val="en-GB"/>
              </w:rPr>
              <w:t xml:space="preserve"> swap</w:t>
            </w:r>
            <w:r w:rsidRPr="00E960D9">
              <w:rPr>
                <w:rFonts w:ascii="Times New Roman" w:hAnsi="Times New Roman"/>
                <w:b/>
                <w:sz w:val="20"/>
                <w:szCs w:val="20"/>
                <w:lang w:val="en-GB"/>
              </w:rPr>
              <w:t xml:space="preserve"> contracts under the first leg of transaction in quoted currency</w:t>
            </w:r>
            <w:r w:rsidRPr="00E960D9">
              <w:rPr>
                <w:rFonts w:ascii="Times New Roman" w:hAnsi="Times New Roman"/>
                <w:b/>
                <w:sz w:val="20"/>
                <w:szCs w:val="20"/>
              </w:rPr>
              <w:t xml:space="preserve"> (%))</w:t>
            </w:r>
          </w:p>
        </w:tc>
      </w:tr>
      <w:tr w:rsidR="00364AC2" w:rsidRPr="00372C07" w:rsidTr="00364AC2">
        <w:trPr>
          <w:cantSplit/>
          <w:trHeight w:val="446"/>
        </w:trPr>
        <w:tc>
          <w:tcPr>
            <w:tcW w:w="1135"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p>
        </w:tc>
        <w:tc>
          <w:tcPr>
            <w:tcW w:w="851" w:type="dxa"/>
            <w:vMerge w:val="restart"/>
            <w:vAlign w:val="center"/>
          </w:tcPr>
          <w:p w:rsidR="00364AC2" w:rsidRPr="00E960D9" w:rsidRDefault="00364AC2" w:rsidP="00CA2979">
            <w:pPr>
              <w:pStyle w:val="NoSpacing1"/>
              <w:keepNext/>
              <w:spacing w:before="0" w:after="0" w:line="240" w:lineRule="auto"/>
              <w:jc w:val="left"/>
              <w:rPr>
                <w:rFonts w:ascii="Times New Roman" w:hAnsi="Times New Roman"/>
                <w:b/>
                <w:sz w:val="20"/>
                <w:szCs w:val="20"/>
              </w:rPr>
            </w:pPr>
            <w:r w:rsidRPr="00E960D9">
              <w:rPr>
                <w:rFonts w:ascii="Times New Roman" w:hAnsi="Times New Roman"/>
                <w:b/>
                <w:sz w:val="20"/>
                <w:szCs w:val="20"/>
                <w:lang w:eastAsia="ru-RU"/>
              </w:rPr>
              <w:t>Swap deals</w:t>
            </w:r>
          </w:p>
        </w:tc>
        <w:tc>
          <w:tcPr>
            <w:tcW w:w="8221" w:type="dxa"/>
            <w:gridSpan w:val="7"/>
            <w:vAlign w:val="center"/>
          </w:tcPr>
          <w:p w:rsidR="00364AC2" w:rsidRPr="00E960D9" w:rsidRDefault="00364AC2" w:rsidP="00CA2979">
            <w:pPr>
              <w:pStyle w:val="NoSpacing1"/>
              <w:keepNext/>
              <w:spacing w:before="0" w:after="0" w:line="240" w:lineRule="auto"/>
              <w:jc w:val="center"/>
              <w:rPr>
                <w:rFonts w:ascii="Times New Roman" w:hAnsi="Times New Roman"/>
                <w:sz w:val="20"/>
                <w:szCs w:val="20"/>
                <w:lang w:val="en-GB" w:eastAsia="ru-RU"/>
              </w:rPr>
            </w:pPr>
            <w:r w:rsidRPr="00E960D9">
              <w:rPr>
                <w:rFonts w:ascii="Times New Roman" w:hAnsi="Times New Roman"/>
                <w:sz w:val="20"/>
                <w:szCs w:val="20"/>
                <w:lang w:val="en-GB" w:eastAsia="ru-RU"/>
              </w:rPr>
              <w:t>For swap contracts with settlement of the second leg delayed from the settlement date in transaction that is the first leg of the respective swap contract, with delay of:</w:t>
            </w:r>
          </w:p>
        </w:tc>
      </w:tr>
      <w:tr w:rsidR="00364AC2" w:rsidRPr="00372C07" w:rsidTr="00364AC2">
        <w:trPr>
          <w:cantSplit/>
          <w:trHeight w:val="810"/>
        </w:trPr>
        <w:tc>
          <w:tcPr>
            <w:tcW w:w="1135"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val="en-GB" w:eastAsia="ru-RU"/>
              </w:rPr>
            </w:pPr>
          </w:p>
        </w:tc>
        <w:tc>
          <w:tcPr>
            <w:tcW w:w="851" w:type="dxa"/>
            <w:vMerge/>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val="en-GB" w:eastAsia="ru-RU"/>
              </w:rPr>
            </w:pPr>
          </w:p>
        </w:tc>
        <w:tc>
          <w:tcPr>
            <w:tcW w:w="567"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7 </w:t>
            </w:r>
            <w:r w:rsidRPr="00E960D9">
              <w:rPr>
                <w:rFonts w:ascii="Times New Roman" w:hAnsi="Times New Roman"/>
                <w:b/>
                <w:sz w:val="20"/>
                <w:szCs w:val="20"/>
                <w:lang w:eastAsia="ru-RU"/>
              </w:rPr>
              <w:t>D</w:t>
            </w:r>
          </w:p>
        </w:tc>
        <w:tc>
          <w:tcPr>
            <w:tcW w:w="1275"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14 </w:t>
            </w:r>
            <w:r w:rsidRPr="00E960D9">
              <w:rPr>
                <w:rFonts w:ascii="Times New Roman" w:hAnsi="Times New Roman"/>
                <w:b/>
                <w:sz w:val="20"/>
                <w:szCs w:val="20"/>
                <w:lang w:eastAsia="ru-RU"/>
              </w:rPr>
              <w:t>D</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 </w:t>
            </w:r>
            <w:r w:rsidRPr="00E960D9">
              <w:rPr>
                <w:rFonts w:ascii="Times New Roman" w:hAnsi="Times New Roman"/>
                <w:b/>
                <w:sz w:val="20"/>
                <w:szCs w:val="20"/>
                <w:lang w:eastAsia="ru-RU"/>
              </w:rPr>
              <w:t>&amp;</w:t>
            </w:r>
            <w:r w:rsidRPr="00E960D9">
              <w:rPr>
                <w:rFonts w:ascii="Times New Roman" w:hAnsi="Times New Roman"/>
                <w:b/>
                <w:sz w:val="20"/>
                <w:szCs w:val="20"/>
                <w:lang w:val="ru-RU" w:eastAsia="ru-RU"/>
              </w:rPr>
              <w:t xml:space="preserve"> 2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3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6 </w:t>
            </w:r>
            <w:r w:rsidRPr="00E960D9">
              <w:rPr>
                <w:rFonts w:ascii="Times New Roman" w:hAnsi="Times New Roman"/>
                <w:b/>
                <w:sz w:val="20"/>
                <w:szCs w:val="20"/>
                <w:lang w:eastAsia="ru-RU"/>
              </w:rPr>
              <w:t>M</w:t>
            </w:r>
          </w:p>
        </w:tc>
        <w:tc>
          <w:tcPr>
            <w:tcW w:w="1275"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9 </w:t>
            </w:r>
            <w:r w:rsidRPr="00E960D9">
              <w:rPr>
                <w:rFonts w:ascii="Times New Roman" w:hAnsi="Times New Roman"/>
                <w:b/>
                <w:sz w:val="20"/>
                <w:szCs w:val="20"/>
                <w:lang w:eastAsia="ru-RU"/>
              </w:rPr>
              <w:t>M</w:t>
            </w:r>
          </w:p>
        </w:tc>
        <w:tc>
          <w:tcPr>
            <w:tcW w:w="1276" w:type="dxa"/>
            <w:vAlign w:val="center"/>
          </w:tcPr>
          <w:p w:rsidR="00364AC2" w:rsidRPr="00E960D9" w:rsidRDefault="00364AC2" w:rsidP="00CA2979">
            <w:pPr>
              <w:pStyle w:val="NoSpacing1"/>
              <w:keepNext/>
              <w:spacing w:before="0" w:after="0" w:line="240" w:lineRule="auto"/>
              <w:jc w:val="center"/>
              <w:rPr>
                <w:rFonts w:ascii="Times New Roman" w:hAnsi="Times New Roman"/>
                <w:b/>
                <w:sz w:val="20"/>
                <w:szCs w:val="20"/>
                <w:lang w:eastAsia="ru-RU"/>
              </w:rPr>
            </w:pPr>
            <w:r w:rsidRPr="00E960D9">
              <w:rPr>
                <w:rFonts w:ascii="Times New Roman" w:hAnsi="Times New Roman"/>
                <w:b/>
                <w:sz w:val="20"/>
                <w:szCs w:val="20"/>
                <w:lang w:val="ru-RU" w:eastAsia="ru-RU"/>
              </w:rPr>
              <w:t xml:space="preserve">12 </w:t>
            </w:r>
            <w:r w:rsidRPr="00E960D9">
              <w:rPr>
                <w:rFonts w:ascii="Times New Roman" w:hAnsi="Times New Roman"/>
                <w:b/>
                <w:sz w:val="20"/>
                <w:szCs w:val="20"/>
                <w:lang w:eastAsia="ru-RU"/>
              </w:rPr>
              <w:t>M</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SWP_0</w:t>
            </w:r>
          </w:p>
        </w:tc>
        <w:tc>
          <w:tcPr>
            <w:tcW w:w="1418" w:type="dxa"/>
            <w:gridSpan w:val="2"/>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CA2979">
              <w:rPr>
                <w:rFonts w:ascii="Times New Roman" w:hAnsi="Times New Roman"/>
                <w:sz w:val="18"/>
                <w:szCs w:val="18"/>
                <w:lang w:eastAsia="ru-RU"/>
              </w:rPr>
              <w:t>28750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57</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BB731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w:t>
            </w:r>
            <w:r w:rsidR="00BB7319">
              <w:rPr>
                <w:rFonts w:ascii="Times New Roman" w:hAnsi="Times New Roman"/>
                <w:sz w:val="18"/>
                <w:szCs w:val="18"/>
                <w:lang w:eastAsia="ru-RU"/>
              </w:rPr>
              <w:t>11</w:t>
            </w:r>
            <w:r w:rsidRPr="00E960D9">
              <w:rPr>
                <w:rFonts w:ascii="Times New Roman" w:hAnsi="Times New Roman"/>
                <w:sz w:val="18"/>
                <w:szCs w:val="18"/>
                <w:lang w:eastAsia="ru-RU"/>
              </w:rPr>
              <w:t>5000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D12FD3">
              <w:rPr>
                <w:rFonts w:ascii="Times New Roman" w:hAnsi="Times New Roman"/>
                <w:sz w:val="18"/>
                <w:szCs w:val="18"/>
                <w:lang w:eastAsia="ru-RU"/>
              </w:rPr>
              <w:t>172</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63741F">
              <w:rPr>
                <w:rFonts w:ascii="Times New Roman" w:hAnsi="Times New Roman"/>
                <w:sz w:val="18"/>
                <w:szCs w:val="18"/>
                <w:lang w:eastAsia="ru-RU"/>
              </w:rPr>
              <w:t>287</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004312</w:t>
            </w:r>
            <w:r w:rsidRPr="00E960D9">
              <w:rPr>
                <w:rFonts w:ascii="Times New Roman" w:hAnsi="Times New Roman"/>
                <w:sz w:val="18"/>
                <w:szCs w:val="18"/>
                <w:lang w:val="ru-RU" w:eastAsia="ru-RU"/>
              </w:rPr>
              <w:t>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0057</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SWP_300</w:t>
            </w:r>
          </w:p>
        </w:tc>
        <w:tc>
          <w:tcPr>
            <w:tcW w:w="1418" w:type="dxa"/>
            <w:gridSpan w:val="2"/>
            <w:vAlign w:val="center"/>
          </w:tcPr>
          <w:p w:rsidR="00364AC2" w:rsidRPr="00E960D9" w:rsidRDefault="00364AC2" w:rsidP="00214668">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w:t>
            </w:r>
            <w:r w:rsidR="00214668">
              <w:rPr>
                <w:rFonts w:ascii="Times New Roman" w:hAnsi="Times New Roman"/>
                <w:sz w:val="18"/>
                <w:szCs w:val="18"/>
                <w:lang w:eastAsia="ru-RU"/>
              </w:rPr>
              <w:t>72</w:t>
            </w:r>
            <w:r w:rsidRPr="00E960D9">
              <w:rPr>
                <w:rFonts w:ascii="Times New Roman" w:hAnsi="Times New Roman"/>
                <w:sz w:val="18"/>
                <w:szCs w:val="18"/>
                <w:lang w:eastAsia="ru-RU"/>
              </w:rPr>
              <w:t>50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402</w:t>
            </w:r>
            <w:r w:rsidRPr="00E960D9">
              <w:rPr>
                <w:rFonts w:ascii="Times New Roman" w:hAnsi="Times New Roman"/>
                <w:sz w:val="18"/>
                <w:szCs w:val="18"/>
                <w:lang w:eastAsia="ru-RU"/>
              </w:rPr>
              <w:t>50</w:t>
            </w:r>
            <w:r w:rsidRPr="00E960D9">
              <w:rPr>
                <w:rFonts w:ascii="Times New Roman" w:hAnsi="Times New Roman"/>
                <w:sz w:val="18"/>
                <w:szCs w:val="18"/>
                <w:lang w:val="ru-RU" w:eastAsia="ru-RU"/>
              </w:rPr>
              <w:t>%</w:t>
            </w:r>
          </w:p>
        </w:tc>
        <w:tc>
          <w:tcPr>
            <w:tcW w:w="1276" w:type="dxa"/>
            <w:vAlign w:val="center"/>
          </w:tcPr>
          <w:p w:rsidR="00364AC2" w:rsidRPr="00E960D9" w:rsidRDefault="00364AC2" w:rsidP="00BB731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BB7319">
              <w:rPr>
                <w:rFonts w:ascii="Times New Roman" w:hAnsi="Times New Roman"/>
                <w:sz w:val="18"/>
                <w:szCs w:val="18"/>
                <w:lang w:eastAsia="ru-RU"/>
              </w:rPr>
              <w:t>69</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00103</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0063741F">
              <w:rPr>
                <w:rFonts w:ascii="Times New Roman" w:hAnsi="Times New Roman"/>
                <w:sz w:val="18"/>
                <w:szCs w:val="18"/>
                <w:lang w:eastAsia="ru-RU"/>
              </w:rPr>
              <w:t>172</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002587</w:t>
            </w:r>
            <w:r w:rsidRPr="00E960D9">
              <w:rPr>
                <w:rFonts w:ascii="Times New Roman" w:hAnsi="Times New Roman"/>
                <w:sz w:val="18"/>
                <w:szCs w:val="18"/>
                <w:lang w:val="ru-RU" w:eastAsia="ru-RU"/>
              </w:rPr>
              <w:t>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0034</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SWP_600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w:t>
            </w:r>
            <w:r w:rsidR="00214668">
              <w:rPr>
                <w:rFonts w:ascii="Times New Roman" w:hAnsi="Times New Roman"/>
                <w:sz w:val="18"/>
                <w:szCs w:val="18"/>
                <w:lang w:eastAsia="ru-RU"/>
              </w:rPr>
              <w:t>11</w:t>
            </w:r>
            <w:r w:rsidRPr="00E960D9">
              <w:rPr>
                <w:rFonts w:ascii="Times New Roman" w:hAnsi="Times New Roman"/>
                <w:sz w:val="18"/>
                <w:szCs w:val="18"/>
                <w:lang w:eastAsia="ru-RU"/>
              </w:rPr>
              <w:t>500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23</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BB7319">
              <w:rPr>
                <w:rFonts w:ascii="Times New Roman" w:hAnsi="Times New Roman"/>
                <w:sz w:val="18"/>
                <w:szCs w:val="18"/>
                <w:lang w:eastAsia="ru-RU"/>
              </w:rPr>
              <w:t>46</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D12FD3">
              <w:rPr>
                <w:rFonts w:ascii="Times New Roman" w:hAnsi="Times New Roman"/>
                <w:sz w:val="18"/>
                <w:szCs w:val="18"/>
                <w:lang w:eastAsia="ru-RU"/>
              </w:rPr>
              <w:t>69</w:t>
            </w:r>
            <w:r w:rsidRPr="00E960D9">
              <w:rPr>
                <w:rFonts w:ascii="Times New Roman" w:hAnsi="Times New Roman"/>
                <w:sz w:val="18"/>
                <w:szCs w:val="18"/>
                <w:lang w:eastAsia="ru-RU"/>
              </w:rPr>
              <w:t>000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0011</w:t>
            </w:r>
            <w:r w:rsidRPr="00E960D9">
              <w:rPr>
                <w:rFonts w:ascii="Times New Roman" w:hAnsi="Times New Roman"/>
                <w:sz w:val="18"/>
                <w:szCs w:val="18"/>
                <w:lang w:eastAsia="ru-RU"/>
              </w:rPr>
              <w:t>5000</w:t>
            </w:r>
            <w:r w:rsidRPr="00E960D9">
              <w:rPr>
                <w:rFonts w:ascii="Times New Roman" w:hAnsi="Times New Roman"/>
                <w:sz w:val="18"/>
                <w:szCs w:val="18"/>
                <w:lang w:val="ru-RU"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00172</w:t>
            </w:r>
            <w:r w:rsidRPr="00E960D9">
              <w:rPr>
                <w:rFonts w:ascii="Times New Roman" w:hAnsi="Times New Roman"/>
                <w:sz w:val="18"/>
                <w:szCs w:val="18"/>
                <w:lang w:val="ru-RU" w:eastAsia="ru-RU"/>
              </w:rPr>
              <w:t>50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0023</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SWP_1000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000092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0A3108">
              <w:rPr>
                <w:rFonts w:ascii="Times New Roman" w:hAnsi="Times New Roman"/>
                <w:sz w:val="18"/>
                <w:szCs w:val="18"/>
                <w:lang w:val="ru-RU" w:eastAsia="ru-RU"/>
              </w:rPr>
              <w:t>000184</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BB731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w:t>
            </w:r>
            <w:r w:rsidR="00BB7319">
              <w:rPr>
                <w:rFonts w:ascii="Times New Roman" w:hAnsi="Times New Roman"/>
                <w:sz w:val="18"/>
                <w:szCs w:val="18"/>
                <w:lang w:eastAsia="ru-RU"/>
              </w:rPr>
              <w:t>368</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00055</w:t>
            </w:r>
            <w:r w:rsidR="00D12FD3">
              <w:rPr>
                <w:rFonts w:ascii="Times New Roman" w:hAnsi="Times New Roman"/>
                <w:sz w:val="18"/>
                <w:szCs w:val="18"/>
                <w:lang w:eastAsia="ru-RU"/>
              </w:rPr>
              <w:t>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00092</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00138</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6" w:type="dxa"/>
            <w:vAlign w:val="center"/>
          </w:tcPr>
          <w:p w:rsidR="00364AC2" w:rsidRPr="00E960D9" w:rsidRDefault="00364AC2" w:rsidP="001867D1">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0018</w:t>
            </w:r>
            <w:r w:rsidR="001867D1">
              <w:rPr>
                <w:rFonts w:ascii="Times New Roman" w:hAnsi="Times New Roman"/>
                <w:sz w:val="18"/>
                <w:szCs w:val="18"/>
                <w:lang w:eastAsia="ru-RU"/>
              </w:rPr>
              <w:t>4</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SWP_1500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000080</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5" w:type="dxa"/>
            <w:vAlign w:val="center"/>
          </w:tcPr>
          <w:p w:rsidR="00364AC2" w:rsidRPr="00E960D9" w:rsidRDefault="00364AC2" w:rsidP="000A3108">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0A3108">
              <w:rPr>
                <w:rFonts w:ascii="Times New Roman" w:hAnsi="Times New Roman"/>
                <w:sz w:val="18"/>
                <w:szCs w:val="18"/>
                <w:lang w:val="ru-RU" w:eastAsia="ru-RU"/>
              </w:rPr>
              <w:t>00016</w:t>
            </w:r>
            <w:r w:rsidR="000A3108">
              <w:rPr>
                <w:rFonts w:ascii="Times New Roman" w:hAnsi="Times New Roman"/>
                <w:sz w:val="18"/>
                <w:szCs w:val="18"/>
                <w:lang w:eastAsia="ru-RU"/>
              </w:rPr>
              <w:t>1</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000322</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D12FD3">
              <w:rPr>
                <w:rFonts w:ascii="Times New Roman" w:hAnsi="Times New Roman"/>
                <w:sz w:val="18"/>
                <w:szCs w:val="18"/>
                <w:lang w:val="ru-RU" w:eastAsia="ru-RU"/>
              </w:rPr>
              <w:t>000</w:t>
            </w:r>
            <w:r w:rsidR="00D12FD3">
              <w:rPr>
                <w:rFonts w:ascii="Times New Roman" w:hAnsi="Times New Roman"/>
                <w:sz w:val="18"/>
                <w:szCs w:val="18"/>
                <w:lang w:eastAsia="ru-RU"/>
              </w:rPr>
              <w:t>483</w:t>
            </w:r>
            <w:r w:rsidRPr="00E960D9">
              <w:rPr>
                <w:rFonts w:ascii="Times New Roman" w:hAnsi="Times New Roman"/>
                <w:sz w:val="18"/>
                <w:szCs w:val="18"/>
                <w:lang w:val="ru-RU" w:eastAsia="ru-RU"/>
              </w:rPr>
              <w:t>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00080</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5" w:type="dxa"/>
            <w:vAlign w:val="center"/>
          </w:tcPr>
          <w:p w:rsidR="00364AC2" w:rsidRPr="00E960D9" w:rsidRDefault="00364AC2" w:rsidP="00BE61FE">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00120750</w:t>
            </w:r>
            <w:r w:rsidRPr="00E960D9">
              <w:rPr>
                <w:rFonts w:ascii="Times New Roman" w:hAnsi="Times New Roman"/>
                <w:sz w:val="18"/>
                <w:szCs w:val="18"/>
                <w:lang w:eastAsia="ru-RU"/>
              </w:rPr>
              <w:t>%</w:t>
            </w:r>
          </w:p>
        </w:tc>
        <w:tc>
          <w:tcPr>
            <w:tcW w:w="1276" w:type="dxa"/>
            <w:vAlign w:val="center"/>
          </w:tcPr>
          <w:p w:rsidR="00364AC2" w:rsidRPr="00E960D9" w:rsidRDefault="00364AC2" w:rsidP="001867D1">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0016</w:t>
            </w:r>
            <w:r w:rsidR="001867D1">
              <w:rPr>
                <w:rFonts w:ascii="Times New Roman" w:hAnsi="Times New Roman"/>
                <w:sz w:val="18"/>
                <w:szCs w:val="18"/>
                <w:lang w:eastAsia="ru-RU"/>
              </w:rPr>
              <w:t>1</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r>
      <w:tr w:rsidR="00364AC2" w:rsidRPr="00372C07" w:rsidTr="00364AC2">
        <w:trPr>
          <w:cantSplit/>
          <w:trHeight w:val="465"/>
        </w:trPr>
        <w:tc>
          <w:tcPr>
            <w:tcW w:w="1135" w:type="dxa"/>
            <w:vAlign w:val="center"/>
          </w:tcPr>
          <w:p w:rsidR="00364AC2" w:rsidRPr="00E960D9" w:rsidRDefault="00364AC2" w:rsidP="00CA2979">
            <w:pPr>
              <w:pStyle w:val="NoSpacing1"/>
              <w:spacing w:line="240" w:lineRule="auto"/>
              <w:jc w:val="left"/>
              <w:rPr>
                <w:rFonts w:ascii="Times New Roman" w:hAnsi="Times New Roman"/>
                <w:sz w:val="20"/>
                <w:szCs w:val="20"/>
                <w:lang w:val="ru-RU" w:eastAsia="ru-RU"/>
              </w:rPr>
            </w:pPr>
            <w:r w:rsidRPr="00E960D9">
              <w:rPr>
                <w:rFonts w:ascii="Times New Roman" w:hAnsi="Times New Roman"/>
                <w:sz w:val="20"/>
                <w:szCs w:val="20"/>
                <w:lang w:eastAsia="ru-RU"/>
              </w:rPr>
              <w:t>SWP_3500</w:t>
            </w:r>
          </w:p>
        </w:tc>
        <w:tc>
          <w:tcPr>
            <w:tcW w:w="1418" w:type="dxa"/>
            <w:gridSpan w:val="2"/>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214668">
              <w:rPr>
                <w:rFonts w:ascii="Times New Roman" w:hAnsi="Times New Roman"/>
                <w:sz w:val="18"/>
                <w:szCs w:val="18"/>
                <w:lang w:val="ru-RU" w:eastAsia="ru-RU"/>
              </w:rPr>
              <w:t>000057</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5" w:type="dxa"/>
            <w:vAlign w:val="center"/>
          </w:tcPr>
          <w:p w:rsidR="00364AC2" w:rsidRPr="00E960D9" w:rsidRDefault="00364AC2" w:rsidP="000A3108">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0A3108">
              <w:rPr>
                <w:rFonts w:ascii="Times New Roman" w:hAnsi="Times New Roman"/>
                <w:sz w:val="18"/>
                <w:szCs w:val="18"/>
                <w:lang w:eastAsia="ru-RU"/>
              </w:rPr>
              <w:t>11</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B7319">
              <w:rPr>
                <w:rFonts w:ascii="Times New Roman" w:hAnsi="Times New Roman"/>
                <w:sz w:val="18"/>
                <w:szCs w:val="18"/>
                <w:lang w:val="ru-RU" w:eastAsia="ru-RU"/>
              </w:rPr>
              <w:t>00023</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w:t>
            </w:r>
          </w:p>
        </w:tc>
        <w:tc>
          <w:tcPr>
            <w:tcW w:w="1276" w:type="dxa"/>
            <w:vAlign w:val="center"/>
          </w:tcPr>
          <w:p w:rsidR="00364AC2" w:rsidRPr="00E960D9" w:rsidRDefault="00364AC2" w:rsidP="00D12FD3">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00D12FD3">
              <w:rPr>
                <w:rFonts w:ascii="Times New Roman" w:hAnsi="Times New Roman"/>
                <w:sz w:val="18"/>
                <w:szCs w:val="18"/>
                <w:lang w:eastAsia="ru-RU"/>
              </w:rPr>
              <w:t>34</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63741F">
              <w:rPr>
                <w:rFonts w:ascii="Times New Roman" w:hAnsi="Times New Roman"/>
                <w:sz w:val="18"/>
                <w:szCs w:val="18"/>
                <w:lang w:val="ru-RU" w:eastAsia="ru-RU"/>
              </w:rPr>
              <w:t>00057</w:t>
            </w:r>
            <w:r w:rsidRPr="00E960D9">
              <w:rPr>
                <w:rFonts w:ascii="Times New Roman" w:hAnsi="Times New Roman"/>
                <w:sz w:val="18"/>
                <w:szCs w:val="18"/>
                <w:lang w:val="ru-RU" w:eastAsia="ru-RU"/>
              </w:rPr>
              <w:t>500</w:t>
            </w:r>
            <w:r w:rsidRPr="00E960D9">
              <w:rPr>
                <w:rFonts w:ascii="Times New Roman" w:hAnsi="Times New Roman"/>
                <w:sz w:val="18"/>
                <w:szCs w:val="18"/>
                <w:lang w:eastAsia="ru-RU"/>
              </w:rPr>
              <w:t>%</w:t>
            </w:r>
          </w:p>
        </w:tc>
        <w:tc>
          <w:tcPr>
            <w:tcW w:w="1275"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BE61FE">
              <w:rPr>
                <w:rFonts w:ascii="Times New Roman" w:hAnsi="Times New Roman"/>
                <w:sz w:val="18"/>
                <w:szCs w:val="18"/>
                <w:lang w:val="ru-RU" w:eastAsia="ru-RU"/>
              </w:rPr>
              <w:t>000862</w:t>
            </w:r>
            <w:r w:rsidRPr="00E960D9">
              <w:rPr>
                <w:rFonts w:ascii="Times New Roman" w:hAnsi="Times New Roman"/>
                <w:sz w:val="18"/>
                <w:szCs w:val="18"/>
                <w:lang w:val="ru-RU" w:eastAsia="ru-RU"/>
              </w:rPr>
              <w:t>50</w:t>
            </w:r>
            <w:r w:rsidRPr="00E960D9">
              <w:rPr>
                <w:rFonts w:ascii="Times New Roman" w:hAnsi="Times New Roman"/>
                <w:sz w:val="18"/>
                <w:szCs w:val="18"/>
                <w:lang w:eastAsia="ru-RU"/>
              </w:rPr>
              <w:t>%</w:t>
            </w:r>
          </w:p>
        </w:tc>
        <w:tc>
          <w:tcPr>
            <w:tcW w:w="1276" w:type="dxa"/>
            <w:vAlign w:val="center"/>
          </w:tcPr>
          <w:p w:rsidR="00364AC2" w:rsidRPr="00E960D9" w:rsidRDefault="00364AC2" w:rsidP="00CA2979">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001867D1">
              <w:rPr>
                <w:rFonts w:ascii="Times New Roman" w:hAnsi="Times New Roman"/>
                <w:sz w:val="18"/>
                <w:szCs w:val="18"/>
                <w:lang w:val="ru-RU" w:eastAsia="ru-RU"/>
              </w:rPr>
              <w:t>0011</w:t>
            </w:r>
            <w:r w:rsidRPr="00E960D9">
              <w:rPr>
                <w:rFonts w:ascii="Times New Roman" w:hAnsi="Times New Roman"/>
                <w:sz w:val="18"/>
                <w:szCs w:val="18"/>
                <w:lang w:val="ru-RU" w:eastAsia="ru-RU"/>
              </w:rPr>
              <w:t>5000</w:t>
            </w:r>
            <w:r w:rsidRPr="00E960D9">
              <w:rPr>
                <w:rFonts w:ascii="Times New Roman" w:hAnsi="Times New Roman"/>
                <w:sz w:val="18"/>
                <w:szCs w:val="18"/>
                <w:lang w:eastAsia="ru-RU"/>
              </w:rPr>
              <w:t>%</w:t>
            </w:r>
          </w:p>
        </w:tc>
      </w:tr>
    </w:tbl>
    <w:p w:rsidR="00364AC2" w:rsidRDefault="00364AC2" w:rsidP="00C33465">
      <w:pPr>
        <w:tabs>
          <w:tab w:val="left" w:pos="180"/>
        </w:tabs>
        <w:spacing w:before="120" w:after="120"/>
        <w:ind w:firstLine="539"/>
        <w:jc w:val="both"/>
        <w:rPr>
          <w:rFonts w:ascii="Times New Roman" w:hAnsi="Times New Roman" w:cs="Times New Roman"/>
          <w:sz w:val="24"/>
          <w:szCs w:val="24"/>
        </w:rPr>
      </w:pPr>
    </w:p>
    <w:p w:rsidR="00C33465" w:rsidRPr="00372C07" w:rsidRDefault="00C33465" w:rsidP="00C33465">
      <w:pPr>
        <w:tabs>
          <w:tab w:val="left" w:pos="180"/>
        </w:tabs>
        <w:spacing w:before="120" w:after="120"/>
        <w:ind w:firstLine="539"/>
        <w:jc w:val="both"/>
        <w:rPr>
          <w:rFonts w:ascii="Times New Roman" w:hAnsi="Times New Roman" w:cs="Times New Roman"/>
          <w:sz w:val="24"/>
          <w:szCs w:val="24"/>
        </w:rPr>
      </w:pPr>
      <w:r w:rsidRPr="00372C07">
        <w:rPr>
          <w:rFonts w:ascii="Times New Roman" w:hAnsi="Times New Roman" w:cs="Times New Roman"/>
          <w:sz w:val="24"/>
          <w:szCs w:val="24"/>
        </w:rPr>
        <w:lastRenderedPageBreak/>
        <w:t>The variable rate of the commission fee is calculated per each trading member per first leg of the swap trade/</w:t>
      </w:r>
      <w:r w:rsidR="00214A7E">
        <w:rPr>
          <w:rFonts w:ascii="Times New Roman" w:hAnsi="Times New Roman" w:cs="Times New Roman"/>
          <w:sz w:val="24"/>
          <w:szCs w:val="24"/>
        </w:rPr>
        <w:t xml:space="preserve">standard </w:t>
      </w:r>
      <w:r w:rsidRPr="00372C07">
        <w:rPr>
          <w:rFonts w:ascii="Times New Roman" w:hAnsi="Times New Roman" w:cs="Times New Roman"/>
          <w:sz w:val="24"/>
          <w:szCs w:val="24"/>
        </w:rPr>
        <w:t>swap contract off the value of each transaction in quoted currency of the lot.</w:t>
      </w:r>
    </w:p>
    <w:p w:rsidR="00C33465" w:rsidRPr="00E37C64" w:rsidRDefault="00E37C64" w:rsidP="00E37C64">
      <w:pPr>
        <w:tabs>
          <w:tab w:val="left" w:pos="567"/>
          <w:tab w:val="left" w:pos="1080"/>
        </w:tabs>
        <w:spacing w:after="120"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1.6. </w:t>
      </w:r>
      <w:r w:rsidR="00C33465" w:rsidRPr="00E37C64">
        <w:rPr>
          <w:rFonts w:ascii="Times New Roman" w:hAnsi="Times New Roman" w:cs="Times New Roman"/>
          <w:sz w:val="24"/>
          <w:szCs w:val="24"/>
          <w:lang w:val="en-US"/>
        </w:rPr>
        <w:t xml:space="preserve">The </w:t>
      </w:r>
      <w:r w:rsidR="00D14D14" w:rsidRPr="00E37C64">
        <w:rPr>
          <w:rFonts w:ascii="Times New Roman" w:hAnsi="Times New Roman" w:cs="Times New Roman"/>
          <w:sz w:val="24"/>
          <w:szCs w:val="24"/>
          <w:lang w:val="en-US"/>
        </w:rPr>
        <w:t>variable</w:t>
      </w:r>
      <w:r w:rsidR="00D14D14"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rate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for</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deliverable</w:t>
      </w:r>
      <w:r w:rsidR="00C33465" w:rsidRPr="00E37C64">
        <w:rPr>
          <w:rFonts w:ascii="Times New Roman" w:hAnsi="Times New Roman" w:cs="Times New Roman"/>
          <w:sz w:val="24"/>
          <w:szCs w:val="24"/>
        </w:rPr>
        <w:t xml:space="preserve"> </w:t>
      </w:r>
      <w:r w:rsidR="00C33465" w:rsidRPr="00E37C64">
        <w:rPr>
          <w:rFonts w:ascii="Times New Roman" w:hAnsi="Times New Roman" w:cs="Times New Roman"/>
          <w:sz w:val="24"/>
          <w:szCs w:val="24"/>
          <w:lang w:val="en-US"/>
        </w:rPr>
        <w:t>futures</w:t>
      </w:r>
      <w:r w:rsidR="00C33465" w:rsidRPr="00E37C64">
        <w:rPr>
          <w:rFonts w:ascii="Times New Roman" w:hAnsi="Times New Roman" w:cs="Times New Roman"/>
          <w:sz w:val="24"/>
          <w:szCs w:val="24"/>
        </w:rPr>
        <w:t xml:space="preserve"> </w:t>
      </w:r>
      <w:r w:rsidR="00A60599" w:rsidRPr="00E37C64">
        <w:rPr>
          <w:rFonts w:ascii="Times New Roman" w:hAnsi="Times New Roman" w:cs="Times New Roman"/>
          <w:sz w:val="24"/>
          <w:szCs w:val="24"/>
        </w:rPr>
        <w:t xml:space="preserve">and swap contracts with fixed </w:t>
      </w:r>
      <w:r w:rsidR="007F6346" w:rsidRPr="00E37C64">
        <w:rPr>
          <w:rFonts w:ascii="Times New Roman" w:hAnsi="Times New Roman" w:cs="Times New Roman"/>
          <w:sz w:val="24"/>
          <w:szCs w:val="24"/>
        </w:rPr>
        <w:t xml:space="preserve">settlement date under the second (fixed swap contract) </w:t>
      </w:r>
      <w:r w:rsidR="00C33465" w:rsidRPr="00E37C64">
        <w:rPr>
          <w:rFonts w:ascii="Times New Roman" w:hAnsi="Times New Roman" w:cs="Times New Roman"/>
          <w:sz w:val="24"/>
          <w:szCs w:val="24"/>
        </w:rPr>
        <w:t>shall be as specified below, depending on the settlement period of the respective deliverable futures contract</w:t>
      </w:r>
      <w:r w:rsidR="00E77C69" w:rsidRPr="00E37C64">
        <w:rPr>
          <w:rFonts w:ascii="Times New Roman" w:hAnsi="Times New Roman" w:cs="Times New Roman"/>
          <w:sz w:val="24"/>
          <w:szCs w:val="24"/>
        </w:rPr>
        <w:t>/fixed swap contract second leg</w:t>
      </w:r>
      <w:r w:rsidR="00C33465" w:rsidRPr="00E37C64">
        <w:rPr>
          <w:rFonts w:ascii="Times New Roman" w:hAnsi="Times New Roman" w:cs="Times New Roman"/>
          <w:sz w:val="24"/>
          <w:szCs w:val="24"/>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276"/>
        <w:gridCol w:w="1276"/>
        <w:gridCol w:w="1275"/>
        <w:gridCol w:w="1276"/>
        <w:gridCol w:w="1134"/>
        <w:gridCol w:w="1134"/>
      </w:tblGrid>
      <w:tr w:rsidR="00C33465" w:rsidRPr="00372C07" w:rsidTr="008463D9">
        <w:trPr>
          <w:cantSplit/>
          <w:trHeight w:val="355"/>
        </w:trPr>
        <w:tc>
          <w:tcPr>
            <w:tcW w:w="1134" w:type="dxa"/>
            <w:vMerge w:val="restart"/>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Fee package</w:t>
            </w:r>
          </w:p>
        </w:tc>
        <w:tc>
          <w:tcPr>
            <w:tcW w:w="8647" w:type="dxa"/>
            <w:gridSpan w:val="7"/>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Variable rate</w:t>
            </w:r>
          </w:p>
          <w:p w:rsidR="00C33465" w:rsidRPr="00372C07" w:rsidRDefault="00C33465" w:rsidP="005A32B2">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rPr>
              <w:t>(</w:t>
            </w:r>
            <w:r w:rsidRPr="00372C07">
              <w:rPr>
                <w:rFonts w:ascii="Times New Roman" w:hAnsi="Times New Roman"/>
                <w:b/>
                <w:sz w:val="24"/>
                <w:szCs w:val="24"/>
                <w:lang w:val="en-GB"/>
              </w:rPr>
              <w:t xml:space="preserve">volume-based commission fee charged off volume of each </w:t>
            </w:r>
            <w:r w:rsidR="005A32B2">
              <w:rPr>
                <w:rFonts w:ascii="Times New Roman" w:hAnsi="Times New Roman"/>
                <w:b/>
                <w:sz w:val="24"/>
                <w:szCs w:val="24"/>
                <w:lang w:val="en-GB"/>
              </w:rPr>
              <w:t xml:space="preserve">deliverable futures transaction/fixed swap contract first leg </w:t>
            </w:r>
            <w:r w:rsidRPr="00372C07">
              <w:rPr>
                <w:rFonts w:ascii="Times New Roman" w:hAnsi="Times New Roman"/>
                <w:b/>
                <w:sz w:val="24"/>
                <w:szCs w:val="24"/>
                <w:lang w:val="en-GB"/>
              </w:rPr>
              <w:t xml:space="preserve">in quoted currency </w:t>
            </w:r>
            <w:r w:rsidRPr="00372C07">
              <w:rPr>
                <w:rFonts w:ascii="Times New Roman" w:hAnsi="Times New Roman"/>
                <w:b/>
                <w:sz w:val="24"/>
                <w:szCs w:val="24"/>
              </w:rPr>
              <w:t>(%))</w:t>
            </w:r>
          </w:p>
        </w:tc>
      </w:tr>
      <w:tr w:rsidR="00C33465" w:rsidRPr="00372C07" w:rsidTr="008463D9">
        <w:trPr>
          <w:cantSplit/>
          <w:trHeight w:val="355"/>
        </w:trPr>
        <w:tc>
          <w:tcPr>
            <w:tcW w:w="1134" w:type="dxa"/>
            <w:vMerge/>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eastAsia="ru-RU"/>
              </w:rPr>
            </w:pPr>
          </w:p>
        </w:tc>
        <w:tc>
          <w:tcPr>
            <w:tcW w:w="8647" w:type="dxa"/>
            <w:gridSpan w:val="7"/>
            <w:vAlign w:val="center"/>
          </w:tcPr>
          <w:p w:rsidR="00C33465" w:rsidRPr="001B381E" w:rsidRDefault="00C33465" w:rsidP="00C33465">
            <w:pPr>
              <w:pStyle w:val="NoSpacing1"/>
              <w:spacing w:before="0" w:after="0" w:line="240" w:lineRule="auto"/>
              <w:jc w:val="center"/>
              <w:rPr>
                <w:rFonts w:ascii="Times New Roman" w:hAnsi="Times New Roman"/>
                <w:b/>
                <w:lang w:val="en-GB" w:eastAsia="ru-RU"/>
              </w:rPr>
            </w:pPr>
            <w:r w:rsidRPr="001B381E">
              <w:rPr>
                <w:rFonts w:ascii="Times New Roman" w:hAnsi="Times New Roman"/>
                <w:lang w:eastAsia="ru-RU"/>
              </w:rPr>
              <w:t>Settlement period of the deliverable futures contract</w:t>
            </w:r>
            <w:r w:rsidR="00E77C69" w:rsidRPr="001B381E">
              <w:rPr>
                <w:rFonts w:ascii="Times New Roman" w:hAnsi="Times New Roman"/>
                <w:lang w:eastAsia="ru-RU"/>
              </w:rPr>
              <w:t xml:space="preserve"> and fixed swap contract second leg</w:t>
            </w:r>
          </w:p>
        </w:tc>
      </w:tr>
      <w:tr w:rsidR="00C33465" w:rsidRPr="00372C07" w:rsidTr="008463D9">
        <w:trPr>
          <w:cantSplit/>
          <w:trHeight w:val="781"/>
        </w:trPr>
        <w:tc>
          <w:tcPr>
            <w:tcW w:w="1134" w:type="dxa"/>
            <w:vMerge/>
            <w:vAlign w:val="center"/>
          </w:tcPr>
          <w:p w:rsidR="00C33465" w:rsidRPr="00372C07" w:rsidRDefault="00C33465" w:rsidP="00C33465">
            <w:pPr>
              <w:pStyle w:val="NoSpacing1"/>
              <w:spacing w:before="0" w:after="0" w:line="240" w:lineRule="auto"/>
              <w:jc w:val="center"/>
              <w:rPr>
                <w:rFonts w:ascii="Times New Roman" w:hAnsi="Times New Roman"/>
                <w:b/>
                <w:sz w:val="24"/>
                <w:szCs w:val="24"/>
                <w:lang w:val="en-GB" w:eastAsia="ru-RU"/>
              </w:rPr>
            </w:pP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2D–6D</w:t>
            </w:r>
            <w:r w:rsidRPr="00E960D9">
              <w:rPr>
                <w:rStyle w:val="ac"/>
                <w:rFonts w:ascii="Times New Roman" w:hAnsi="Times New Roman"/>
                <w:b/>
                <w:sz w:val="18"/>
                <w:szCs w:val="18"/>
                <w:lang w:val="en-GB" w:eastAsia="ru-RU"/>
              </w:rPr>
              <w:footnoteReference w:id="1"/>
            </w: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7D -29D</w:t>
            </w: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 xml:space="preserve">30D- 89D </w:t>
            </w:r>
          </w:p>
        </w:tc>
        <w:tc>
          <w:tcPr>
            <w:tcW w:w="1275"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90D – 179D</w:t>
            </w:r>
          </w:p>
        </w:tc>
        <w:tc>
          <w:tcPr>
            <w:tcW w:w="1276"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180D -269D</w:t>
            </w:r>
          </w:p>
        </w:tc>
        <w:tc>
          <w:tcPr>
            <w:tcW w:w="1134"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270D – 364D</w:t>
            </w:r>
          </w:p>
        </w:tc>
        <w:tc>
          <w:tcPr>
            <w:tcW w:w="1134" w:type="dxa"/>
            <w:vAlign w:val="center"/>
          </w:tcPr>
          <w:p w:rsidR="00C33465" w:rsidRPr="00E960D9" w:rsidRDefault="00C33465" w:rsidP="00C33465">
            <w:pPr>
              <w:pStyle w:val="NoSpacing1"/>
              <w:spacing w:before="0" w:after="0" w:line="240" w:lineRule="auto"/>
              <w:jc w:val="center"/>
              <w:rPr>
                <w:rFonts w:ascii="Times New Roman" w:hAnsi="Times New Roman"/>
                <w:b/>
                <w:sz w:val="18"/>
                <w:szCs w:val="18"/>
                <w:lang w:val="en-GB" w:eastAsia="ru-RU"/>
              </w:rPr>
            </w:pPr>
            <w:r w:rsidRPr="00E960D9">
              <w:rPr>
                <w:rFonts w:ascii="Times New Roman" w:hAnsi="Times New Roman"/>
                <w:b/>
                <w:sz w:val="18"/>
                <w:szCs w:val="18"/>
                <w:lang w:val="en-GB" w:eastAsia="ru-RU"/>
              </w:rPr>
              <w:t xml:space="preserve">≥365D </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w:t>
            </w:r>
            <w:r w:rsidRPr="008463D9">
              <w:rPr>
                <w:rFonts w:ascii="Times New Roman" w:hAnsi="Times New Roman"/>
                <w:sz w:val="20"/>
                <w:szCs w:val="20"/>
                <w:lang w:val="ru-RU" w:eastAsia="ru-RU"/>
              </w:rPr>
              <w:t>_0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00021250%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00042500%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00085000%</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00127500%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00212500%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00318750%</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0042500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SWP_300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12750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29750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51000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76500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w:t>
            </w:r>
            <w:r w:rsidRPr="00E960D9">
              <w:rPr>
                <w:rFonts w:ascii="Times New Roman" w:hAnsi="Times New Roman"/>
                <w:sz w:val="18"/>
                <w:szCs w:val="18"/>
                <w:lang w:eastAsia="ru-RU"/>
              </w:rPr>
              <w:t>127500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0019125</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0025500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SWP_600</w:t>
            </w:r>
          </w:p>
        </w:tc>
        <w:tc>
          <w:tcPr>
            <w:tcW w:w="1276" w:type="dxa"/>
            <w:shd w:val="clear" w:color="auto" w:fill="auto"/>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w:t>
            </w:r>
            <w:r w:rsidRPr="00E960D9">
              <w:rPr>
                <w:rFonts w:ascii="Times New Roman" w:hAnsi="Times New Roman"/>
                <w:sz w:val="18"/>
                <w:szCs w:val="18"/>
                <w:lang w:eastAsia="ru-RU"/>
              </w:rPr>
              <w:t>8500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17000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34000</w:t>
            </w:r>
            <w:r w:rsidRPr="00E960D9">
              <w:rPr>
                <w:rFonts w:ascii="Times New Roman" w:hAnsi="Times New Roman"/>
                <w:sz w:val="18"/>
                <w:szCs w:val="18"/>
                <w:lang w:val="ru-RU"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51000</w:t>
            </w:r>
            <w:r w:rsidRPr="00E960D9">
              <w:rPr>
                <w:rFonts w:ascii="Times New Roman" w:hAnsi="Times New Roman"/>
                <w:sz w:val="18"/>
                <w:szCs w:val="18"/>
                <w:lang w:val="ru-RU"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w:t>
            </w:r>
            <w:r w:rsidRPr="00E960D9">
              <w:rPr>
                <w:rFonts w:ascii="Times New Roman" w:hAnsi="Times New Roman"/>
                <w:sz w:val="18"/>
                <w:szCs w:val="18"/>
                <w:lang w:eastAsia="ru-RU"/>
              </w:rPr>
              <w:t>85000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0012750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0017000</w:t>
            </w:r>
            <w:r w:rsidRPr="00E960D9">
              <w:rPr>
                <w:rFonts w:ascii="Times New Roman" w:hAnsi="Times New Roman"/>
                <w:sz w:val="18"/>
                <w:szCs w:val="18"/>
                <w:lang w:eastAsia="ru-RU"/>
              </w:rPr>
              <w:t>0</w:t>
            </w:r>
            <w:r w:rsidRPr="00E960D9">
              <w:rPr>
                <w:rFonts w:ascii="Times New Roman" w:hAnsi="Times New Roman"/>
                <w:sz w:val="18"/>
                <w:szCs w:val="18"/>
                <w:lang w:val="ru-RU"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SWP_1000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00006800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00013600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00027200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00040800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00068000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00102000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00136000</w:t>
            </w:r>
            <w:r w:rsidRPr="00E960D9">
              <w:rPr>
                <w:rFonts w:ascii="Times New Roman" w:hAnsi="Times New Roman"/>
                <w:sz w:val="18"/>
                <w:szCs w:val="18"/>
                <w:lang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SWP_1500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00005950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00011900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00023800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00035700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00059500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00089250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00119000</w:t>
            </w:r>
            <w:r w:rsidRPr="00E960D9">
              <w:rPr>
                <w:rFonts w:ascii="Times New Roman" w:hAnsi="Times New Roman"/>
                <w:sz w:val="18"/>
                <w:szCs w:val="18"/>
                <w:lang w:eastAsia="ru-RU"/>
              </w:rPr>
              <w:t>%</w:t>
            </w:r>
          </w:p>
        </w:tc>
      </w:tr>
      <w:tr w:rsidR="00C33465" w:rsidRPr="00372C07" w:rsidTr="008463D9">
        <w:trPr>
          <w:cantSplit/>
          <w:trHeight w:val="465"/>
        </w:trPr>
        <w:tc>
          <w:tcPr>
            <w:tcW w:w="1134" w:type="dxa"/>
            <w:vAlign w:val="center"/>
          </w:tcPr>
          <w:p w:rsidR="00C33465" w:rsidRPr="008463D9" w:rsidRDefault="00C33465" w:rsidP="00C33465">
            <w:pPr>
              <w:pStyle w:val="NoSpacing1"/>
              <w:spacing w:line="240" w:lineRule="auto"/>
              <w:jc w:val="left"/>
              <w:rPr>
                <w:rFonts w:ascii="Times New Roman" w:hAnsi="Times New Roman"/>
                <w:sz w:val="20"/>
                <w:szCs w:val="20"/>
                <w:lang w:val="ru-RU" w:eastAsia="ru-RU"/>
              </w:rPr>
            </w:pPr>
            <w:r w:rsidRPr="008463D9">
              <w:rPr>
                <w:rFonts w:ascii="Times New Roman" w:hAnsi="Times New Roman"/>
                <w:sz w:val="20"/>
                <w:szCs w:val="20"/>
                <w:lang w:eastAsia="ru-RU"/>
              </w:rPr>
              <w:t>SWP_3500</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00004250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00008500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00017000</w:t>
            </w:r>
            <w:r w:rsidRPr="00E960D9">
              <w:rPr>
                <w:rFonts w:ascii="Times New Roman" w:hAnsi="Times New Roman"/>
                <w:sz w:val="18"/>
                <w:szCs w:val="18"/>
                <w:lang w:eastAsia="ru-RU"/>
              </w:rPr>
              <w:t>%</w:t>
            </w:r>
          </w:p>
        </w:tc>
        <w:tc>
          <w:tcPr>
            <w:tcW w:w="1275"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00025500</w:t>
            </w:r>
            <w:r w:rsidRPr="00E960D9">
              <w:rPr>
                <w:rFonts w:ascii="Times New Roman" w:hAnsi="Times New Roman"/>
                <w:sz w:val="18"/>
                <w:szCs w:val="18"/>
                <w:lang w:eastAsia="ru-RU"/>
              </w:rPr>
              <w:t>%</w:t>
            </w:r>
          </w:p>
        </w:tc>
        <w:tc>
          <w:tcPr>
            <w:tcW w:w="1276" w:type="dxa"/>
            <w:vAlign w:val="center"/>
          </w:tcPr>
          <w:p w:rsidR="00C33465" w:rsidRPr="00E960D9" w:rsidRDefault="00C33465" w:rsidP="00C33465">
            <w:pPr>
              <w:pStyle w:val="NoSpacing1"/>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00042500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00063750</w:t>
            </w:r>
            <w:r w:rsidRPr="00E960D9">
              <w:rPr>
                <w:rFonts w:ascii="Times New Roman" w:hAnsi="Times New Roman"/>
                <w:sz w:val="18"/>
                <w:szCs w:val="18"/>
                <w:lang w:eastAsia="ru-RU"/>
              </w:rPr>
              <w:t>%</w:t>
            </w:r>
          </w:p>
        </w:tc>
        <w:tc>
          <w:tcPr>
            <w:tcW w:w="1134" w:type="dxa"/>
            <w:vAlign w:val="center"/>
          </w:tcPr>
          <w:p w:rsidR="00C33465" w:rsidRPr="00E960D9" w:rsidRDefault="00C33465" w:rsidP="00C33465">
            <w:pPr>
              <w:pStyle w:val="NoSpacing1"/>
              <w:keepNext/>
              <w:spacing w:line="240" w:lineRule="auto"/>
              <w:jc w:val="center"/>
              <w:rPr>
                <w:rFonts w:ascii="Times New Roman" w:hAnsi="Times New Roman"/>
                <w:sz w:val="18"/>
                <w:szCs w:val="18"/>
                <w:lang w:val="ru-RU" w:eastAsia="ru-RU"/>
              </w:rPr>
            </w:pPr>
            <w:r w:rsidRPr="00E960D9">
              <w:rPr>
                <w:rFonts w:ascii="Times New Roman" w:hAnsi="Times New Roman"/>
                <w:sz w:val="18"/>
                <w:szCs w:val="18"/>
                <w:lang w:val="ru-RU" w:eastAsia="ru-RU"/>
              </w:rPr>
              <w:t>0</w:t>
            </w:r>
            <w:r w:rsidRPr="00E960D9">
              <w:rPr>
                <w:rFonts w:ascii="Times New Roman" w:hAnsi="Times New Roman"/>
                <w:sz w:val="18"/>
                <w:szCs w:val="18"/>
                <w:lang w:eastAsia="ru-RU"/>
              </w:rPr>
              <w:t>.</w:t>
            </w:r>
            <w:r w:rsidRPr="00E960D9">
              <w:rPr>
                <w:rFonts w:ascii="Times New Roman" w:hAnsi="Times New Roman"/>
                <w:sz w:val="18"/>
                <w:szCs w:val="18"/>
                <w:lang w:val="ru-RU" w:eastAsia="ru-RU"/>
              </w:rPr>
              <w:t>00085000</w:t>
            </w:r>
            <w:r w:rsidRPr="00E960D9">
              <w:rPr>
                <w:rFonts w:ascii="Times New Roman" w:hAnsi="Times New Roman"/>
                <w:sz w:val="18"/>
                <w:szCs w:val="18"/>
                <w:lang w:eastAsia="ru-RU"/>
              </w:rPr>
              <w:t>%</w:t>
            </w:r>
          </w:p>
        </w:tc>
      </w:tr>
    </w:tbl>
    <w:p w:rsidR="00324437" w:rsidRPr="00324437" w:rsidRDefault="00324437" w:rsidP="00324437">
      <w:pPr>
        <w:tabs>
          <w:tab w:val="left" w:pos="1080"/>
          <w:tab w:val="num" w:pos="4082"/>
        </w:tabs>
        <w:spacing w:before="120" w:after="120" w:line="240" w:lineRule="auto"/>
        <w:jc w:val="both"/>
        <w:rPr>
          <w:rFonts w:ascii="Times New Roman" w:hAnsi="Times New Roman" w:cs="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560"/>
        <w:gridCol w:w="1134"/>
        <w:gridCol w:w="1134"/>
        <w:gridCol w:w="1134"/>
        <w:gridCol w:w="1134"/>
        <w:gridCol w:w="1275"/>
        <w:gridCol w:w="1276"/>
      </w:tblGrid>
      <w:tr w:rsidR="001B381E" w:rsidRPr="00247693" w:rsidTr="006F1168">
        <w:trPr>
          <w:cantSplit/>
          <w:trHeight w:val="355"/>
        </w:trPr>
        <w:tc>
          <w:tcPr>
            <w:tcW w:w="1134" w:type="dxa"/>
            <w:vMerge w:val="restart"/>
            <w:vAlign w:val="center"/>
          </w:tcPr>
          <w:p w:rsidR="001B381E" w:rsidRPr="00600193" w:rsidRDefault="00247693" w:rsidP="006F1168">
            <w:pPr>
              <w:pStyle w:val="NoSpacing1"/>
              <w:spacing w:before="0" w:after="0" w:line="240" w:lineRule="auto"/>
              <w:jc w:val="center"/>
              <w:rPr>
                <w:rFonts w:ascii="Tahoma" w:hAnsi="Tahoma" w:cs="Tahoma"/>
                <w:b/>
                <w:sz w:val="14"/>
                <w:szCs w:val="14"/>
                <w:lang w:val="ru-RU" w:eastAsia="ru-RU"/>
              </w:rPr>
            </w:pPr>
            <w:r w:rsidRPr="00372C07">
              <w:rPr>
                <w:rFonts w:ascii="Times New Roman" w:hAnsi="Times New Roman"/>
                <w:b/>
                <w:sz w:val="24"/>
                <w:szCs w:val="24"/>
                <w:lang w:eastAsia="ru-RU"/>
              </w:rPr>
              <w:t>Fee package</w:t>
            </w:r>
          </w:p>
        </w:tc>
        <w:tc>
          <w:tcPr>
            <w:tcW w:w="8647" w:type="dxa"/>
            <w:gridSpan w:val="7"/>
            <w:vAlign w:val="center"/>
          </w:tcPr>
          <w:p w:rsidR="001B381E" w:rsidRPr="00372C07" w:rsidRDefault="001B381E" w:rsidP="001B381E">
            <w:pPr>
              <w:pStyle w:val="NoSpacing1"/>
              <w:spacing w:before="0" w:after="0" w:line="240" w:lineRule="auto"/>
              <w:jc w:val="center"/>
              <w:rPr>
                <w:rFonts w:ascii="Times New Roman" w:hAnsi="Times New Roman"/>
                <w:b/>
                <w:sz w:val="24"/>
                <w:szCs w:val="24"/>
                <w:lang w:eastAsia="ru-RU"/>
              </w:rPr>
            </w:pPr>
            <w:r w:rsidRPr="00372C07">
              <w:rPr>
                <w:rFonts w:ascii="Times New Roman" w:hAnsi="Times New Roman"/>
                <w:b/>
                <w:sz w:val="24"/>
                <w:szCs w:val="24"/>
                <w:lang w:eastAsia="ru-RU"/>
              </w:rPr>
              <w:t>Variable rate</w:t>
            </w:r>
          </w:p>
          <w:p w:rsidR="001B381E" w:rsidRPr="00247693" w:rsidRDefault="001B381E" w:rsidP="001B381E">
            <w:pPr>
              <w:pStyle w:val="NoSpacing1"/>
              <w:spacing w:before="0" w:after="0" w:line="240" w:lineRule="auto"/>
              <w:jc w:val="center"/>
              <w:rPr>
                <w:rFonts w:ascii="Tahoma" w:hAnsi="Tahoma" w:cs="Tahoma"/>
                <w:b/>
                <w:sz w:val="14"/>
                <w:szCs w:val="14"/>
                <w:lang w:eastAsia="ru-RU"/>
              </w:rPr>
            </w:pPr>
            <w:r w:rsidRPr="00372C07">
              <w:rPr>
                <w:rFonts w:ascii="Times New Roman" w:hAnsi="Times New Roman"/>
                <w:b/>
                <w:sz w:val="24"/>
                <w:szCs w:val="24"/>
              </w:rPr>
              <w:t>(</w:t>
            </w:r>
            <w:r w:rsidRPr="00372C07">
              <w:rPr>
                <w:rFonts w:ascii="Times New Roman" w:hAnsi="Times New Roman"/>
                <w:b/>
                <w:sz w:val="24"/>
                <w:szCs w:val="24"/>
                <w:lang w:val="en-GB"/>
              </w:rPr>
              <w:t xml:space="preserve">volume-based commission fee charged off volume of each </w:t>
            </w:r>
            <w:r>
              <w:rPr>
                <w:rFonts w:ascii="Times New Roman" w:hAnsi="Times New Roman"/>
                <w:b/>
                <w:sz w:val="24"/>
                <w:szCs w:val="24"/>
                <w:lang w:val="en-GB"/>
              </w:rPr>
              <w:t xml:space="preserve">deliverable futures transaction/fixed swap contract first leg </w:t>
            </w:r>
            <w:r w:rsidRPr="00372C07">
              <w:rPr>
                <w:rFonts w:ascii="Times New Roman" w:hAnsi="Times New Roman"/>
                <w:b/>
                <w:sz w:val="24"/>
                <w:szCs w:val="24"/>
                <w:lang w:val="en-GB"/>
              </w:rPr>
              <w:t xml:space="preserve">in quoted currency </w:t>
            </w:r>
            <w:r w:rsidRPr="00372C07">
              <w:rPr>
                <w:rFonts w:ascii="Times New Roman" w:hAnsi="Times New Roman"/>
                <w:b/>
                <w:sz w:val="24"/>
                <w:szCs w:val="24"/>
              </w:rPr>
              <w:t>(%))</w:t>
            </w:r>
          </w:p>
        </w:tc>
      </w:tr>
      <w:tr w:rsidR="001B381E" w:rsidRPr="0013150D" w:rsidTr="006F1168">
        <w:trPr>
          <w:cantSplit/>
          <w:trHeight w:val="256"/>
        </w:trPr>
        <w:tc>
          <w:tcPr>
            <w:tcW w:w="1134" w:type="dxa"/>
            <w:vMerge/>
            <w:vAlign w:val="center"/>
          </w:tcPr>
          <w:p w:rsidR="001B381E" w:rsidRPr="00247693" w:rsidRDefault="001B381E" w:rsidP="006F1168">
            <w:pPr>
              <w:pStyle w:val="NoSpacing1"/>
              <w:spacing w:before="0" w:after="0" w:line="240" w:lineRule="auto"/>
              <w:jc w:val="center"/>
              <w:rPr>
                <w:rFonts w:ascii="Tahoma" w:hAnsi="Tahoma" w:cs="Tahoma"/>
                <w:b/>
                <w:sz w:val="14"/>
                <w:szCs w:val="14"/>
                <w:lang w:eastAsia="ru-RU"/>
              </w:rPr>
            </w:pPr>
          </w:p>
        </w:tc>
        <w:tc>
          <w:tcPr>
            <w:tcW w:w="8647" w:type="dxa"/>
            <w:gridSpan w:val="7"/>
            <w:vAlign w:val="center"/>
          </w:tcPr>
          <w:p w:rsidR="001B381E" w:rsidRPr="00247693" w:rsidRDefault="001B381E" w:rsidP="006F1168">
            <w:pPr>
              <w:pStyle w:val="NoSpacing1"/>
              <w:spacing w:before="0" w:after="0" w:line="240" w:lineRule="auto"/>
              <w:jc w:val="center"/>
              <w:rPr>
                <w:rFonts w:ascii="Tahoma" w:hAnsi="Tahoma" w:cs="Tahoma"/>
                <w:b/>
                <w:lang w:eastAsia="ru-RU"/>
              </w:rPr>
            </w:pPr>
            <w:r w:rsidRPr="00247693">
              <w:rPr>
                <w:rFonts w:ascii="Times New Roman" w:hAnsi="Times New Roman"/>
                <w:lang w:eastAsia="ru-RU"/>
              </w:rPr>
              <w:t>Settlement period of the deliverable futures contract and fixed swap contract second leg</w:t>
            </w:r>
          </w:p>
        </w:tc>
      </w:tr>
      <w:tr w:rsidR="001B381E" w:rsidRPr="00E37A51" w:rsidTr="006F1168">
        <w:trPr>
          <w:cantSplit/>
          <w:trHeight w:val="287"/>
        </w:trPr>
        <w:tc>
          <w:tcPr>
            <w:tcW w:w="1134" w:type="dxa"/>
            <w:vMerge/>
            <w:vAlign w:val="center"/>
          </w:tcPr>
          <w:p w:rsidR="001B381E" w:rsidRPr="0013150D" w:rsidRDefault="001B381E" w:rsidP="006F1168">
            <w:pPr>
              <w:pStyle w:val="NoSpacing1"/>
              <w:spacing w:before="0" w:after="0" w:line="240" w:lineRule="auto"/>
              <w:jc w:val="center"/>
              <w:rPr>
                <w:rFonts w:ascii="Tahoma" w:hAnsi="Tahoma" w:cs="Tahoma"/>
                <w:b/>
                <w:sz w:val="14"/>
                <w:szCs w:val="14"/>
                <w:lang w:eastAsia="ru-RU"/>
              </w:rPr>
            </w:pPr>
          </w:p>
        </w:tc>
        <w:tc>
          <w:tcPr>
            <w:tcW w:w="1560"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2 дн. – 6 дн.</w:t>
            </w:r>
            <w:r w:rsidRPr="00600193">
              <w:rPr>
                <w:rStyle w:val="ac"/>
                <w:rFonts w:ascii="Tahoma" w:hAnsi="Tahoma" w:cs="Tahoma"/>
                <w:b/>
                <w:sz w:val="14"/>
                <w:szCs w:val="14"/>
                <w:lang w:val="ru-RU" w:eastAsia="ru-RU"/>
              </w:rPr>
              <w:footnoteReference w:id="2"/>
            </w:r>
          </w:p>
        </w:tc>
        <w:tc>
          <w:tcPr>
            <w:tcW w:w="1134"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7 дн. – 29 дн.</w:t>
            </w:r>
          </w:p>
        </w:tc>
        <w:tc>
          <w:tcPr>
            <w:tcW w:w="1134"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30 дн. – 89 дн.</w:t>
            </w:r>
          </w:p>
        </w:tc>
        <w:tc>
          <w:tcPr>
            <w:tcW w:w="1134"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90 дн. – 179 дн.</w:t>
            </w:r>
          </w:p>
        </w:tc>
        <w:tc>
          <w:tcPr>
            <w:tcW w:w="1134"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180 дн. – 269 дн.</w:t>
            </w:r>
          </w:p>
        </w:tc>
        <w:tc>
          <w:tcPr>
            <w:tcW w:w="1275"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270 дн. – 364 дн.</w:t>
            </w:r>
          </w:p>
        </w:tc>
        <w:tc>
          <w:tcPr>
            <w:tcW w:w="1276" w:type="dxa"/>
            <w:vAlign w:val="center"/>
          </w:tcPr>
          <w:p w:rsidR="001B381E" w:rsidRPr="00600193" w:rsidRDefault="001B381E" w:rsidP="006F1168">
            <w:pPr>
              <w:pStyle w:val="NoSpacing1"/>
              <w:spacing w:before="0" w:after="0" w:line="240" w:lineRule="auto"/>
              <w:jc w:val="center"/>
              <w:rPr>
                <w:rFonts w:ascii="Tahoma" w:hAnsi="Tahoma" w:cs="Tahoma"/>
                <w:b/>
                <w:sz w:val="14"/>
                <w:szCs w:val="14"/>
                <w:lang w:val="ru-RU" w:eastAsia="ru-RU"/>
              </w:rPr>
            </w:pPr>
            <w:r w:rsidRPr="00600193">
              <w:rPr>
                <w:rFonts w:ascii="Tahoma" w:hAnsi="Tahoma" w:cs="Tahoma"/>
                <w:b/>
                <w:sz w:val="14"/>
                <w:szCs w:val="14"/>
                <w:lang w:val="ru-RU" w:eastAsia="ru-RU"/>
              </w:rPr>
              <w:t>365 дн. и более</w:t>
            </w:r>
          </w:p>
        </w:tc>
      </w:tr>
      <w:tr w:rsidR="001B381E" w:rsidRPr="005423E0" w:rsidTr="006F1168">
        <w:trPr>
          <w:cantSplit/>
          <w:trHeight w:val="180"/>
        </w:trPr>
        <w:tc>
          <w:tcPr>
            <w:tcW w:w="1134" w:type="dxa"/>
            <w:vAlign w:val="center"/>
          </w:tcPr>
          <w:p w:rsidR="001B381E" w:rsidRPr="00E37A51" w:rsidRDefault="001B381E" w:rsidP="006F1168">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w:t>
            </w:r>
            <w:r w:rsidRPr="00E37A51">
              <w:rPr>
                <w:rFonts w:ascii="Tahoma" w:hAnsi="Tahoma" w:cs="Tahoma"/>
                <w:sz w:val="16"/>
                <w:szCs w:val="16"/>
                <w:lang w:val="ru-RU" w:eastAsia="ru-RU"/>
              </w:rPr>
              <w:t>_0</w:t>
            </w:r>
          </w:p>
        </w:tc>
        <w:tc>
          <w:tcPr>
            <w:tcW w:w="1560"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0,0002875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0,0028750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0,0043125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0,0057500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6F1168">
        <w:trPr>
          <w:cantSplit/>
          <w:trHeight w:val="155"/>
        </w:trPr>
        <w:tc>
          <w:tcPr>
            <w:tcW w:w="1134" w:type="dxa"/>
            <w:vAlign w:val="center"/>
          </w:tcPr>
          <w:p w:rsidR="001B381E" w:rsidRPr="00E37A51" w:rsidRDefault="001B381E" w:rsidP="006F1168">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SWP_300</w:t>
            </w:r>
          </w:p>
        </w:tc>
        <w:tc>
          <w:tcPr>
            <w:tcW w:w="1560"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0,0001725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0,0004025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0,0006900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0,0010350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0,0025875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0,0034500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6F1168">
        <w:trPr>
          <w:cantSplit/>
          <w:trHeight w:val="274"/>
        </w:trPr>
        <w:tc>
          <w:tcPr>
            <w:tcW w:w="1134" w:type="dxa"/>
            <w:vAlign w:val="center"/>
          </w:tcPr>
          <w:p w:rsidR="001B381E" w:rsidRPr="00E37A51" w:rsidRDefault="001B381E" w:rsidP="006F1168">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SWP_600</w:t>
            </w:r>
          </w:p>
        </w:tc>
        <w:tc>
          <w:tcPr>
            <w:tcW w:w="1560" w:type="dxa"/>
            <w:shd w:val="clear" w:color="auto" w:fill="auto"/>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0,0001150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0,0002300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0,0004600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0,0006900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0,0017250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0,0023000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6F1168">
        <w:trPr>
          <w:cantSplit/>
          <w:trHeight w:val="236"/>
        </w:trPr>
        <w:tc>
          <w:tcPr>
            <w:tcW w:w="1134" w:type="dxa"/>
            <w:vAlign w:val="center"/>
          </w:tcPr>
          <w:p w:rsidR="001B381E" w:rsidRPr="00E37A51" w:rsidRDefault="001B381E" w:rsidP="006F1168">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SWP_1000</w:t>
            </w:r>
          </w:p>
        </w:tc>
        <w:tc>
          <w:tcPr>
            <w:tcW w:w="1560"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0,0000920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0,0001840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0,0003680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0,0005520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0,0009200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0,0013800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0,0018400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6F1168">
        <w:trPr>
          <w:cantSplit/>
          <w:trHeight w:val="211"/>
        </w:trPr>
        <w:tc>
          <w:tcPr>
            <w:tcW w:w="1134" w:type="dxa"/>
            <w:vAlign w:val="center"/>
          </w:tcPr>
          <w:p w:rsidR="001B381E" w:rsidRPr="00E37A51" w:rsidRDefault="001B381E" w:rsidP="006F1168">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SWP_1500</w:t>
            </w:r>
          </w:p>
        </w:tc>
        <w:tc>
          <w:tcPr>
            <w:tcW w:w="1560"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0,0000805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0,0001610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0,0003220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0,0004830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0,0008050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0,0012075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0,0016100</w:t>
            </w:r>
            <w:r>
              <w:rPr>
                <w:rFonts w:ascii="Tahoma" w:hAnsi="Tahoma" w:cs="Tahoma"/>
                <w:sz w:val="14"/>
                <w:szCs w:val="14"/>
                <w:lang w:val="ru-RU" w:eastAsia="ru-RU"/>
              </w:rPr>
              <w:t>0</w:t>
            </w:r>
            <w:r w:rsidRPr="00600193">
              <w:rPr>
                <w:rFonts w:ascii="Tahoma" w:hAnsi="Tahoma" w:cs="Tahoma"/>
                <w:sz w:val="14"/>
                <w:szCs w:val="14"/>
                <w:lang w:val="ru-RU" w:eastAsia="ru-RU"/>
              </w:rPr>
              <w:t>%</w:t>
            </w:r>
          </w:p>
        </w:tc>
      </w:tr>
      <w:tr w:rsidR="001B381E" w:rsidRPr="005423E0" w:rsidTr="006F1168">
        <w:trPr>
          <w:cantSplit/>
          <w:trHeight w:val="174"/>
        </w:trPr>
        <w:tc>
          <w:tcPr>
            <w:tcW w:w="1134" w:type="dxa"/>
            <w:vAlign w:val="center"/>
          </w:tcPr>
          <w:p w:rsidR="001B381E" w:rsidRPr="00E37A51" w:rsidRDefault="001B381E" w:rsidP="006F1168">
            <w:pPr>
              <w:pStyle w:val="NoSpacing1"/>
              <w:spacing w:line="240" w:lineRule="auto"/>
              <w:jc w:val="left"/>
              <w:rPr>
                <w:rFonts w:ascii="Tahoma" w:hAnsi="Tahoma" w:cs="Tahoma"/>
                <w:sz w:val="16"/>
                <w:szCs w:val="16"/>
                <w:lang w:val="ru-RU" w:eastAsia="ru-RU"/>
              </w:rPr>
            </w:pPr>
            <w:r w:rsidRPr="00E37A51">
              <w:rPr>
                <w:rFonts w:ascii="Tahoma" w:hAnsi="Tahoma" w:cs="Tahoma"/>
                <w:sz w:val="16"/>
                <w:szCs w:val="16"/>
                <w:lang w:eastAsia="ru-RU"/>
              </w:rPr>
              <w:t>SWP_3500</w:t>
            </w:r>
          </w:p>
        </w:tc>
        <w:tc>
          <w:tcPr>
            <w:tcW w:w="1560"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0,0000575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0,0001150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0,0002300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0,0003450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134" w:type="dxa"/>
            <w:vAlign w:val="bottom"/>
          </w:tcPr>
          <w:p w:rsidR="001B381E" w:rsidRPr="005423E0" w:rsidRDefault="001B381E" w:rsidP="006F1168">
            <w:pPr>
              <w:pStyle w:val="NoSpacing1"/>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0,0005750</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5"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0,0008625</w:t>
            </w:r>
            <w:r>
              <w:rPr>
                <w:rFonts w:ascii="Tahoma" w:hAnsi="Tahoma" w:cs="Tahoma"/>
                <w:sz w:val="14"/>
                <w:szCs w:val="14"/>
                <w:lang w:val="ru-RU" w:eastAsia="ru-RU"/>
              </w:rPr>
              <w:t>0</w:t>
            </w:r>
            <w:r w:rsidRPr="00600193">
              <w:rPr>
                <w:rFonts w:ascii="Tahoma" w:hAnsi="Tahoma" w:cs="Tahoma"/>
                <w:sz w:val="14"/>
                <w:szCs w:val="14"/>
                <w:lang w:val="ru-RU" w:eastAsia="ru-RU"/>
              </w:rPr>
              <w:t>%</w:t>
            </w:r>
          </w:p>
        </w:tc>
        <w:tc>
          <w:tcPr>
            <w:tcW w:w="1276" w:type="dxa"/>
            <w:vAlign w:val="bottom"/>
          </w:tcPr>
          <w:p w:rsidR="001B381E" w:rsidRPr="005423E0" w:rsidRDefault="001B381E" w:rsidP="006F1168">
            <w:pPr>
              <w:pStyle w:val="NoSpacing1"/>
              <w:keepNext/>
              <w:spacing w:line="240" w:lineRule="auto"/>
              <w:jc w:val="center"/>
              <w:rPr>
                <w:rFonts w:ascii="Tahoma" w:hAnsi="Tahoma" w:cs="Tahoma"/>
                <w:sz w:val="14"/>
                <w:szCs w:val="14"/>
                <w:lang w:val="ru-RU" w:eastAsia="ru-RU"/>
              </w:rPr>
            </w:pPr>
            <w:r w:rsidRPr="00600193">
              <w:rPr>
                <w:rFonts w:ascii="Tahoma" w:hAnsi="Tahoma" w:cs="Tahoma"/>
                <w:sz w:val="14"/>
                <w:szCs w:val="14"/>
                <w:lang w:val="ru-RU" w:eastAsia="ru-RU"/>
              </w:rPr>
              <w:t>0,0011500</w:t>
            </w:r>
            <w:r>
              <w:rPr>
                <w:rFonts w:ascii="Tahoma" w:hAnsi="Tahoma" w:cs="Tahoma"/>
                <w:sz w:val="14"/>
                <w:szCs w:val="14"/>
                <w:lang w:val="ru-RU" w:eastAsia="ru-RU"/>
              </w:rPr>
              <w:t>0</w:t>
            </w:r>
            <w:r w:rsidRPr="00600193">
              <w:rPr>
                <w:rFonts w:ascii="Tahoma" w:hAnsi="Tahoma" w:cs="Tahoma"/>
                <w:sz w:val="14"/>
                <w:szCs w:val="14"/>
                <w:lang w:val="ru-RU" w:eastAsia="ru-RU"/>
              </w:rPr>
              <w:t>%</w:t>
            </w:r>
          </w:p>
        </w:tc>
      </w:tr>
    </w:tbl>
    <w:p w:rsidR="00324437" w:rsidRDefault="00324437" w:rsidP="00324437">
      <w:pPr>
        <w:pStyle w:val="ad"/>
        <w:tabs>
          <w:tab w:val="left" w:pos="1080"/>
        </w:tabs>
        <w:spacing w:before="120" w:after="120" w:line="240" w:lineRule="auto"/>
        <w:ind w:left="426"/>
        <w:jc w:val="both"/>
        <w:rPr>
          <w:rFonts w:ascii="Times New Roman" w:hAnsi="Times New Roman" w:cs="Times New Roman"/>
          <w:sz w:val="24"/>
          <w:szCs w:val="24"/>
        </w:rPr>
      </w:pPr>
    </w:p>
    <w:p w:rsidR="00C33465" w:rsidRPr="00324437" w:rsidRDefault="00324437" w:rsidP="00324437">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C33465" w:rsidRPr="00324437">
        <w:rPr>
          <w:rFonts w:ascii="Times New Roman" w:hAnsi="Times New Roman" w:cs="Times New Roman"/>
          <w:sz w:val="24"/>
          <w:szCs w:val="24"/>
        </w:rPr>
        <w:t xml:space="preserve">Fee packages in sub-clauses </w:t>
      </w:r>
      <w:r w:rsidR="00D14D14" w:rsidRPr="00324437">
        <w:rPr>
          <w:rFonts w:ascii="Times New Roman" w:hAnsi="Times New Roman" w:cs="Times New Roman"/>
          <w:sz w:val="24"/>
          <w:szCs w:val="24"/>
        </w:rPr>
        <w:t>1.4., 1.5. and 1.6.</w:t>
      </w:r>
      <w:r w:rsidR="00C33465" w:rsidRPr="00324437">
        <w:rPr>
          <w:rFonts w:ascii="Times New Roman" w:hAnsi="Times New Roman" w:cs="Times New Roman"/>
          <w:sz w:val="24"/>
          <w:szCs w:val="24"/>
        </w:rPr>
        <w:t xml:space="preserve"> of clause 1 hereof shall be selected or changed based on the trading member’s application submitted to </w:t>
      </w:r>
      <w:r w:rsidR="00247693">
        <w:rPr>
          <w:rFonts w:ascii="Times New Roman" w:hAnsi="Times New Roman" w:cs="Times New Roman"/>
          <w:sz w:val="24"/>
          <w:szCs w:val="24"/>
        </w:rPr>
        <w:t xml:space="preserve">CCP </w:t>
      </w:r>
      <w:r w:rsidR="00D14D14" w:rsidRPr="00324437">
        <w:rPr>
          <w:rFonts w:ascii="Times New Roman" w:hAnsi="Times New Roman" w:cs="Times New Roman"/>
          <w:sz w:val="24"/>
          <w:szCs w:val="24"/>
        </w:rPr>
        <w:t>NCC</w:t>
      </w:r>
      <w:r w:rsidR="00C33465" w:rsidRPr="00324437">
        <w:rPr>
          <w:rFonts w:ascii="Times New Roman" w:hAnsi="Times New Roman" w:cs="Times New Roman"/>
          <w:sz w:val="24"/>
          <w:szCs w:val="24"/>
        </w:rPr>
        <w:t xml:space="preserve">. Such application should be submitted at least five (5) business days before the beginning of a calendar month </w:t>
      </w:r>
      <w:r w:rsidR="00C33465" w:rsidRPr="00324437">
        <w:rPr>
          <w:rFonts w:ascii="Times New Roman" w:hAnsi="Times New Roman" w:cs="Times New Roman"/>
          <w:sz w:val="24"/>
          <w:szCs w:val="24"/>
        </w:rPr>
        <w:lastRenderedPageBreak/>
        <w:t>from which the fee package is to apply. The fee package may not be different for swap deals, swap contracts and deliverable futures.</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Fee packages stipulated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1.5,</w:t>
      </w:r>
      <w:r w:rsidR="00D14D14" w:rsidRPr="00372C07">
        <w:rPr>
          <w:rFonts w:ascii="Times New Roman" w:hAnsi="Times New Roman" w:cs="Times New Roman"/>
          <w:sz w:val="24"/>
          <w:szCs w:val="24"/>
        </w:rPr>
        <w:t xml:space="preserve"> and</w:t>
      </w:r>
      <w:r w:rsidRPr="00372C07">
        <w:rPr>
          <w:rFonts w:ascii="Times New Roman" w:hAnsi="Times New Roman" w:cs="Times New Roman"/>
          <w:sz w:val="24"/>
          <w:szCs w:val="24"/>
        </w:rPr>
        <w:t xml:space="preserve"> 1.6 of clause 1 hereof shall only take effect from the first day of a calendar month, except for the fee package SWP_0, which in case of first admission to trading can take effect from any day of a calendar month.</w:t>
      </w:r>
    </w:p>
    <w:p w:rsidR="00C33465" w:rsidRPr="00372C07" w:rsidRDefault="00C33465" w:rsidP="00C33465">
      <w:pPr>
        <w:tabs>
          <w:tab w:val="left" w:pos="180"/>
          <w:tab w:val="left" w:pos="1080"/>
        </w:tabs>
        <w:spacing w:after="120"/>
        <w:ind w:firstLine="567"/>
        <w:jc w:val="both"/>
        <w:rPr>
          <w:rFonts w:ascii="Times New Roman" w:hAnsi="Times New Roman" w:cs="Times New Roman"/>
          <w:sz w:val="24"/>
          <w:szCs w:val="24"/>
        </w:rPr>
      </w:pPr>
      <w:r w:rsidRPr="00372C07">
        <w:rPr>
          <w:rFonts w:ascii="Times New Roman" w:hAnsi="Times New Roman" w:cs="Times New Roman"/>
          <w:sz w:val="24"/>
          <w:szCs w:val="24"/>
        </w:rPr>
        <w:t xml:space="preserve">Failing to select any of the fee packages described in sub-clauses </w:t>
      </w:r>
      <w:r w:rsidR="00D14D14" w:rsidRPr="00372C07">
        <w:rPr>
          <w:rFonts w:ascii="Times New Roman" w:hAnsi="Times New Roman" w:cs="Times New Roman"/>
          <w:sz w:val="24"/>
          <w:szCs w:val="24"/>
        </w:rPr>
        <w:t xml:space="preserve">1.4., </w:t>
      </w:r>
      <w:r w:rsidRPr="00372C07">
        <w:rPr>
          <w:rFonts w:ascii="Times New Roman" w:hAnsi="Times New Roman" w:cs="Times New Roman"/>
          <w:sz w:val="24"/>
          <w:szCs w:val="24"/>
        </w:rPr>
        <w:t xml:space="preserve">1.5, </w:t>
      </w:r>
      <w:r w:rsidR="00D14D14" w:rsidRPr="00372C07">
        <w:rPr>
          <w:rFonts w:ascii="Times New Roman" w:hAnsi="Times New Roman" w:cs="Times New Roman"/>
          <w:sz w:val="24"/>
          <w:szCs w:val="24"/>
        </w:rPr>
        <w:t xml:space="preserve">and </w:t>
      </w:r>
      <w:r w:rsidRPr="00372C07">
        <w:rPr>
          <w:rFonts w:ascii="Times New Roman" w:hAnsi="Times New Roman" w:cs="Times New Roman"/>
          <w:sz w:val="24"/>
          <w:szCs w:val="24"/>
        </w:rPr>
        <w:t>1.6 of clause 1 hereof, Trading Members shall be assigned the fee package SWP_0.</w:t>
      </w:r>
    </w:p>
    <w:p w:rsidR="00C33465" w:rsidRPr="00372C07" w:rsidRDefault="00324437" w:rsidP="00324437">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1.8.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size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variable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rate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the fee for spot deals in quoted currency other than the Russian </w:t>
      </w:r>
      <w:r w:rsidR="00E37C64" w:rsidRPr="00372C07">
        <w:rPr>
          <w:rFonts w:ascii="Times New Roman" w:hAnsi="Times New Roman" w:cs="Times New Roman"/>
          <w:sz w:val="24"/>
          <w:szCs w:val="24"/>
        </w:rPr>
        <w:t>rouble</w:t>
      </w:r>
      <w:r w:rsidR="00C33465" w:rsidRPr="00372C07">
        <w:rPr>
          <w:rFonts w:ascii="Times New Roman" w:hAnsi="Times New Roman" w:cs="Times New Roman"/>
          <w:sz w:val="24"/>
          <w:szCs w:val="24"/>
        </w:rPr>
        <w:t>, shall be set as a fee calculated for respective transactions as regulated in su</w:t>
      </w:r>
      <w:r w:rsidR="00E960D9">
        <w:rPr>
          <w:rFonts w:ascii="Times New Roman" w:hAnsi="Times New Roman" w:cs="Times New Roman"/>
          <w:sz w:val="24"/>
          <w:szCs w:val="24"/>
        </w:rPr>
        <w:t>b-clauses 1.1 (variable rate),</w:t>
      </w:r>
      <w:r w:rsidR="00C33465" w:rsidRPr="00372C07">
        <w:rPr>
          <w:rFonts w:ascii="Times New Roman" w:hAnsi="Times New Roman" w:cs="Times New Roman"/>
          <w:sz w:val="24"/>
          <w:szCs w:val="24"/>
        </w:rPr>
        <w:t xml:space="preserve"> 1.</w:t>
      </w:r>
      <w:r w:rsidR="00D14D14" w:rsidRPr="00372C07">
        <w:rPr>
          <w:rFonts w:ascii="Times New Roman" w:hAnsi="Times New Roman" w:cs="Times New Roman"/>
          <w:sz w:val="24"/>
          <w:szCs w:val="24"/>
        </w:rPr>
        <w:t>5</w:t>
      </w:r>
      <w:r w:rsidR="00C33465" w:rsidRPr="00372C07">
        <w:rPr>
          <w:rFonts w:ascii="Times New Roman" w:hAnsi="Times New Roman" w:cs="Times New Roman"/>
          <w:sz w:val="24"/>
          <w:szCs w:val="24"/>
        </w:rPr>
        <w:t xml:space="preserve"> (variable rate) or 1.</w:t>
      </w:r>
      <w:r w:rsidR="00D14D14" w:rsidRPr="00372C07">
        <w:rPr>
          <w:rFonts w:ascii="Times New Roman" w:hAnsi="Times New Roman" w:cs="Times New Roman"/>
          <w:sz w:val="24"/>
          <w:szCs w:val="24"/>
        </w:rPr>
        <w:t>6</w:t>
      </w:r>
      <w:r w:rsidR="00C33465" w:rsidRPr="00372C07">
        <w:rPr>
          <w:rFonts w:ascii="Times New Roman" w:hAnsi="Times New Roman" w:cs="Times New Roman"/>
          <w:sz w:val="24"/>
          <w:szCs w:val="24"/>
        </w:rPr>
        <w:t xml:space="preserve"> (variable rate) of clause 1 hereof, and then converted to Russian rubles using the Bank of Russia’s exchange rate effective on the day the trade has been executed. </w:t>
      </w:r>
    </w:p>
    <w:p w:rsidR="00C33465" w:rsidRPr="00372C07" w:rsidRDefault="00324437" w:rsidP="00324437">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1.9. </w:t>
      </w:r>
      <w:r w:rsidR="00C33465" w:rsidRPr="00372C07">
        <w:rPr>
          <w:rFonts w:ascii="Times New Roman" w:hAnsi="Times New Roman" w:cs="Times New Roman"/>
          <w:sz w:val="24"/>
          <w:szCs w:val="24"/>
        </w:rPr>
        <w:t xml:space="preserve">If the trading member selects the fee package SPT_0 as determined in sub-clause 1.1 of clause 1 hereof, the minimum monthly trading fee charged by Moscow Exchange per trading member’s </w:t>
      </w:r>
      <w:r w:rsidR="004C0C11">
        <w:rPr>
          <w:rFonts w:ascii="Times New Roman" w:hAnsi="Times New Roman" w:cs="Times New Roman"/>
          <w:sz w:val="24"/>
          <w:szCs w:val="24"/>
        </w:rPr>
        <w:t xml:space="preserve">identifier </w:t>
      </w:r>
      <w:r w:rsidR="00C33465" w:rsidRPr="00372C07">
        <w:rPr>
          <w:rFonts w:ascii="Times New Roman" w:hAnsi="Times New Roman" w:cs="Times New Roman"/>
          <w:sz w:val="24"/>
          <w:szCs w:val="24"/>
        </w:rPr>
        <w:t>under spot deals shall be RUB </w:t>
      </w:r>
      <w:r w:rsidR="00247693">
        <w:rPr>
          <w:rFonts w:ascii="Times New Roman" w:hAnsi="Times New Roman" w:cs="Times New Roman"/>
          <w:sz w:val="24"/>
          <w:szCs w:val="24"/>
        </w:rPr>
        <w:t>11</w:t>
      </w:r>
      <w:r w:rsidR="00C33465" w:rsidRPr="00372C07">
        <w:rPr>
          <w:rFonts w:ascii="Times New Roman" w:hAnsi="Times New Roman" w:cs="Times New Roman"/>
          <w:sz w:val="24"/>
          <w:szCs w:val="24"/>
        </w:rPr>
        <w:t>,500.</w:t>
      </w:r>
    </w:p>
    <w:p w:rsidR="00C33465" w:rsidRPr="00372C07" w:rsidRDefault="00B9643E" w:rsidP="00B9643E">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1.10. </w:t>
      </w:r>
      <w:r w:rsidR="00C33465" w:rsidRPr="00372C07">
        <w:rPr>
          <w:rFonts w:ascii="Times New Roman" w:hAnsi="Times New Roman" w:cs="Times New Roman"/>
          <w:sz w:val="24"/>
          <w:szCs w:val="24"/>
        </w:rPr>
        <w:t>If the trading member executes deals in foreign currency during on-exchange trading sessions, a minimum variable rate of the Moscow Exchange fee for organisation of trading shall be RUB 0.</w:t>
      </w:r>
      <w:r w:rsidR="00247693">
        <w:rPr>
          <w:rFonts w:ascii="Times New Roman" w:hAnsi="Times New Roman" w:cs="Times New Roman"/>
          <w:sz w:val="24"/>
          <w:szCs w:val="24"/>
        </w:rPr>
        <w:t>57</w:t>
      </w:r>
      <w:r w:rsidR="00C33465" w:rsidRPr="00372C07">
        <w:rPr>
          <w:rFonts w:ascii="Times New Roman" w:hAnsi="Times New Roman" w:cs="Times New Roman"/>
          <w:sz w:val="24"/>
          <w:szCs w:val="24"/>
        </w:rPr>
        <w:t xml:space="preserve"> per trade, except as provided in 1.</w:t>
      </w:r>
      <w:r w:rsidR="00E32FAB" w:rsidRPr="00372C07">
        <w:rPr>
          <w:rFonts w:ascii="Times New Roman" w:hAnsi="Times New Roman" w:cs="Times New Roman"/>
          <w:sz w:val="24"/>
          <w:szCs w:val="24"/>
        </w:rPr>
        <w:t>3</w:t>
      </w:r>
      <w:r w:rsidR="00C33465" w:rsidRPr="00372C07">
        <w:rPr>
          <w:rFonts w:ascii="Times New Roman" w:hAnsi="Times New Roman" w:cs="Times New Roman"/>
          <w:sz w:val="24"/>
          <w:szCs w:val="24"/>
        </w:rPr>
        <w:t xml:space="preserve"> hereof.</w:t>
      </w:r>
    </w:p>
    <w:p w:rsidR="00C33465" w:rsidRPr="00372C07" w:rsidRDefault="00B9643E" w:rsidP="00B9643E">
      <w:pPr>
        <w:tabs>
          <w:tab w:val="left" w:pos="180"/>
          <w:tab w:val="left" w:pos="567"/>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1.11. </w:t>
      </w:r>
      <w:r w:rsidR="00C33465" w:rsidRPr="00372C07">
        <w:rPr>
          <w:rFonts w:ascii="Times New Roman" w:hAnsi="Times New Roman" w:cs="Times New Roman"/>
          <w:sz w:val="24"/>
          <w:szCs w:val="24"/>
        </w:rPr>
        <w:t xml:space="preserve"> Moscow Exchange’s fee for organisation of trading per deals in foreign currency executed by trading members </w:t>
      </w:r>
      <w:r w:rsidR="00C33465" w:rsidRPr="00372C07">
        <w:rPr>
          <w:rFonts w:ascii="Times New Roman" w:hAnsi="Times New Roman" w:cs="Times New Roman"/>
          <w:sz w:val="24"/>
          <w:szCs w:val="24"/>
          <w:lang w:val="en-US"/>
        </w:rPr>
        <w:t>shall</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payable</w:t>
      </w:r>
      <w:r w:rsidR="00C33465" w:rsidRPr="00372C07">
        <w:rPr>
          <w:rFonts w:ascii="Times New Roman" w:hAnsi="Times New Roman" w:cs="Times New Roman"/>
          <w:sz w:val="24"/>
          <w:szCs w:val="24"/>
        </w:rPr>
        <w:t xml:space="preserve"> in Russian rubles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accordance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rules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regulating</w:t>
      </w:r>
      <w:r w:rsidR="00C33465" w:rsidRPr="00372C07">
        <w:rPr>
          <w:rFonts w:ascii="Times New Roman" w:hAnsi="Times New Roman" w:cs="Times New Roman"/>
          <w:sz w:val="24"/>
          <w:szCs w:val="24"/>
        </w:rPr>
        <w:t xml:space="preserve"> on-exchange trading </w:t>
      </w:r>
      <w:r w:rsidR="00C33465" w:rsidRPr="00372C07">
        <w:rPr>
          <w:rFonts w:ascii="Times New Roman" w:hAnsi="Times New Roman" w:cs="Times New Roman"/>
          <w:sz w:val="24"/>
          <w:szCs w:val="24"/>
          <w:lang w:val="en-US"/>
        </w:rPr>
        <w:t>procedures</w:t>
      </w:r>
      <w:r w:rsidR="00C33465" w:rsidRPr="00372C07">
        <w:rPr>
          <w:rFonts w:ascii="Times New Roman" w:hAnsi="Times New Roman" w:cs="Times New Roman"/>
          <w:sz w:val="24"/>
          <w:szCs w:val="24"/>
        </w:rPr>
        <w:t xml:space="preserve"> in foreign currency (</w:t>
      </w:r>
      <w:r w:rsidR="00C33465" w:rsidRPr="00372C07">
        <w:rPr>
          <w:rFonts w:ascii="Times New Roman" w:hAnsi="Times New Roman" w:cs="Times New Roman"/>
          <w:sz w:val="24"/>
          <w:szCs w:val="24"/>
          <w:lang w:val="en-US"/>
        </w:rPr>
        <w:t>hereinafter, the “Trading Rules”</w:t>
      </w:r>
      <w:r w:rsidR="00C33465" w:rsidRPr="00372C07">
        <w:rPr>
          <w:rFonts w:ascii="Times New Roman" w:hAnsi="Times New Roman" w:cs="Times New Roman"/>
          <w:sz w:val="24"/>
          <w:szCs w:val="24"/>
        </w:rPr>
        <w:t>) as follows:</w:t>
      </w:r>
    </w:p>
    <w:p w:rsidR="00C33465" w:rsidRDefault="00C33465" w:rsidP="00B9643E">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calculated</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in</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accordance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with</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procedures</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determined</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in</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sub-clause</w:t>
      </w:r>
      <w:r w:rsidRPr="00B9643E">
        <w:rPr>
          <w:rFonts w:ascii="Times New Roman" w:hAnsi="Times New Roman" w:cs="Times New Roman"/>
          <w:sz w:val="24"/>
          <w:szCs w:val="24"/>
        </w:rPr>
        <w:t xml:space="preserve"> 1.1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1.</w:t>
      </w:r>
      <w:r w:rsidR="00E32FAB" w:rsidRPr="00B9643E">
        <w:rPr>
          <w:rFonts w:ascii="Times New Roman" w:hAnsi="Times New Roman" w:cs="Times New Roman"/>
          <w:sz w:val="24"/>
          <w:szCs w:val="24"/>
        </w:rPr>
        <w:t>5</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and</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6</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variable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rate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 xml:space="preserve">fee determined in sub-clause </w:t>
      </w:r>
      <w:r w:rsidRPr="00B9643E">
        <w:rPr>
          <w:rFonts w:ascii="Times New Roman" w:hAnsi="Times New Roman" w:cs="Times New Roman"/>
          <w:sz w:val="24"/>
          <w:szCs w:val="24"/>
        </w:rPr>
        <w:t>1.</w:t>
      </w:r>
      <w:r w:rsidR="00E32FAB" w:rsidRPr="00B9643E">
        <w:rPr>
          <w:rFonts w:ascii="Times New Roman" w:hAnsi="Times New Roman" w:cs="Times New Roman"/>
          <w:sz w:val="24"/>
          <w:szCs w:val="24"/>
        </w:rPr>
        <w:t>3</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 xml:space="preserve">and the fee based on minimum rate determined in </w:t>
      </w:r>
      <w:r w:rsidRPr="00B9643E">
        <w:rPr>
          <w:rFonts w:ascii="Times New Roman" w:hAnsi="Times New Roman" w:cs="Times New Roman"/>
          <w:sz w:val="24"/>
          <w:szCs w:val="24"/>
        </w:rPr>
        <w:t>sub-clause 1.1</w:t>
      </w:r>
      <w:r w:rsidR="00E32FAB" w:rsidRPr="00B9643E">
        <w:rPr>
          <w:rFonts w:ascii="Times New Roman" w:hAnsi="Times New Roman" w:cs="Times New Roman"/>
          <w:sz w:val="24"/>
          <w:szCs w:val="24"/>
        </w:rPr>
        <w:t>0</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shall be 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per respective clearing member’s settlement code on the date the trade has been executed, and shall be transferred to the Moscow Exchange;</w:t>
      </w:r>
    </w:p>
    <w:p w:rsidR="00C33465" w:rsidRDefault="00C33465" w:rsidP="00B9643E">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rPr>
        <w:t xml:space="preserve">Flat rate as determined in </w:t>
      </w:r>
      <w:r w:rsidRPr="00B9643E">
        <w:rPr>
          <w:rFonts w:ascii="Times New Roman" w:hAnsi="Times New Roman" w:cs="Times New Roman"/>
          <w:sz w:val="24"/>
          <w:szCs w:val="24"/>
          <w:lang w:val="en-US"/>
        </w:rPr>
        <w:t>sub-clauses</w:t>
      </w:r>
      <w:r w:rsidRPr="00B9643E">
        <w:rPr>
          <w:rFonts w:ascii="Times New Roman" w:hAnsi="Times New Roman" w:cs="Times New Roman"/>
          <w:sz w:val="24"/>
          <w:szCs w:val="24"/>
        </w:rPr>
        <w:t xml:space="preserve"> 1.1 </w:t>
      </w:r>
      <w:r w:rsidRPr="00B9643E">
        <w:rPr>
          <w:rFonts w:ascii="Times New Roman" w:hAnsi="Times New Roman" w:cs="Times New Roman"/>
          <w:sz w:val="24"/>
          <w:szCs w:val="24"/>
          <w:lang w:val="en-US"/>
        </w:rPr>
        <w:t>and</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4</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per</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fee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the</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package</w:t>
      </w:r>
      <w:r w:rsidRPr="00B9643E">
        <w:rPr>
          <w:rFonts w:ascii="Times New Roman" w:hAnsi="Times New Roman" w:cs="Times New Roman"/>
          <w:sz w:val="24"/>
          <w:szCs w:val="24"/>
        </w:rPr>
        <w:t xml:space="preserve"> selected by the trading member </w:t>
      </w:r>
      <w:r w:rsidRPr="00B9643E">
        <w:rPr>
          <w:rFonts w:ascii="Times New Roman" w:hAnsi="Times New Roman" w:cs="Times New Roman"/>
          <w:sz w:val="24"/>
          <w:szCs w:val="24"/>
          <w:lang w:val="en-US"/>
        </w:rPr>
        <w:t xml:space="preserve">in accordance with sub-clause </w:t>
      </w:r>
      <w:r w:rsidRPr="00B9643E">
        <w:rPr>
          <w:rFonts w:ascii="Times New Roman" w:hAnsi="Times New Roman" w:cs="Times New Roman"/>
          <w:sz w:val="24"/>
          <w:szCs w:val="24"/>
        </w:rPr>
        <w:t>1.</w:t>
      </w:r>
      <w:r w:rsidR="00E32FAB" w:rsidRPr="00B9643E">
        <w:rPr>
          <w:rFonts w:ascii="Times New Roman" w:hAnsi="Times New Roman" w:cs="Times New Roman"/>
          <w:sz w:val="24"/>
          <w:szCs w:val="24"/>
        </w:rPr>
        <w:t>2</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and/or</w:t>
      </w:r>
      <w:r w:rsidRPr="00B9643E">
        <w:rPr>
          <w:rFonts w:ascii="Times New Roman" w:hAnsi="Times New Roman" w:cs="Times New Roman"/>
          <w:sz w:val="24"/>
          <w:szCs w:val="24"/>
        </w:rPr>
        <w:t xml:space="preserve"> 1.</w:t>
      </w:r>
      <w:r w:rsidR="00E32FAB" w:rsidRPr="00B9643E">
        <w:rPr>
          <w:rFonts w:ascii="Times New Roman" w:hAnsi="Times New Roman" w:cs="Times New Roman"/>
          <w:sz w:val="24"/>
          <w:szCs w:val="24"/>
        </w:rPr>
        <w:t>7</w:t>
      </w:r>
      <w:r w:rsidRPr="00B9643E">
        <w:rPr>
          <w:rFonts w:ascii="Times New Roman" w:hAnsi="Times New Roman" w:cs="Times New Roman"/>
          <w:sz w:val="24"/>
          <w:szCs w:val="24"/>
        </w:rPr>
        <w:t xml:space="preserve"> </w:t>
      </w:r>
      <w:r w:rsidRPr="00B9643E">
        <w:rPr>
          <w:rFonts w:ascii="Times New Roman" w:hAnsi="Times New Roman" w:cs="Times New Roman"/>
          <w:sz w:val="24"/>
          <w:szCs w:val="24"/>
          <w:lang w:val="en-US"/>
        </w:rPr>
        <w:t>hereof</w:t>
      </w:r>
      <w:r w:rsidRPr="00B9643E">
        <w:rPr>
          <w:rFonts w:ascii="Times New Roman" w:hAnsi="Times New Roman" w:cs="Times New Roman"/>
          <w:sz w:val="24"/>
          <w:szCs w:val="24"/>
        </w:rPr>
        <w:t xml:space="preserve">, is 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 xml:space="preserve">per respective clearing member’s settlement code on the first </w:t>
      </w:r>
      <w:r w:rsidR="005A32B2" w:rsidRPr="00B9643E">
        <w:rPr>
          <w:rFonts w:ascii="Times New Roman" w:hAnsi="Times New Roman" w:cs="Times New Roman"/>
          <w:sz w:val="24"/>
          <w:szCs w:val="24"/>
        </w:rPr>
        <w:t xml:space="preserve">settlement </w:t>
      </w:r>
      <w:r w:rsidRPr="00B9643E">
        <w:rPr>
          <w:rFonts w:ascii="Times New Roman" w:hAnsi="Times New Roman" w:cs="Times New Roman"/>
          <w:sz w:val="24"/>
          <w:szCs w:val="24"/>
        </w:rPr>
        <w:t>day of a calendar month</w:t>
      </w:r>
      <w:r w:rsidR="005A32B2" w:rsidRPr="00B9643E">
        <w:rPr>
          <w:rFonts w:ascii="Times New Roman" w:hAnsi="Times New Roman" w:cs="Times New Roman"/>
          <w:sz w:val="24"/>
          <w:szCs w:val="24"/>
        </w:rPr>
        <w:t xml:space="preserve"> the fee is </w:t>
      </w:r>
      <w:r w:rsidR="002F4723" w:rsidRPr="00B9643E">
        <w:rPr>
          <w:rFonts w:ascii="Times New Roman" w:hAnsi="Times New Roman" w:cs="Times New Roman"/>
          <w:sz w:val="24"/>
          <w:szCs w:val="24"/>
        </w:rPr>
        <w:t>payable</w:t>
      </w:r>
      <w:r w:rsidR="005A32B2" w:rsidRPr="00B9643E">
        <w:rPr>
          <w:rFonts w:ascii="Times New Roman" w:hAnsi="Times New Roman" w:cs="Times New Roman"/>
          <w:sz w:val="24"/>
          <w:szCs w:val="24"/>
        </w:rPr>
        <w:t xml:space="preserve"> for</w:t>
      </w:r>
      <w:r w:rsidRPr="00B9643E">
        <w:rPr>
          <w:rFonts w:ascii="Times New Roman" w:hAnsi="Times New Roman" w:cs="Times New Roman"/>
          <w:sz w:val="24"/>
          <w:szCs w:val="24"/>
        </w:rPr>
        <w:t xml:space="preserve"> and transferred to the Moscow Exchange;</w:t>
      </w:r>
    </w:p>
    <w:p w:rsidR="00C33465" w:rsidRPr="00B9643E" w:rsidRDefault="00C33465" w:rsidP="00B9643E">
      <w:pPr>
        <w:pStyle w:val="ad"/>
        <w:numPr>
          <w:ilvl w:val="2"/>
          <w:numId w:val="42"/>
        </w:numPr>
        <w:tabs>
          <w:tab w:val="left" w:pos="180"/>
          <w:tab w:val="left" w:pos="1080"/>
        </w:tabs>
        <w:spacing w:after="120" w:line="240" w:lineRule="auto"/>
        <w:ind w:hanging="11"/>
        <w:jc w:val="both"/>
        <w:rPr>
          <w:rFonts w:ascii="Times New Roman" w:hAnsi="Times New Roman" w:cs="Times New Roman"/>
          <w:sz w:val="24"/>
          <w:szCs w:val="24"/>
        </w:rPr>
      </w:pPr>
      <w:r w:rsidRPr="00B9643E">
        <w:rPr>
          <w:rFonts w:ascii="Times New Roman" w:hAnsi="Times New Roman" w:cs="Times New Roman"/>
          <w:sz w:val="24"/>
          <w:szCs w:val="24"/>
        </w:rPr>
        <w:t xml:space="preserve">The difference between the amount of minimum monthly fee established in </w:t>
      </w:r>
      <w:r w:rsidR="005A32B2" w:rsidRPr="00B9643E">
        <w:rPr>
          <w:rFonts w:ascii="Times New Roman" w:hAnsi="Times New Roman" w:cs="Times New Roman"/>
          <w:sz w:val="24"/>
          <w:szCs w:val="24"/>
        </w:rPr>
        <w:br/>
      </w:r>
      <w:r w:rsidRPr="00B9643E">
        <w:rPr>
          <w:rFonts w:ascii="Times New Roman" w:hAnsi="Times New Roman" w:cs="Times New Roman"/>
          <w:sz w:val="24"/>
          <w:szCs w:val="24"/>
        </w:rPr>
        <w:t>sub-clause 1.</w:t>
      </w:r>
      <w:r w:rsidR="00E32FAB" w:rsidRPr="00B9643E">
        <w:rPr>
          <w:rFonts w:ascii="Times New Roman" w:hAnsi="Times New Roman" w:cs="Times New Roman"/>
          <w:sz w:val="24"/>
          <w:szCs w:val="24"/>
        </w:rPr>
        <w:t xml:space="preserve">9 </w:t>
      </w:r>
      <w:r w:rsidRPr="00B9643E">
        <w:rPr>
          <w:rFonts w:ascii="Times New Roman" w:hAnsi="Times New Roman" w:cs="Times New Roman"/>
          <w:sz w:val="24"/>
          <w:szCs w:val="24"/>
        </w:rPr>
        <w:t>of clause 1 hereof, and total paid variable rate of the fee per spot</w:t>
      </w:r>
      <w:r w:rsidR="004C0C11" w:rsidRPr="00B9643E">
        <w:rPr>
          <w:rFonts w:ascii="Times New Roman" w:hAnsi="Times New Roman" w:cs="Times New Roman"/>
          <w:sz w:val="24"/>
          <w:szCs w:val="24"/>
        </w:rPr>
        <w:t>/fix</w:t>
      </w:r>
      <w:r w:rsidRPr="00B9643E">
        <w:rPr>
          <w:rFonts w:ascii="Times New Roman" w:hAnsi="Times New Roman" w:cs="Times New Roman"/>
          <w:sz w:val="24"/>
          <w:szCs w:val="24"/>
        </w:rPr>
        <w:t xml:space="preserve"> deals and fee for organisation of trading as determined in sub-clause 1.</w:t>
      </w:r>
      <w:r w:rsidR="00E32FAB" w:rsidRPr="00B9643E">
        <w:rPr>
          <w:rFonts w:ascii="Times New Roman" w:hAnsi="Times New Roman" w:cs="Times New Roman"/>
          <w:sz w:val="24"/>
          <w:szCs w:val="24"/>
        </w:rPr>
        <w:t xml:space="preserve">3 </w:t>
      </w:r>
      <w:r w:rsidRPr="00B9643E">
        <w:rPr>
          <w:rFonts w:ascii="Times New Roman" w:hAnsi="Times New Roman" w:cs="Times New Roman"/>
          <w:sz w:val="24"/>
          <w:szCs w:val="24"/>
        </w:rPr>
        <w:t xml:space="preserve">of clause 1 hereof, shall be withheld by </w:t>
      </w:r>
      <w:r w:rsidR="004D1CBA">
        <w:rPr>
          <w:rFonts w:ascii="Times New Roman" w:hAnsi="Times New Roman" w:cs="Times New Roman"/>
          <w:sz w:val="24"/>
          <w:szCs w:val="24"/>
        </w:rPr>
        <w:t xml:space="preserve">CCP </w:t>
      </w:r>
      <w:r w:rsidR="00E32FAB" w:rsidRPr="00B9643E">
        <w:rPr>
          <w:rFonts w:ascii="Times New Roman" w:hAnsi="Times New Roman" w:cs="Times New Roman"/>
          <w:sz w:val="24"/>
          <w:szCs w:val="24"/>
        </w:rPr>
        <w:t xml:space="preserve">NCC </w:t>
      </w:r>
      <w:r w:rsidRPr="00B9643E">
        <w:rPr>
          <w:rFonts w:ascii="Times New Roman" w:hAnsi="Times New Roman" w:cs="Times New Roman"/>
          <w:sz w:val="24"/>
          <w:szCs w:val="24"/>
        </w:rPr>
        <w:t xml:space="preserve">per respective clearing member’s settlement code on the last </w:t>
      </w:r>
      <w:r w:rsidR="005A32B2" w:rsidRPr="00B9643E">
        <w:rPr>
          <w:rFonts w:ascii="Times New Roman" w:hAnsi="Times New Roman" w:cs="Times New Roman"/>
          <w:sz w:val="24"/>
          <w:szCs w:val="24"/>
        </w:rPr>
        <w:t xml:space="preserve">settlement </w:t>
      </w:r>
      <w:r w:rsidRPr="00B9643E">
        <w:rPr>
          <w:rFonts w:ascii="Times New Roman" w:hAnsi="Times New Roman" w:cs="Times New Roman"/>
          <w:sz w:val="24"/>
          <w:szCs w:val="24"/>
        </w:rPr>
        <w:t>day of a calendar month if the trading member had access for one and more days during the calendar month, regardless whether or not the trading member actually submitted orders, or executed and/or settled deals in on-exchange trading sessions, for which the minimum monthly fee is payable, and transferred to the Moscow Exchange. If trading access is discontinued during the month,</w:t>
      </w:r>
      <w:r w:rsidR="002F4723" w:rsidRPr="00B9643E">
        <w:rPr>
          <w:rFonts w:ascii="Times New Roman" w:hAnsi="Times New Roman" w:cs="Times New Roman"/>
          <w:sz w:val="24"/>
          <w:szCs w:val="24"/>
        </w:rPr>
        <w:t xml:space="preserve"> the said difference</w:t>
      </w:r>
      <w:r w:rsidRPr="00B9643E">
        <w:rPr>
          <w:rFonts w:ascii="Times New Roman" w:hAnsi="Times New Roman" w:cs="Times New Roman"/>
          <w:sz w:val="24"/>
          <w:szCs w:val="24"/>
        </w:rPr>
        <w:t xml:space="preserve"> is payable on the day when trading access of the trading member is discontinued.</w:t>
      </w:r>
    </w:p>
    <w:p w:rsidR="00C33465" w:rsidRPr="00372C07" w:rsidRDefault="001B381E" w:rsidP="001A7D17">
      <w:pPr>
        <w:tabs>
          <w:tab w:val="left" w:pos="720"/>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C33465" w:rsidRPr="00372C07" w:rsidRDefault="004D1CBA" w:rsidP="0013150D">
      <w:pPr>
        <w:tabs>
          <w:tab w:val="left" w:pos="720"/>
          <w:tab w:val="left" w:pos="1080"/>
        </w:tabs>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lang w:val="en-US"/>
        </w:rPr>
        <w:t xml:space="preserve">2.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accordance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Clearing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Rules</w:t>
      </w:r>
      <w:r w:rsidR="00C33465" w:rsidRPr="00372C07">
        <w:rPr>
          <w:rFonts w:ascii="Times New Roman" w:hAnsi="Times New Roman" w:cs="Times New Roman"/>
          <w:sz w:val="24"/>
          <w:szCs w:val="24"/>
        </w:rPr>
        <w:t xml:space="preserve"> </w:t>
      </w:r>
      <w:r>
        <w:rPr>
          <w:rFonts w:ascii="Times New Roman" w:hAnsi="Times New Roman" w:cs="Times New Roman"/>
          <w:sz w:val="24"/>
          <w:szCs w:val="24"/>
        </w:rPr>
        <w:t xml:space="preserve">CCP </w:t>
      </w:r>
      <w:r w:rsidR="0041567E" w:rsidRPr="00372C07">
        <w:rPr>
          <w:rFonts w:ascii="Times New Roman" w:hAnsi="Times New Roman" w:cs="Times New Roman"/>
          <w:sz w:val="24"/>
          <w:szCs w:val="24"/>
          <w:lang w:val="en-US"/>
        </w:rPr>
        <w:t xml:space="preserve">NCC </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withholds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amounts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fees</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payable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by</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and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listed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clause</w:t>
      </w:r>
      <w:r w:rsidR="00C33465" w:rsidRPr="00372C07">
        <w:rPr>
          <w:rFonts w:ascii="Times New Roman" w:hAnsi="Times New Roman" w:cs="Times New Roman"/>
          <w:sz w:val="24"/>
          <w:szCs w:val="24"/>
        </w:rPr>
        <w:t xml:space="preserve"> 1 </w:t>
      </w:r>
      <w:r w:rsidR="00C33465" w:rsidRPr="00372C07">
        <w:rPr>
          <w:rFonts w:ascii="Times New Roman" w:hAnsi="Times New Roman" w:cs="Times New Roman"/>
          <w:sz w:val="24"/>
          <w:szCs w:val="24"/>
          <w:lang w:val="en-US"/>
        </w:rPr>
        <w:t>hereof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from</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account</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of</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a</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clearing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2F4723">
        <w:rPr>
          <w:rFonts w:ascii="Times New Roman" w:hAnsi="Times New Roman" w:cs="Times New Roman"/>
          <w:sz w:val="24"/>
          <w:szCs w:val="24"/>
        </w:rPr>
        <w:lastRenderedPageBreak/>
        <w:t xml:space="preserve">matching with trading and clearing account </w:t>
      </w:r>
      <w:r w:rsidR="00C33465" w:rsidRPr="00372C07">
        <w:rPr>
          <w:rFonts w:ascii="Times New Roman" w:hAnsi="Times New Roman" w:cs="Times New Roman"/>
          <w:sz w:val="24"/>
          <w:szCs w:val="24"/>
          <w:lang w:val="en-US"/>
        </w:rPr>
        <w:t>indicated</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by</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trading</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member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the</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order</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for</w:t>
      </w:r>
      <w:r w:rsidR="00C33465" w:rsidRPr="00372C07">
        <w:rPr>
          <w:rFonts w:ascii="Times New Roman" w:hAnsi="Times New Roman" w:cs="Times New Roman"/>
          <w:sz w:val="24"/>
          <w:szCs w:val="24"/>
        </w:rPr>
        <w:t xml:space="preserve"> </w:t>
      </w:r>
      <w:r w:rsidR="002F4723">
        <w:rPr>
          <w:rFonts w:ascii="Times New Roman" w:hAnsi="Times New Roman" w:cs="Times New Roman"/>
          <w:sz w:val="24"/>
          <w:szCs w:val="24"/>
        </w:rPr>
        <w:t xml:space="preserve">a </w:t>
      </w:r>
      <w:r w:rsidR="00C33465" w:rsidRPr="00372C07">
        <w:rPr>
          <w:rFonts w:ascii="Times New Roman" w:hAnsi="Times New Roman" w:cs="Times New Roman"/>
          <w:sz w:val="24"/>
          <w:szCs w:val="24"/>
        </w:rPr>
        <w:t xml:space="preserve">deal </w:t>
      </w:r>
      <w:r w:rsidR="00C33465" w:rsidRPr="00372C07">
        <w:rPr>
          <w:rFonts w:ascii="Times New Roman" w:hAnsi="Times New Roman" w:cs="Times New Roman"/>
          <w:sz w:val="24"/>
          <w:szCs w:val="24"/>
          <w:lang w:val="en-US"/>
        </w:rPr>
        <w:t>in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foreign</w:t>
      </w:r>
      <w:r w:rsidR="00C33465" w:rsidRPr="00372C07">
        <w:rPr>
          <w:rFonts w:ascii="Times New Roman" w:hAnsi="Times New Roman" w:cs="Times New Roman"/>
          <w:sz w:val="24"/>
          <w:szCs w:val="24"/>
        </w:rPr>
        <w:t xml:space="preserve"> </w:t>
      </w:r>
      <w:r w:rsidR="00C33465" w:rsidRPr="00372C07">
        <w:rPr>
          <w:rFonts w:ascii="Times New Roman" w:hAnsi="Times New Roman" w:cs="Times New Roman"/>
          <w:sz w:val="24"/>
          <w:szCs w:val="24"/>
          <w:lang w:val="en-US"/>
        </w:rPr>
        <w:t>currency</w:t>
      </w:r>
      <w:r w:rsidR="00C33465" w:rsidRPr="00372C07">
        <w:rPr>
          <w:rFonts w:ascii="Times New Roman" w:hAnsi="Times New Roman" w:cs="Times New Roman"/>
          <w:sz w:val="24"/>
          <w:szCs w:val="24"/>
        </w:rPr>
        <w:t>.</w:t>
      </w:r>
    </w:p>
    <w:p w:rsidR="007C359A" w:rsidRDefault="00C33465" w:rsidP="007C359A">
      <w:pPr>
        <w:tabs>
          <w:tab w:val="left" w:pos="180"/>
          <w:tab w:val="left" w:pos="1080"/>
        </w:tabs>
        <w:spacing w:after="120" w:line="240" w:lineRule="auto"/>
        <w:ind w:firstLine="567"/>
        <w:jc w:val="both"/>
        <w:rPr>
          <w:rFonts w:ascii="Times New Roman" w:hAnsi="Times New Roman" w:cs="Times New Roman"/>
          <w:bCs/>
          <w:sz w:val="24"/>
          <w:szCs w:val="24"/>
        </w:rPr>
      </w:pPr>
      <w:r w:rsidRPr="00372C07">
        <w:rPr>
          <w:rFonts w:ascii="Times New Roman" w:hAnsi="Times New Roman" w:cs="Times New Roman"/>
          <w:sz w:val="24"/>
          <w:szCs w:val="24"/>
          <w:lang w:val="en-US"/>
        </w:rPr>
        <w:t>With</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that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flat</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rates</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sub-clauses</w:t>
      </w:r>
      <w:r w:rsidRPr="00372C07">
        <w:rPr>
          <w:rFonts w:ascii="Times New Roman" w:hAnsi="Times New Roman" w:cs="Times New Roman"/>
          <w:sz w:val="24"/>
          <w:szCs w:val="24"/>
        </w:rPr>
        <w:t xml:space="preserve"> 1.1 </w:t>
      </w:r>
      <w:r w:rsidRPr="00372C07">
        <w:rPr>
          <w:rFonts w:ascii="Times New Roman" w:hAnsi="Times New Roman" w:cs="Times New Roman"/>
          <w:sz w:val="24"/>
          <w:szCs w:val="24"/>
          <w:lang w:val="en-US"/>
        </w:rPr>
        <w:t>and</w:t>
      </w:r>
      <w:r w:rsidRPr="00372C07">
        <w:rPr>
          <w:rFonts w:ascii="Times New Roman" w:hAnsi="Times New Roman" w:cs="Times New Roman"/>
          <w:sz w:val="24"/>
          <w:szCs w:val="24"/>
        </w:rPr>
        <w:t xml:space="preserve"> 1.</w:t>
      </w:r>
      <w:r w:rsidR="0041567E" w:rsidRPr="00372C07">
        <w:rPr>
          <w:rFonts w:ascii="Times New Roman" w:hAnsi="Times New Roman" w:cs="Times New Roman"/>
          <w:sz w:val="24"/>
          <w:szCs w:val="24"/>
        </w:rPr>
        <w:t>4</w:t>
      </w:r>
      <w:r w:rsidR="008B3EB9">
        <w:rPr>
          <w:rFonts w:ascii="Times New Roman" w:hAnsi="Times New Roman" w:cs="Times New Roman"/>
          <w:sz w:val="24"/>
          <w:szCs w:val="24"/>
        </w:rPr>
        <w:t xml:space="preserve"> of clause 1 hereof</w:t>
      </w:r>
      <w:r w:rsidRPr="00372C07">
        <w:rPr>
          <w:rFonts w:ascii="Times New Roman" w:hAnsi="Times New Roman" w:cs="Times New Roman"/>
          <w:sz w:val="24"/>
          <w:szCs w:val="24"/>
        </w:rPr>
        <w:t xml:space="preserve">, </w:t>
      </w:r>
      <w:r w:rsidR="008B3EB9">
        <w:rPr>
          <w:rFonts w:ascii="Times New Roman" w:hAnsi="Times New Roman" w:cs="Times New Roman"/>
          <w:sz w:val="24"/>
          <w:szCs w:val="24"/>
        </w:rPr>
        <w:t xml:space="preserve"> and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minimum</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monthly</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commission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fee</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determined</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in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sub-clause</w:t>
      </w:r>
      <w:r w:rsidRPr="00372C07">
        <w:rPr>
          <w:rFonts w:ascii="Times New Roman" w:hAnsi="Times New Roman" w:cs="Times New Roman"/>
          <w:sz w:val="24"/>
          <w:szCs w:val="24"/>
        </w:rPr>
        <w:t xml:space="preserve"> 1.</w:t>
      </w:r>
      <w:r w:rsidR="002F40F8" w:rsidRPr="00372C07">
        <w:rPr>
          <w:rFonts w:ascii="Times New Roman" w:hAnsi="Times New Roman" w:cs="Times New Roman"/>
          <w:sz w:val="24"/>
          <w:szCs w:val="24"/>
        </w:rPr>
        <w:t xml:space="preserve">9 </w:t>
      </w:r>
      <w:r w:rsidR="008B3EB9">
        <w:rPr>
          <w:rFonts w:ascii="Times New Roman" w:hAnsi="Times New Roman" w:cs="Times New Roman"/>
          <w:sz w:val="24"/>
          <w:szCs w:val="24"/>
        </w:rPr>
        <w:t>of clause 1 hereof</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when</w:t>
      </w:r>
      <w:r w:rsidRPr="00372C07">
        <w:rPr>
          <w:rFonts w:ascii="Times New Roman" w:hAnsi="Times New Roman" w:cs="Times New Roman"/>
          <w:sz w:val="24"/>
          <w:szCs w:val="24"/>
        </w:rPr>
        <w:t xml:space="preserve"> </w:t>
      </w:r>
      <w:r w:rsidRPr="00372C07">
        <w:rPr>
          <w:rFonts w:ascii="Times New Roman" w:hAnsi="Times New Roman" w:cs="Times New Roman"/>
          <w:sz w:val="24"/>
          <w:szCs w:val="24"/>
          <w:lang w:val="en-US"/>
        </w:rPr>
        <w:t>withheld</w:t>
      </w:r>
      <w:r w:rsidRPr="00372C07">
        <w:rPr>
          <w:rFonts w:ascii="Times New Roman" w:hAnsi="Times New Roman" w:cs="Times New Roman"/>
          <w:sz w:val="24"/>
          <w:szCs w:val="24"/>
        </w:rPr>
        <w:t xml:space="preserve"> </w:t>
      </w:r>
      <w:r w:rsidRPr="00372C07">
        <w:rPr>
          <w:rFonts w:ascii="Times New Roman" w:hAnsi="Times New Roman" w:cs="Times New Roman"/>
          <w:bCs/>
          <w:sz w:val="24"/>
          <w:szCs w:val="24"/>
          <w:lang w:val="en-US"/>
        </w:rPr>
        <w:t>per</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settlement</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code</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of</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a</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clearing</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member</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being</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a</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clearing</w:t>
      </w:r>
      <w:r w:rsidRPr="00372C07">
        <w:rPr>
          <w:rFonts w:ascii="Times New Roman" w:hAnsi="Times New Roman" w:cs="Times New Roman"/>
          <w:bCs/>
          <w:sz w:val="24"/>
          <w:szCs w:val="24"/>
        </w:rPr>
        <w:t xml:space="preserve"> </w:t>
      </w:r>
      <w:r w:rsidRPr="00372C07">
        <w:rPr>
          <w:rFonts w:ascii="Times New Roman" w:hAnsi="Times New Roman" w:cs="Times New Roman"/>
          <w:bCs/>
          <w:sz w:val="24"/>
          <w:szCs w:val="24"/>
          <w:lang w:val="en-US"/>
        </w:rPr>
        <w:t>broker</w:t>
      </w:r>
      <w:r w:rsidRPr="00372C07">
        <w:rPr>
          <w:rFonts w:ascii="Times New Roman" w:hAnsi="Times New Roman" w:cs="Times New Roman"/>
          <w:bCs/>
          <w:sz w:val="24"/>
          <w:szCs w:val="24"/>
        </w:rPr>
        <w:t xml:space="preserve">, shall be withheld by </w:t>
      </w:r>
      <w:r w:rsidR="008B3EB9">
        <w:rPr>
          <w:rFonts w:ascii="Times New Roman" w:hAnsi="Times New Roman" w:cs="Times New Roman"/>
          <w:bCs/>
          <w:sz w:val="24"/>
          <w:szCs w:val="24"/>
        </w:rPr>
        <w:t xml:space="preserve">CCP </w:t>
      </w:r>
      <w:r w:rsidR="0041567E" w:rsidRPr="00372C07">
        <w:rPr>
          <w:rFonts w:ascii="Times New Roman" w:hAnsi="Times New Roman" w:cs="Times New Roman"/>
          <w:bCs/>
          <w:sz w:val="24"/>
          <w:szCs w:val="24"/>
        </w:rPr>
        <w:t xml:space="preserve">NCC </w:t>
      </w:r>
      <w:r w:rsidRPr="00372C07">
        <w:rPr>
          <w:rFonts w:ascii="Times New Roman" w:hAnsi="Times New Roman" w:cs="Times New Roman"/>
          <w:bCs/>
          <w:sz w:val="24"/>
          <w:szCs w:val="24"/>
        </w:rPr>
        <w:t>per settlement code of</w:t>
      </w:r>
      <w:r w:rsidR="001E5C00">
        <w:rPr>
          <w:rFonts w:ascii="Times New Roman" w:hAnsi="Times New Roman" w:cs="Times New Roman"/>
          <w:bCs/>
          <w:sz w:val="24"/>
          <w:szCs w:val="24"/>
        </w:rPr>
        <w:t xml:space="preserve"> the</w:t>
      </w:r>
      <w:r w:rsidRPr="00372C07">
        <w:rPr>
          <w:rFonts w:ascii="Times New Roman" w:hAnsi="Times New Roman" w:cs="Times New Roman"/>
          <w:bCs/>
          <w:sz w:val="24"/>
          <w:szCs w:val="24"/>
        </w:rPr>
        <w:t xml:space="preserve"> clearing member,</w:t>
      </w:r>
      <w:r w:rsidR="001E5C00">
        <w:rPr>
          <w:rFonts w:ascii="Times New Roman" w:hAnsi="Times New Roman" w:cs="Times New Roman"/>
          <w:bCs/>
          <w:sz w:val="24"/>
          <w:szCs w:val="24"/>
        </w:rPr>
        <w:t xml:space="preserve"> other than the Trading Member submitted the order for the trade, indicated by the Clearing Member in the Application for settlement code for charging the commission fee (if such application is submitted), or </w:t>
      </w:r>
      <w:r w:rsidR="00093263">
        <w:rPr>
          <w:rFonts w:ascii="Times New Roman" w:hAnsi="Times New Roman" w:cs="Times New Roman"/>
          <w:bCs/>
          <w:sz w:val="24"/>
          <w:szCs w:val="24"/>
          <w:lang w:val="en-US"/>
        </w:rPr>
        <w:t xml:space="preserve">per main settlement </w:t>
      </w:r>
      <w:r w:rsidR="00072BDF">
        <w:rPr>
          <w:rFonts w:ascii="Times New Roman" w:hAnsi="Times New Roman" w:cs="Times New Roman"/>
          <w:bCs/>
          <w:sz w:val="24"/>
          <w:szCs w:val="24"/>
          <w:lang w:val="en-US"/>
        </w:rPr>
        <w:t>account</w:t>
      </w:r>
      <w:r w:rsidR="007C359A">
        <w:rPr>
          <w:rFonts w:ascii="Times New Roman" w:hAnsi="Times New Roman" w:cs="Times New Roman"/>
          <w:bCs/>
          <w:sz w:val="24"/>
          <w:szCs w:val="24"/>
        </w:rPr>
        <w:t>.</w:t>
      </w:r>
      <w:r w:rsidRPr="00372C07">
        <w:rPr>
          <w:rFonts w:ascii="Times New Roman" w:hAnsi="Times New Roman" w:cs="Times New Roman"/>
          <w:bCs/>
          <w:sz w:val="24"/>
          <w:szCs w:val="24"/>
        </w:rPr>
        <w:t xml:space="preserve"> </w:t>
      </w:r>
    </w:p>
    <w:p w:rsidR="00C33465" w:rsidRDefault="006720A4" w:rsidP="007C359A">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3</w:t>
      </w:r>
      <w:r w:rsidR="007C359A">
        <w:rPr>
          <w:rFonts w:ascii="Times New Roman" w:hAnsi="Times New Roman" w:cs="Times New Roman"/>
          <w:bCs/>
          <w:sz w:val="24"/>
          <w:szCs w:val="24"/>
        </w:rPr>
        <w:t xml:space="preserve">. </w:t>
      </w:r>
      <w:r w:rsidR="00C33465" w:rsidRPr="00372C07">
        <w:rPr>
          <w:rFonts w:ascii="Times New Roman" w:hAnsi="Times New Roman" w:cs="Times New Roman"/>
          <w:sz w:val="24"/>
          <w:szCs w:val="24"/>
        </w:rPr>
        <w:t>The effect of sub-clause 1.</w:t>
      </w:r>
      <w:r w:rsidR="002F40F8" w:rsidRPr="00372C07">
        <w:rPr>
          <w:rFonts w:ascii="Times New Roman" w:hAnsi="Times New Roman" w:cs="Times New Roman"/>
          <w:sz w:val="24"/>
          <w:szCs w:val="24"/>
        </w:rPr>
        <w:t>9</w:t>
      </w:r>
      <w:r>
        <w:rPr>
          <w:rFonts w:ascii="Times New Roman" w:hAnsi="Times New Roman" w:cs="Times New Roman"/>
          <w:sz w:val="24"/>
          <w:szCs w:val="24"/>
        </w:rPr>
        <w:t xml:space="preserve"> of clause 1</w:t>
      </w:r>
      <w:r w:rsidR="00C33465" w:rsidRPr="00372C07">
        <w:rPr>
          <w:rFonts w:ascii="Times New Roman" w:hAnsi="Times New Roman" w:cs="Times New Roman"/>
          <w:sz w:val="24"/>
          <w:szCs w:val="24"/>
        </w:rPr>
        <w:t xml:space="preserve"> hereof does not apply to trading members who are Central (National) Banks </w:t>
      </w:r>
      <w:r w:rsidR="00416FC4" w:rsidRPr="00372C07">
        <w:rPr>
          <w:rFonts w:ascii="Times New Roman" w:hAnsi="Times New Roman" w:cs="Times New Roman"/>
          <w:sz w:val="24"/>
          <w:szCs w:val="24"/>
        </w:rPr>
        <w:t xml:space="preserve">of states </w:t>
      </w:r>
      <w:r w:rsidR="00C33465" w:rsidRPr="00372C07">
        <w:rPr>
          <w:rFonts w:ascii="Times New Roman" w:hAnsi="Times New Roman" w:cs="Times New Roman"/>
          <w:sz w:val="24"/>
          <w:szCs w:val="24"/>
        </w:rPr>
        <w:t>having signed the Agreement on Cooperation in Organization of Integrated Currency Market for the Eurasian Economic Community Member States</w:t>
      </w:r>
      <w:r w:rsidR="002F40F8" w:rsidRPr="00372C07">
        <w:rPr>
          <w:rFonts w:ascii="Times New Roman" w:hAnsi="Times New Roman" w:cs="Times New Roman"/>
          <w:sz w:val="24"/>
          <w:szCs w:val="24"/>
        </w:rPr>
        <w:t>, and/or state members of the Eurasian Economic Community</w:t>
      </w:r>
      <w:r w:rsidR="00C33465" w:rsidRPr="00372C07">
        <w:rPr>
          <w:rFonts w:ascii="Times New Roman" w:hAnsi="Times New Roman" w:cs="Times New Roman"/>
          <w:sz w:val="24"/>
          <w:szCs w:val="24"/>
        </w:rPr>
        <w:t>.</w:t>
      </w:r>
    </w:p>
    <w:p w:rsidR="0052025F" w:rsidRDefault="0052025F" w:rsidP="0052025F">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4. The effect of sub-clauses 1.3 and 1.10</w:t>
      </w:r>
      <w:r w:rsidRPr="006F1168">
        <w:rPr>
          <w:rFonts w:ascii="Times New Roman" w:hAnsi="Times New Roman" w:cs="Times New Roman"/>
          <w:sz w:val="24"/>
          <w:szCs w:val="24"/>
        </w:rPr>
        <w:t xml:space="preserve"> </w:t>
      </w:r>
      <w:r>
        <w:rPr>
          <w:rFonts w:ascii="Times New Roman" w:hAnsi="Times New Roman" w:cs="Times New Roman"/>
          <w:sz w:val="24"/>
          <w:szCs w:val="24"/>
        </w:rPr>
        <w:t xml:space="preserve">of clause 1 hereof </w:t>
      </w:r>
      <w:r w:rsidRPr="006F1168">
        <w:rPr>
          <w:rFonts w:ascii="Times New Roman" w:hAnsi="Times New Roman" w:cs="Times New Roman"/>
          <w:sz w:val="24"/>
          <w:szCs w:val="24"/>
        </w:rPr>
        <w:t>does not apply to</w:t>
      </w:r>
      <w:r>
        <w:rPr>
          <w:rFonts w:ascii="Times New Roman" w:hAnsi="Times New Roman" w:cs="Times New Roman"/>
          <w:sz w:val="24"/>
          <w:szCs w:val="24"/>
        </w:rPr>
        <w:t xml:space="preserve"> the Bank of Russia.</w:t>
      </w:r>
    </w:p>
    <w:p w:rsidR="00C33465" w:rsidRPr="0052025F" w:rsidRDefault="0052025F" w:rsidP="0052025F">
      <w:pPr>
        <w:tabs>
          <w:tab w:val="left" w:pos="180"/>
          <w:tab w:val="left" w:pos="108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C33465" w:rsidRPr="0052025F">
        <w:rPr>
          <w:rFonts w:ascii="Times New Roman" w:hAnsi="Times New Roman" w:cs="Times New Roman"/>
          <w:sz w:val="24"/>
          <w:szCs w:val="24"/>
        </w:rPr>
        <w:t>The effect of sub-clause 1.1</w:t>
      </w:r>
      <w:r w:rsidR="00CE1C0E" w:rsidRPr="0052025F">
        <w:rPr>
          <w:rFonts w:ascii="Times New Roman" w:hAnsi="Times New Roman" w:cs="Times New Roman"/>
          <w:sz w:val="24"/>
          <w:szCs w:val="24"/>
        </w:rPr>
        <w:t>1</w:t>
      </w:r>
      <w:r w:rsidR="00C33465" w:rsidRPr="0052025F">
        <w:rPr>
          <w:rFonts w:ascii="Times New Roman" w:hAnsi="Times New Roman" w:cs="Times New Roman"/>
          <w:sz w:val="24"/>
          <w:szCs w:val="24"/>
        </w:rPr>
        <w:t>.3 does not apply to trading members being credit organisations which banking license has been revoked (annulled) by the Bank of Russia, and non-credit organisations against which a bankruptcy procedure has been initiated, during the month of banking licence revocation (annulment)/bankruptcy procedure initiation.</w:t>
      </w:r>
    </w:p>
    <w:p w:rsidR="00CE1C0E" w:rsidRPr="00372C07" w:rsidRDefault="009E7283" w:rsidP="009E7283">
      <w:pPr>
        <w:tabs>
          <w:tab w:val="left" w:pos="720"/>
          <w:tab w:val="left" w:pos="108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CE1C0E" w:rsidRPr="00372C07">
        <w:rPr>
          <w:rFonts w:ascii="Times New Roman" w:hAnsi="Times New Roman" w:cs="Times New Roman"/>
          <w:sz w:val="24"/>
          <w:szCs w:val="24"/>
        </w:rPr>
        <w:t>The</w:t>
      </w:r>
      <w:r w:rsidR="009E1EC8" w:rsidRPr="00372C07">
        <w:rPr>
          <w:rFonts w:ascii="Times New Roman" w:hAnsi="Times New Roman" w:cs="Times New Roman"/>
          <w:sz w:val="24"/>
          <w:szCs w:val="24"/>
        </w:rPr>
        <w:t>se</w:t>
      </w:r>
      <w:r w:rsidR="00CE1C0E" w:rsidRPr="00372C07">
        <w:rPr>
          <w:rFonts w:ascii="Times New Roman" w:hAnsi="Times New Roman" w:cs="Times New Roman"/>
          <w:sz w:val="24"/>
          <w:szCs w:val="24"/>
        </w:rPr>
        <w:t xml:space="preserve"> fees are net of VAT. VAT is charged </w:t>
      </w:r>
      <w:r w:rsidR="009E1EC8" w:rsidRPr="00372C07">
        <w:rPr>
          <w:rFonts w:ascii="Times New Roman" w:hAnsi="Times New Roman" w:cs="Times New Roman"/>
          <w:sz w:val="24"/>
          <w:szCs w:val="24"/>
        </w:rPr>
        <w:t xml:space="preserve">in addition </w:t>
      </w:r>
      <w:r w:rsidR="00745CCC" w:rsidRPr="00372C07">
        <w:rPr>
          <w:rFonts w:ascii="Times New Roman" w:hAnsi="Times New Roman" w:cs="Times New Roman"/>
          <w:sz w:val="24"/>
          <w:szCs w:val="24"/>
        </w:rPr>
        <w:t>where</w:t>
      </w:r>
      <w:r w:rsidR="00CE1C0E" w:rsidRPr="00372C07">
        <w:rPr>
          <w:rFonts w:ascii="Times New Roman" w:hAnsi="Times New Roman" w:cs="Times New Roman"/>
          <w:sz w:val="24"/>
          <w:szCs w:val="24"/>
        </w:rPr>
        <w:t xml:space="preserve"> required by the Russian Federation</w:t>
      </w:r>
      <w:r w:rsidR="00AC2E86" w:rsidRPr="00372C07">
        <w:rPr>
          <w:rFonts w:ascii="Times New Roman" w:hAnsi="Times New Roman" w:cs="Times New Roman"/>
          <w:sz w:val="24"/>
          <w:szCs w:val="24"/>
        </w:rPr>
        <w:t xml:space="preserve"> legislation</w:t>
      </w:r>
      <w:r w:rsidR="00CE1C0E" w:rsidRPr="00372C07">
        <w:rPr>
          <w:rFonts w:ascii="Times New Roman" w:hAnsi="Times New Roman" w:cs="Times New Roman"/>
          <w:sz w:val="24"/>
          <w:szCs w:val="24"/>
        </w:rPr>
        <w:t>.</w:t>
      </w:r>
    </w:p>
    <w:sectPr w:rsidR="00CE1C0E" w:rsidRPr="00372C07" w:rsidSect="00DF384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937" w:rsidRDefault="00BE0937" w:rsidP="00630839">
      <w:pPr>
        <w:spacing w:after="0" w:line="240" w:lineRule="auto"/>
      </w:pPr>
      <w:r>
        <w:separator/>
      </w:r>
    </w:p>
  </w:endnote>
  <w:endnote w:type="continuationSeparator" w:id="0">
    <w:p w:rsidR="00BE0937" w:rsidRDefault="00BE0937" w:rsidP="0063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57032"/>
      <w:docPartObj>
        <w:docPartGallery w:val="Page Numbers (Bottom of Page)"/>
        <w:docPartUnique/>
      </w:docPartObj>
    </w:sdtPr>
    <w:sdtEndPr/>
    <w:sdtContent>
      <w:p w:rsidR="00CA2979" w:rsidRDefault="00CA2979">
        <w:pPr>
          <w:pStyle w:val="af1"/>
          <w:jc w:val="right"/>
        </w:pPr>
        <w:r>
          <w:fldChar w:fldCharType="begin"/>
        </w:r>
        <w:r>
          <w:instrText xml:space="preserve"> PAGE   \* MERGEFORMAT </w:instrText>
        </w:r>
        <w:r>
          <w:fldChar w:fldCharType="separate"/>
        </w:r>
        <w:r w:rsidR="001A7D17">
          <w:rPr>
            <w:noProof/>
          </w:rPr>
          <w:t>5</w:t>
        </w:r>
        <w:r>
          <w:rPr>
            <w:noProof/>
          </w:rPr>
          <w:fldChar w:fldCharType="end"/>
        </w:r>
      </w:p>
    </w:sdtContent>
  </w:sdt>
  <w:p w:rsidR="00CA2979" w:rsidRDefault="00CA297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937" w:rsidRDefault="00BE0937" w:rsidP="00630839">
      <w:pPr>
        <w:spacing w:after="0" w:line="240" w:lineRule="auto"/>
      </w:pPr>
      <w:r>
        <w:separator/>
      </w:r>
    </w:p>
  </w:footnote>
  <w:footnote w:type="continuationSeparator" w:id="0">
    <w:p w:rsidR="00BE0937" w:rsidRDefault="00BE0937" w:rsidP="00630839">
      <w:pPr>
        <w:spacing w:after="0" w:line="240" w:lineRule="auto"/>
      </w:pPr>
      <w:r>
        <w:continuationSeparator/>
      </w:r>
    </w:p>
  </w:footnote>
  <w:footnote w:id="1">
    <w:p w:rsidR="00CA2979" w:rsidRPr="00A71DC2" w:rsidRDefault="00CA2979" w:rsidP="00C33465">
      <w:pPr>
        <w:pStyle w:val="aa"/>
        <w:rPr>
          <w:rFonts w:ascii="Times New Roman" w:hAnsi="Times New Roman"/>
        </w:rPr>
      </w:pPr>
      <w:r w:rsidRPr="00A71DC2">
        <w:rPr>
          <w:rStyle w:val="ac"/>
          <w:rFonts w:ascii="Times New Roman" w:hAnsi="Times New Roman"/>
        </w:rPr>
        <w:footnoteRef/>
      </w:r>
      <w:r w:rsidRPr="00A71DC2">
        <w:rPr>
          <w:rFonts w:ascii="Times New Roman" w:hAnsi="Times New Roman"/>
        </w:rPr>
        <w:t xml:space="preserve"> Here and hereinafter in 1.6 of clause 1 hereof a “day” means a calendar day.</w:t>
      </w:r>
    </w:p>
  </w:footnote>
  <w:footnote w:id="2">
    <w:p w:rsidR="00247693" w:rsidRPr="00A71DC2" w:rsidRDefault="001B381E" w:rsidP="00247693">
      <w:pPr>
        <w:pStyle w:val="aa"/>
        <w:rPr>
          <w:rFonts w:ascii="Times New Roman" w:hAnsi="Times New Roman"/>
        </w:rPr>
      </w:pPr>
      <w:r w:rsidRPr="00E57C08">
        <w:rPr>
          <w:rStyle w:val="ac"/>
          <w:rFonts w:ascii="Times New Roman" w:hAnsi="Times New Roman"/>
          <w:sz w:val="18"/>
          <w:szCs w:val="18"/>
        </w:rPr>
        <w:footnoteRef/>
      </w:r>
      <w:r w:rsidRPr="00247693">
        <w:rPr>
          <w:rFonts w:ascii="Times New Roman" w:hAnsi="Times New Roman"/>
          <w:sz w:val="18"/>
          <w:szCs w:val="18"/>
          <w:lang w:val="en-US"/>
        </w:rPr>
        <w:t xml:space="preserve"> </w:t>
      </w:r>
      <w:r w:rsidR="00247693" w:rsidRPr="00A71DC2">
        <w:rPr>
          <w:rFonts w:ascii="Times New Roman" w:hAnsi="Times New Roman"/>
        </w:rPr>
        <w:t>Here and hereinafter in 1.6 of clause 1 hereof a “day” means a calendar day.</w:t>
      </w:r>
    </w:p>
    <w:p w:rsidR="001B381E" w:rsidRPr="00FF4329" w:rsidRDefault="001B381E" w:rsidP="001B381E">
      <w:pPr>
        <w:pStyle w:val="aa"/>
        <w:rPr>
          <w:rFonts w:ascii="Times New Roman" w:hAnsi="Times New Roman"/>
          <w:sz w:val="18"/>
          <w:szCs w:val="18"/>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4BC"/>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7DD6869"/>
    <w:multiLevelType w:val="multilevel"/>
    <w:tmpl w:val="C73E3C34"/>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62B76"/>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B100ACC"/>
    <w:multiLevelType w:val="multilevel"/>
    <w:tmpl w:val="B608E8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9B5767"/>
    <w:multiLevelType w:val="multilevel"/>
    <w:tmpl w:val="8BF6ED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B66668"/>
    <w:multiLevelType w:val="hybridMultilevel"/>
    <w:tmpl w:val="D4844B0C"/>
    <w:lvl w:ilvl="0" w:tplc="81340A76">
      <w:start w:val="1"/>
      <w:numFmt w:val="decimal"/>
      <w:lvlText w:val="%1."/>
      <w:lvlJc w:val="left"/>
      <w:pPr>
        <w:tabs>
          <w:tab w:val="num" w:pos="720"/>
        </w:tabs>
        <w:ind w:left="720" w:hanging="360"/>
      </w:pPr>
    </w:lvl>
    <w:lvl w:ilvl="1" w:tplc="BDF27A24" w:tentative="1">
      <w:start w:val="1"/>
      <w:numFmt w:val="decimal"/>
      <w:lvlText w:val="%2."/>
      <w:lvlJc w:val="left"/>
      <w:pPr>
        <w:tabs>
          <w:tab w:val="num" w:pos="1440"/>
        </w:tabs>
        <w:ind w:left="1440" w:hanging="360"/>
      </w:pPr>
    </w:lvl>
    <w:lvl w:ilvl="2" w:tplc="3F90C718" w:tentative="1">
      <w:start w:val="1"/>
      <w:numFmt w:val="decimal"/>
      <w:lvlText w:val="%3."/>
      <w:lvlJc w:val="left"/>
      <w:pPr>
        <w:tabs>
          <w:tab w:val="num" w:pos="2160"/>
        </w:tabs>
        <w:ind w:left="2160" w:hanging="360"/>
      </w:pPr>
    </w:lvl>
    <w:lvl w:ilvl="3" w:tplc="8654E9DE" w:tentative="1">
      <w:start w:val="1"/>
      <w:numFmt w:val="decimal"/>
      <w:lvlText w:val="%4."/>
      <w:lvlJc w:val="left"/>
      <w:pPr>
        <w:tabs>
          <w:tab w:val="num" w:pos="2880"/>
        </w:tabs>
        <w:ind w:left="2880" w:hanging="360"/>
      </w:pPr>
    </w:lvl>
    <w:lvl w:ilvl="4" w:tplc="93AE0CE0" w:tentative="1">
      <w:start w:val="1"/>
      <w:numFmt w:val="decimal"/>
      <w:lvlText w:val="%5."/>
      <w:lvlJc w:val="left"/>
      <w:pPr>
        <w:tabs>
          <w:tab w:val="num" w:pos="3600"/>
        </w:tabs>
        <w:ind w:left="3600" w:hanging="360"/>
      </w:pPr>
    </w:lvl>
    <w:lvl w:ilvl="5" w:tplc="6F24534E" w:tentative="1">
      <w:start w:val="1"/>
      <w:numFmt w:val="decimal"/>
      <w:lvlText w:val="%6."/>
      <w:lvlJc w:val="left"/>
      <w:pPr>
        <w:tabs>
          <w:tab w:val="num" w:pos="4320"/>
        </w:tabs>
        <w:ind w:left="4320" w:hanging="360"/>
      </w:pPr>
    </w:lvl>
    <w:lvl w:ilvl="6" w:tplc="43021CE8" w:tentative="1">
      <w:start w:val="1"/>
      <w:numFmt w:val="decimal"/>
      <w:lvlText w:val="%7."/>
      <w:lvlJc w:val="left"/>
      <w:pPr>
        <w:tabs>
          <w:tab w:val="num" w:pos="5040"/>
        </w:tabs>
        <w:ind w:left="5040" w:hanging="360"/>
      </w:pPr>
    </w:lvl>
    <w:lvl w:ilvl="7" w:tplc="3F9E1EAC" w:tentative="1">
      <w:start w:val="1"/>
      <w:numFmt w:val="decimal"/>
      <w:lvlText w:val="%8."/>
      <w:lvlJc w:val="left"/>
      <w:pPr>
        <w:tabs>
          <w:tab w:val="num" w:pos="5760"/>
        </w:tabs>
        <w:ind w:left="5760" w:hanging="360"/>
      </w:pPr>
    </w:lvl>
    <w:lvl w:ilvl="8" w:tplc="1F267146" w:tentative="1">
      <w:start w:val="1"/>
      <w:numFmt w:val="decimal"/>
      <w:lvlText w:val="%9."/>
      <w:lvlJc w:val="left"/>
      <w:pPr>
        <w:tabs>
          <w:tab w:val="num" w:pos="6480"/>
        </w:tabs>
        <w:ind w:left="6480" w:hanging="360"/>
      </w:pPr>
    </w:lvl>
  </w:abstractNum>
  <w:abstractNum w:abstractNumId="6" w15:restartNumberingAfterBreak="0">
    <w:nsid w:val="0E516AFA"/>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3A5AFF"/>
    <w:multiLevelType w:val="multilevel"/>
    <w:tmpl w:val="5EFA373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3EC0028"/>
    <w:multiLevelType w:val="hybridMultilevel"/>
    <w:tmpl w:val="680E6B8E"/>
    <w:lvl w:ilvl="0" w:tplc="C4601E88">
      <w:start w:val="1"/>
      <w:numFmt w:val="bullet"/>
      <w:lvlText w:val="∙"/>
      <w:lvlJc w:val="left"/>
      <w:pPr>
        <w:tabs>
          <w:tab w:val="num" w:pos="720"/>
        </w:tabs>
        <w:ind w:left="720" w:hanging="360"/>
      </w:pPr>
      <w:rPr>
        <w:rFonts w:ascii="Arial" w:hAnsi="Arial" w:cs="Times New Roman" w:hint="default"/>
      </w:rPr>
    </w:lvl>
    <w:lvl w:ilvl="1" w:tplc="B6880EE0">
      <w:start w:val="1"/>
      <w:numFmt w:val="bullet"/>
      <w:lvlText w:val="∙"/>
      <w:lvlJc w:val="left"/>
      <w:pPr>
        <w:tabs>
          <w:tab w:val="num" w:pos="1440"/>
        </w:tabs>
        <w:ind w:left="1440" w:hanging="360"/>
      </w:pPr>
      <w:rPr>
        <w:rFonts w:ascii="Arial" w:hAnsi="Arial" w:cs="Times New Roman" w:hint="default"/>
      </w:rPr>
    </w:lvl>
    <w:lvl w:ilvl="2" w:tplc="123ABF18">
      <w:start w:val="1"/>
      <w:numFmt w:val="bullet"/>
      <w:lvlText w:val="∙"/>
      <w:lvlJc w:val="left"/>
      <w:pPr>
        <w:tabs>
          <w:tab w:val="num" w:pos="2160"/>
        </w:tabs>
        <w:ind w:left="2160" w:hanging="360"/>
      </w:pPr>
      <w:rPr>
        <w:rFonts w:ascii="Arial" w:hAnsi="Arial" w:cs="Times New Roman" w:hint="default"/>
      </w:rPr>
    </w:lvl>
    <w:lvl w:ilvl="3" w:tplc="704EED1C">
      <w:start w:val="1"/>
      <w:numFmt w:val="bullet"/>
      <w:lvlText w:val="∙"/>
      <w:lvlJc w:val="left"/>
      <w:pPr>
        <w:tabs>
          <w:tab w:val="num" w:pos="2880"/>
        </w:tabs>
        <w:ind w:left="2880" w:hanging="360"/>
      </w:pPr>
      <w:rPr>
        <w:rFonts w:ascii="Arial" w:hAnsi="Arial" w:cs="Times New Roman" w:hint="default"/>
      </w:rPr>
    </w:lvl>
    <w:lvl w:ilvl="4" w:tplc="09A41698">
      <w:start w:val="1"/>
      <w:numFmt w:val="bullet"/>
      <w:lvlText w:val="∙"/>
      <w:lvlJc w:val="left"/>
      <w:pPr>
        <w:tabs>
          <w:tab w:val="num" w:pos="3600"/>
        </w:tabs>
        <w:ind w:left="3600" w:hanging="360"/>
      </w:pPr>
      <w:rPr>
        <w:rFonts w:ascii="Arial" w:hAnsi="Arial" w:cs="Times New Roman" w:hint="default"/>
      </w:rPr>
    </w:lvl>
    <w:lvl w:ilvl="5" w:tplc="266683A8">
      <w:start w:val="1"/>
      <w:numFmt w:val="bullet"/>
      <w:lvlText w:val="∙"/>
      <w:lvlJc w:val="left"/>
      <w:pPr>
        <w:tabs>
          <w:tab w:val="num" w:pos="4320"/>
        </w:tabs>
        <w:ind w:left="4320" w:hanging="360"/>
      </w:pPr>
      <w:rPr>
        <w:rFonts w:ascii="Arial" w:hAnsi="Arial" w:cs="Times New Roman" w:hint="default"/>
      </w:rPr>
    </w:lvl>
    <w:lvl w:ilvl="6" w:tplc="6382F120">
      <w:start w:val="1"/>
      <w:numFmt w:val="bullet"/>
      <w:lvlText w:val="∙"/>
      <w:lvlJc w:val="left"/>
      <w:pPr>
        <w:tabs>
          <w:tab w:val="num" w:pos="5040"/>
        </w:tabs>
        <w:ind w:left="5040" w:hanging="360"/>
      </w:pPr>
      <w:rPr>
        <w:rFonts w:ascii="Arial" w:hAnsi="Arial" w:cs="Times New Roman" w:hint="default"/>
      </w:rPr>
    </w:lvl>
    <w:lvl w:ilvl="7" w:tplc="0B6A6310">
      <w:start w:val="1"/>
      <w:numFmt w:val="bullet"/>
      <w:lvlText w:val="∙"/>
      <w:lvlJc w:val="left"/>
      <w:pPr>
        <w:tabs>
          <w:tab w:val="num" w:pos="5760"/>
        </w:tabs>
        <w:ind w:left="5760" w:hanging="360"/>
      </w:pPr>
      <w:rPr>
        <w:rFonts w:ascii="Arial" w:hAnsi="Arial" w:cs="Times New Roman" w:hint="default"/>
      </w:rPr>
    </w:lvl>
    <w:lvl w:ilvl="8" w:tplc="C5389096">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52D1401"/>
    <w:multiLevelType w:val="hybridMultilevel"/>
    <w:tmpl w:val="0EF4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83A95"/>
    <w:multiLevelType w:val="hybridMultilevel"/>
    <w:tmpl w:val="33F00B0E"/>
    <w:lvl w:ilvl="0" w:tplc="DD7A0C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AE15BF7"/>
    <w:multiLevelType w:val="hybridMultilevel"/>
    <w:tmpl w:val="2A6A7B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A81AFE"/>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234356"/>
    <w:multiLevelType w:val="multilevel"/>
    <w:tmpl w:val="0A3864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B5306"/>
    <w:multiLevelType w:val="multilevel"/>
    <w:tmpl w:val="94947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C1513"/>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679"/>
        </w:tabs>
        <w:ind w:left="67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2A7452B9"/>
    <w:multiLevelType w:val="multilevel"/>
    <w:tmpl w:val="A2E8443A"/>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40528"/>
    <w:multiLevelType w:val="hybridMultilevel"/>
    <w:tmpl w:val="AFE428F2"/>
    <w:lvl w:ilvl="0" w:tplc="397E1A68">
      <w:start w:val="1"/>
      <w:numFmt w:val="decimal"/>
      <w:lvlText w:val="%1."/>
      <w:lvlJc w:val="left"/>
      <w:pPr>
        <w:tabs>
          <w:tab w:val="num" w:pos="1440"/>
        </w:tabs>
        <w:ind w:left="1440" w:hanging="360"/>
      </w:pPr>
      <w:rPr>
        <w:rFonts w:cs="Times New Roman"/>
        <w:b w:val="0"/>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2B3011DC"/>
    <w:multiLevelType w:val="hybridMultilevel"/>
    <w:tmpl w:val="CEC015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4C761B2"/>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39F35373"/>
    <w:multiLevelType w:val="multilevel"/>
    <w:tmpl w:val="56488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4A5129"/>
    <w:multiLevelType w:val="multilevel"/>
    <w:tmpl w:val="B9EC3982"/>
    <w:lvl w:ilvl="0">
      <w:start w:val="1"/>
      <w:numFmt w:val="upperRoman"/>
      <w:lvlText w:val="РАЗДЕЛ %1."/>
      <w:lvlJc w:val="left"/>
      <w:pPr>
        <w:tabs>
          <w:tab w:val="num" w:pos="3687"/>
        </w:tabs>
        <w:ind w:left="3687" w:hanging="1418"/>
      </w:pPr>
      <w:rPr>
        <w:rFonts w:hint="default"/>
      </w:rPr>
    </w:lvl>
    <w:lvl w:ilvl="1">
      <w:start w:val="1"/>
      <w:numFmt w:val="upperRoman"/>
      <w:lvlText w:val="ПОДРАЗДЕЛ %1-%2."/>
      <w:lvlJc w:val="left"/>
      <w:pPr>
        <w:tabs>
          <w:tab w:val="num" w:pos="1080"/>
        </w:tabs>
        <w:ind w:left="-648" w:hanging="432"/>
      </w:pPr>
      <w:rPr>
        <w:rFonts w:hint="default"/>
      </w:rPr>
    </w:lvl>
    <w:lvl w:ilvl="2">
      <w:start w:val="1"/>
      <w:numFmt w:val="decimal"/>
      <w:lvlRestart w:val="0"/>
      <w:pStyle w:val="Point3"/>
      <w:lvlText w:val="Статья %3."/>
      <w:lvlJc w:val="left"/>
      <w:pPr>
        <w:tabs>
          <w:tab w:val="num" w:pos="1844"/>
        </w:tabs>
        <w:ind w:left="1844" w:hanging="1418"/>
      </w:pPr>
      <w:rPr>
        <w:rFonts w:hint="default"/>
        <w:sz w:val="24"/>
      </w:rPr>
    </w:lvl>
    <w:lvl w:ilvl="3">
      <w:start w:val="1"/>
      <w:numFmt w:val="decimal"/>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22" w15:restartNumberingAfterBreak="0">
    <w:nsid w:val="3D9E2939"/>
    <w:multiLevelType w:val="multilevel"/>
    <w:tmpl w:val="0419001F"/>
    <w:lvl w:ilvl="0">
      <w:start w:val="1"/>
      <w:numFmt w:val="decimal"/>
      <w:lvlText w:val="%1."/>
      <w:lvlJc w:val="left"/>
      <w:pPr>
        <w:ind w:left="262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2E72F5"/>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40CF138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33A5BCF"/>
    <w:multiLevelType w:val="multilevel"/>
    <w:tmpl w:val="A7AAC0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E61569"/>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285732"/>
    <w:multiLevelType w:val="hybridMultilevel"/>
    <w:tmpl w:val="1102E37E"/>
    <w:lvl w:ilvl="0" w:tplc="7DFA6B5C">
      <w:numFmt w:val="bullet"/>
      <w:lvlText w:val="-"/>
      <w:lvlJc w:val="left"/>
      <w:pPr>
        <w:ind w:left="1128" w:hanging="360"/>
      </w:pPr>
      <w:rPr>
        <w:rFonts w:ascii="Arial" w:eastAsia="Arial" w:hAnsi="Arial" w:cs="Aria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8" w15:restartNumberingAfterBreak="0">
    <w:nsid w:val="4BF823D4"/>
    <w:multiLevelType w:val="hybridMultilevel"/>
    <w:tmpl w:val="74380A42"/>
    <w:lvl w:ilvl="0" w:tplc="C5EC9E42">
      <w:start w:val="1"/>
      <w:numFmt w:val="decimal"/>
      <w:lvlText w:val="%1."/>
      <w:lvlJc w:val="left"/>
      <w:pPr>
        <w:tabs>
          <w:tab w:val="num" w:pos="720"/>
        </w:tabs>
        <w:ind w:left="720" w:hanging="360"/>
      </w:pPr>
    </w:lvl>
    <w:lvl w:ilvl="1" w:tplc="CCF69FC8" w:tentative="1">
      <w:start w:val="1"/>
      <w:numFmt w:val="decimal"/>
      <w:lvlText w:val="%2."/>
      <w:lvlJc w:val="left"/>
      <w:pPr>
        <w:tabs>
          <w:tab w:val="num" w:pos="1440"/>
        </w:tabs>
        <w:ind w:left="1440" w:hanging="360"/>
      </w:pPr>
    </w:lvl>
    <w:lvl w:ilvl="2" w:tplc="4D284C2C" w:tentative="1">
      <w:start w:val="1"/>
      <w:numFmt w:val="decimal"/>
      <w:lvlText w:val="%3."/>
      <w:lvlJc w:val="left"/>
      <w:pPr>
        <w:tabs>
          <w:tab w:val="num" w:pos="2160"/>
        </w:tabs>
        <w:ind w:left="2160" w:hanging="360"/>
      </w:pPr>
    </w:lvl>
    <w:lvl w:ilvl="3" w:tplc="ADB6D5C6" w:tentative="1">
      <w:start w:val="1"/>
      <w:numFmt w:val="decimal"/>
      <w:lvlText w:val="%4."/>
      <w:lvlJc w:val="left"/>
      <w:pPr>
        <w:tabs>
          <w:tab w:val="num" w:pos="2880"/>
        </w:tabs>
        <w:ind w:left="2880" w:hanging="360"/>
      </w:pPr>
    </w:lvl>
    <w:lvl w:ilvl="4" w:tplc="C01C655A" w:tentative="1">
      <w:start w:val="1"/>
      <w:numFmt w:val="decimal"/>
      <w:lvlText w:val="%5."/>
      <w:lvlJc w:val="left"/>
      <w:pPr>
        <w:tabs>
          <w:tab w:val="num" w:pos="3600"/>
        </w:tabs>
        <w:ind w:left="3600" w:hanging="360"/>
      </w:pPr>
    </w:lvl>
    <w:lvl w:ilvl="5" w:tplc="AB0C7BE0" w:tentative="1">
      <w:start w:val="1"/>
      <w:numFmt w:val="decimal"/>
      <w:lvlText w:val="%6."/>
      <w:lvlJc w:val="left"/>
      <w:pPr>
        <w:tabs>
          <w:tab w:val="num" w:pos="4320"/>
        </w:tabs>
        <w:ind w:left="4320" w:hanging="360"/>
      </w:pPr>
    </w:lvl>
    <w:lvl w:ilvl="6" w:tplc="CCE63ACE" w:tentative="1">
      <w:start w:val="1"/>
      <w:numFmt w:val="decimal"/>
      <w:lvlText w:val="%7."/>
      <w:lvlJc w:val="left"/>
      <w:pPr>
        <w:tabs>
          <w:tab w:val="num" w:pos="5040"/>
        </w:tabs>
        <w:ind w:left="5040" w:hanging="360"/>
      </w:pPr>
    </w:lvl>
    <w:lvl w:ilvl="7" w:tplc="4BF0A13E" w:tentative="1">
      <w:start w:val="1"/>
      <w:numFmt w:val="decimal"/>
      <w:lvlText w:val="%8."/>
      <w:lvlJc w:val="left"/>
      <w:pPr>
        <w:tabs>
          <w:tab w:val="num" w:pos="5760"/>
        </w:tabs>
        <w:ind w:left="5760" w:hanging="360"/>
      </w:pPr>
    </w:lvl>
    <w:lvl w:ilvl="8" w:tplc="5C326850" w:tentative="1">
      <w:start w:val="1"/>
      <w:numFmt w:val="decimal"/>
      <w:lvlText w:val="%9."/>
      <w:lvlJc w:val="left"/>
      <w:pPr>
        <w:tabs>
          <w:tab w:val="num" w:pos="6480"/>
        </w:tabs>
        <w:ind w:left="6480" w:hanging="360"/>
      </w:pPr>
    </w:lvl>
  </w:abstractNum>
  <w:abstractNum w:abstractNumId="29" w15:restartNumberingAfterBreak="0">
    <w:nsid w:val="4C67458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759"/>
        </w:tabs>
        <w:ind w:left="175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4D376980"/>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51BA0694"/>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A269EE"/>
    <w:multiLevelType w:val="multilevel"/>
    <w:tmpl w:val="451E0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511C47"/>
    <w:multiLevelType w:val="hybridMultilevel"/>
    <w:tmpl w:val="CD96B364"/>
    <w:lvl w:ilvl="0" w:tplc="7BA02A36">
      <w:numFmt w:val="bullet"/>
      <w:lvlText w:val="-"/>
      <w:lvlJc w:val="left"/>
      <w:pPr>
        <w:ind w:left="1140" w:hanging="360"/>
      </w:pPr>
      <w:rPr>
        <w:rFonts w:ascii="Arial" w:eastAsia="Times New Roman" w:hAnsi="Arial" w:cs="Aria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34" w15:restartNumberingAfterBreak="0">
    <w:nsid w:val="5533593C"/>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67915F2"/>
    <w:multiLevelType w:val="hybridMultilevel"/>
    <w:tmpl w:val="0A189692"/>
    <w:lvl w:ilvl="0" w:tplc="816A2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950A84"/>
    <w:multiLevelType w:val="multilevel"/>
    <w:tmpl w:val="3E0CD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D15D32"/>
    <w:multiLevelType w:val="hybridMultilevel"/>
    <w:tmpl w:val="52C814AC"/>
    <w:lvl w:ilvl="0" w:tplc="9F9A7D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98843B8"/>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lvlRestart w:val="0"/>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E6140AD"/>
    <w:multiLevelType w:val="multilevel"/>
    <w:tmpl w:val="5E3EF946"/>
    <w:lvl w:ilvl="0">
      <w:start w:val="1"/>
      <w:numFmt w:val="decimal"/>
      <w:lvlText w:val="%1."/>
      <w:lvlJc w:val="left"/>
      <w:pPr>
        <w:tabs>
          <w:tab w:val="num" w:pos="360"/>
        </w:tabs>
        <w:ind w:left="57" w:hanging="57"/>
      </w:pPr>
      <w:rPr>
        <w:rFonts w:cs="Times New Roman" w:hint="default"/>
      </w:rPr>
    </w:lvl>
    <w:lvl w:ilvl="1">
      <w:start w:val="1"/>
      <w:numFmt w:val="decimal"/>
      <w:lvlText w:val="%1.%2."/>
      <w:lvlJc w:val="left"/>
      <w:pPr>
        <w:tabs>
          <w:tab w:val="num" w:pos="1389"/>
        </w:tabs>
        <w:ind w:left="1389" w:hanging="679"/>
      </w:pPr>
      <w:rPr>
        <w:rFonts w:cs="Times New Roman" w:hint="default"/>
      </w:rPr>
    </w:lvl>
    <w:lvl w:ilvl="2">
      <w:start w:val="1"/>
      <w:numFmt w:val="decimal"/>
      <w:lvlText w:val="%1.%2.%3."/>
      <w:lvlJc w:val="left"/>
      <w:pPr>
        <w:tabs>
          <w:tab w:val="num" w:pos="1224"/>
        </w:tabs>
        <w:ind w:left="1224" w:hanging="1167"/>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1" w15:restartNumberingAfterBreak="0">
    <w:nsid w:val="70204992"/>
    <w:multiLevelType w:val="hybridMultilevel"/>
    <w:tmpl w:val="47AC057C"/>
    <w:lvl w:ilvl="0" w:tplc="D512A196">
      <w:start w:val="1"/>
      <w:numFmt w:val="decimal"/>
      <w:lvlText w:val="%1."/>
      <w:lvlJc w:val="left"/>
      <w:pPr>
        <w:tabs>
          <w:tab w:val="num" w:pos="720"/>
        </w:tabs>
        <w:ind w:left="720" w:hanging="360"/>
      </w:pPr>
    </w:lvl>
    <w:lvl w:ilvl="1" w:tplc="7CCE6EEA" w:tentative="1">
      <w:start w:val="1"/>
      <w:numFmt w:val="decimal"/>
      <w:lvlText w:val="%2."/>
      <w:lvlJc w:val="left"/>
      <w:pPr>
        <w:tabs>
          <w:tab w:val="num" w:pos="1440"/>
        </w:tabs>
        <w:ind w:left="1440" w:hanging="360"/>
      </w:pPr>
    </w:lvl>
    <w:lvl w:ilvl="2" w:tplc="A5FC64F4" w:tentative="1">
      <w:start w:val="1"/>
      <w:numFmt w:val="decimal"/>
      <w:lvlText w:val="%3."/>
      <w:lvlJc w:val="left"/>
      <w:pPr>
        <w:tabs>
          <w:tab w:val="num" w:pos="2160"/>
        </w:tabs>
        <w:ind w:left="2160" w:hanging="360"/>
      </w:pPr>
    </w:lvl>
    <w:lvl w:ilvl="3" w:tplc="78BEAA34" w:tentative="1">
      <w:start w:val="1"/>
      <w:numFmt w:val="decimal"/>
      <w:lvlText w:val="%4."/>
      <w:lvlJc w:val="left"/>
      <w:pPr>
        <w:tabs>
          <w:tab w:val="num" w:pos="2880"/>
        </w:tabs>
        <w:ind w:left="2880" w:hanging="360"/>
      </w:pPr>
    </w:lvl>
    <w:lvl w:ilvl="4" w:tplc="161A4CFE" w:tentative="1">
      <w:start w:val="1"/>
      <w:numFmt w:val="decimal"/>
      <w:lvlText w:val="%5."/>
      <w:lvlJc w:val="left"/>
      <w:pPr>
        <w:tabs>
          <w:tab w:val="num" w:pos="3600"/>
        </w:tabs>
        <w:ind w:left="3600" w:hanging="360"/>
      </w:pPr>
    </w:lvl>
    <w:lvl w:ilvl="5" w:tplc="2AAA42FC" w:tentative="1">
      <w:start w:val="1"/>
      <w:numFmt w:val="decimal"/>
      <w:lvlText w:val="%6."/>
      <w:lvlJc w:val="left"/>
      <w:pPr>
        <w:tabs>
          <w:tab w:val="num" w:pos="4320"/>
        </w:tabs>
        <w:ind w:left="4320" w:hanging="360"/>
      </w:pPr>
    </w:lvl>
    <w:lvl w:ilvl="6" w:tplc="1C2C1DD4" w:tentative="1">
      <w:start w:val="1"/>
      <w:numFmt w:val="decimal"/>
      <w:lvlText w:val="%7."/>
      <w:lvlJc w:val="left"/>
      <w:pPr>
        <w:tabs>
          <w:tab w:val="num" w:pos="5040"/>
        </w:tabs>
        <w:ind w:left="5040" w:hanging="360"/>
      </w:pPr>
    </w:lvl>
    <w:lvl w:ilvl="7" w:tplc="9328EFB4" w:tentative="1">
      <w:start w:val="1"/>
      <w:numFmt w:val="decimal"/>
      <w:lvlText w:val="%8."/>
      <w:lvlJc w:val="left"/>
      <w:pPr>
        <w:tabs>
          <w:tab w:val="num" w:pos="5760"/>
        </w:tabs>
        <w:ind w:left="5760" w:hanging="360"/>
      </w:pPr>
    </w:lvl>
    <w:lvl w:ilvl="8" w:tplc="537AC0B0" w:tentative="1">
      <w:start w:val="1"/>
      <w:numFmt w:val="decimal"/>
      <w:lvlText w:val="%9."/>
      <w:lvlJc w:val="left"/>
      <w:pPr>
        <w:tabs>
          <w:tab w:val="num" w:pos="6480"/>
        </w:tabs>
        <w:ind w:left="6480" w:hanging="360"/>
      </w:pPr>
    </w:lvl>
  </w:abstractNum>
  <w:abstractNum w:abstractNumId="42" w15:restartNumberingAfterBreak="0">
    <w:nsid w:val="752B5396"/>
    <w:multiLevelType w:val="hybridMultilevel"/>
    <w:tmpl w:val="DDEC44CE"/>
    <w:lvl w:ilvl="0" w:tplc="8D4C1674">
      <w:start w:val="1"/>
      <w:numFmt w:val="bullet"/>
      <w:lvlText w:val=""/>
      <w:lvlJc w:val="left"/>
      <w:pPr>
        <w:tabs>
          <w:tab w:val="num" w:pos="2930"/>
        </w:tabs>
        <w:ind w:left="2930" w:hanging="360"/>
      </w:pPr>
      <w:rPr>
        <w:rFonts w:ascii="Symbol" w:hAnsi="Symbol" w:hint="default"/>
      </w:rPr>
    </w:lvl>
    <w:lvl w:ilvl="1" w:tplc="8D4C167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6"/>
  </w:num>
  <w:num w:numId="3">
    <w:abstractNumId w:val="32"/>
  </w:num>
  <w:num w:numId="4">
    <w:abstractNumId w:val="20"/>
  </w:num>
  <w:num w:numId="5">
    <w:abstractNumId w:val="14"/>
  </w:num>
  <w:num w:numId="6">
    <w:abstractNumId w:val="27"/>
  </w:num>
  <w:num w:numId="7">
    <w:abstractNumId w:val="22"/>
  </w:num>
  <w:num w:numId="8">
    <w:abstractNumId w:val="33"/>
  </w:num>
  <w:num w:numId="9">
    <w:abstractNumId w:val="8"/>
  </w:num>
  <w:num w:numId="10">
    <w:abstractNumId w:val="39"/>
  </w:num>
  <w:num w:numId="11">
    <w:abstractNumId w:val="17"/>
  </w:num>
  <w:num w:numId="12">
    <w:abstractNumId w:val="0"/>
  </w:num>
  <w:num w:numId="13">
    <w:abstractNumId w:val="21"/>
  </w:num>
  <w:num w:numId="14">
    <w:abstractNumId w:val="10"/>
  </w:num>
  <w:num w:numId="15">
    <w:abstractNumId w:val="42"/>
  </w:num>
  <w:num w:numId="16">
    <w:abstractNumId w:val="29"/>
  </w:num>
  <w:num w:numId="17">
    <w:abstractNumId w:val="35"/>
  </w:num>
  <w:num w:numId="18">
    <w:abstractNumId w:val="26"/>
  </w:num>
  <w:num w:numId="19">
    <w:abstractNumId w:val="24"/>
  </w:num>
  <w:num w:numId="20">
    <w:abstractNumId w:val="34"/>
  </w:num>
  <w:num w:numId="21">
    <w:abstractNumId w:val="6"/>
  </w:num>
  <w:num w:numId="22">
    <w:abstractNumId w:val="31"/>
  </w:num>
  <w:num w:numId="23">
    <w:abstractNumId w:val="12"/>
  </w:num>
  <w:num w:numId="24">
    <w:abstractNumId w:val="15"/>
  </w:num>
  <w:num w:numId="25">
    <w:abstractNumId w:val="40"/>
  </w:num>
  <w:num w:numId="26">
    <w:abstractNumId w:val="3"/>
  </w:num>
  <w:num w:numId="27">
    <w:abstractNumId w:val="2"/>
  </w:num>
  <w:num w:numId="28">
    <w:abstractNumId w:val="19"/>
  </w:num>
  <w:num w:numId="29">
    <w:abstractNumId w:val="25"/>
  </w:num>
  <w:num w:numId="30">
    <w:abstractNumId w:val="18"/>
  </w:num>
  <w:num w:numId="31">
    <w:abstractNumId w:val="30"/>
  </w:num>
  <w:num w:numId="32">
    <w:abstractNumId w:val="37"/>
  </w:num>
  <w:num w:numId="33">
    <w:abstractNumId w:val="41"/>
  </w:num>
  <w:num w:numId="34">
    <w:abstractNumId w:val="28"/>
  </w:num>
  <w:num w:numId="35">
    <w:abstractNumId w:val="5"/>
  </w:num>
  <w:num w:numId="36">
    <w:abstractNumId w:val="38"/>
  </w:num>
  <w:num w:numId="37">
    <w:abstractNumId w:val="9"/>
  </w:num>
  <w:num w:numId="38">
    <w:abstractNumId w:val="23"/>
  </w:num>
  <w:num w:numId="39">
    <w:abstractNumId w:val="13"/>
  </w:num>
  <w:num w:numId="40">
    <w:abstractNumId w:val="7"/>
  </w:num>
  <w:num w:numId="41">
    <w:abstractNumId w:val="11"/>
  </w:num>
  <w:num w:numId="42">
    <w:abstractNumId w:val="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44"/>
    <w:rsid w:val="000007A7"/>
    <w:rsid w:val="000010FE"/>
    <w:rsid w:val="000039E3"/>
    <w:rsid w:val="00006086"/>
    <w:rsid w:val="00007599"/>
    <w:rsid w:val="000118FE"/>
    <w:rsid w:val="00013D76"/>
    <w:rsid w:val="00022020"/>
    <w:rsid w:val="000244AC"/>
    <w:rsid w:val="00024F42"/>
    <w:rsid w:val="000257E7"/>
    <w:rsid w:val="000338FF"/>
    <w:rsid w:val="00043EF7"/>
    <w:rsid w:val="000465FB"/>
    <w:rsid w:val="00047FEC"/>
    <w:rsid w:val="000523B6"/>
    <w:rsid w:val="00054E85"/>
    <w:rsid w:val="00060EE1"/>
    <w:rsid w:val="000621E8"/>
    <w:rsid w:val="0006402B"/>
    <w:rsid w:val="00072543"/>
    <w:rsid w:val="00072BDF"/>
    <w:rsid w:val="0007420C"/>
    <w:rsid w:val="00075841"/>
    <w:rsid w:val="00076E43"/>
    <w:rsid w:val="00081D69"/>
    <w:rsid w:val="00087FFB"/>
    <w:rsid w:val="00091586"/>
    <w:rsid w:val="00093263"/>
    <w:rsid w:val="00093436"/>
    <w:rsid w:val="00094ABB"/>
    <w:rsid w:val="000A2E9F"/>
    <w:rsid w:val="000A3108"/>
    <w:rsid w:val="000A4D56"/>
    <w:rsid w:val="000B0E66"/>
    <w:rsid w:val="000B1165"/>
    <w:rsid w:val="000B1BB8"/>
    <w:rsid w:val="000B5373"/>
    <w:rsid w:val="000C0DBD"/>
    <w:rsid w:val="000C1E43"/>
    <w:rsid w:val="000C2669"/>
    <w:rsid w:val="000C2B99"/>
    <w:rsid w:val="000C7B91"/>
    <w:rsid w:val="000D0C4B"/>
    <w:rsid w:val="000D6CFA"/>
    <w:rsid w:val="000E0A55"/>
    <w:rsid w:val="000E18DF"/>
    <w:rsid w:val="000F120D"/>
    <w:rsid w:val="000F7D26"/>
    <w:rsid w:val="00114728"/>
    <w:rsid w:val="00116B9A"/>
    <w:rsid w:val="00123D72"/>
    <w:rsid w:val="00124032"/>
    <w:rsid w:val="00130437"/>
    <w:rsid w:val="0013150D"/>
    <w:rsid w:val="001325D6"/>
    <w:rsid w:val="001412BB"/>
    <w:rsid w:val="00141D9A"/>
    <w:rsid w:val="00152015"/>
    <w:rsid w:val="00155CE2"/>
    <w:rsid w:val="00157EE3"/>
    <w:rsid w:val="00162AD6"/>
    <w:rsid w:val="0016318B"/>
    <w:rsid w:val="001643CD"/>
    <w:rsid w:val="001644B6"/>
    <w:rsid w:val="001738CD"/>
    <w:rsid w:val="00183ECC"/>
    <w:rsid w:val="001867D1"/>
    <w:rsid w:val="0019075C"/>
    <w:rsid w:val="0019335A"/>
    <w:rsid w:val="001948E9"/>
    <w:rsid w:val="00195CE7"/>
    <w:rsid w:val="001A7D17"/>
    <w:rsid w:val="001B0C1A"/>
    <w:rsid w:val="001B2BCB"/>
    <w:rsid w:val="001B381E"/>
    <w:rsid w:val="001B4CD5"/>
    <w:rsid w:val="001B7493"/>
    <w:rsid w:val="001C78D4"/>
    <w:rsid w:val="001D7ADB"/>
    <w:rsid w:val="001E3C6D"/>
    <w:rsid w:val="001E4FE4"/>
    <w:rsid w:val="001E5C00"/>
    <w:rsid w:val="001E64F1"/>
    <w:rsid w:val="001F036F"/>
    <w:rsid w:val="001F51FE"/>
    <w:rsid w:val="00202B6C"/>
    <w:rsid w:val="0020592B"/>
    <w:rsid w:val="00213B26"/>
    <w:rsid w:val="00214668"/>
    <w:rsid w:val="00214A7E"/>
    <w:rsid w:val="00215FA5"/>
    <w:rsid w:val="002205F8"/>
    <w:rsid w:val="00222643"/>
    <w:rsid w:val="00222DC3"/>
    <w:rsid w:val="0022437A"/>
    <w:rsid w:val="0022508B"/>
    <w:rsid w:val="002266FC"/>
    <w:rsid w:val="002348EC"/>
    <w:rsid w:val="00247693"/>
    <w:rsid w:val="00250B10"/>
    <w:rsid w:val="00256267"/>
    <w:rsid w:val="00262E48"/>
    <w:rsid w:val="00263563"/>
    <w:rsid w:val="0028060D"/>
    <w:rsid w:val="00286D73"/>
    <w:rsid w:val="00287376"/>
    <w:rsid w:val="00287DD4"/>
    <w:rsid w:val="002976E6"/>
    <w:rsid w:val="002A572B"/>
    <w:rsid w:val="002B232C"/>
    <w:rsid w:val="002B2487"/>
    <w:rsid w:val="002B28B7"/>
    <w:rsid w:val="002B503A"/>
    <w:rsid w:val="002B7532"/>
    <w:rsid w:val="002C202E"/>
    <w:rsid w:val="002C3B3C"/>
    <w:rsid w:val="002C62A7"/>
    <w:rsid w:val="002C76AC"/>
    <w:rsid w:val="002C7FD9"/>
    <w:rsid w:val="002D796B"/>
    <w:rsid w:val="002E337B"/>
    <w:rsid w:val="002F1A8C"/>
    <w:rsid w:val="002F3165"/>
    <w:rsid w:val="002F40F8"/>
    <w:rsid w:val="002F4723"/>
    <w:rsid w:val="00304B11"/>
    <w:rsid w:val="00311F49"/>
    <w:rsid w:val="003208B6"/>
    <w:rsid w:val="00324437"/>
    <w:rsid w:val="0032524D"/>
    <w:rsid w:val="00337A0F"/>
    <w:rsid w:val="00350C4F"/>
    <w:rsid w:val="00352267"/>
    <w:rsid w:val="00352E25"/>
    <w:rsid w:val="00355F4C"/>
    <w:rsid w:val="003560D3"/>
    <w:rsid w:val="003568DC"/>
    <w:rsid w:val="00364AC2"/>
    <w:rsid w:val="0036730A"/>
    <w:rsid w:val="00371FD4"/>
    <w:rsid w:val="00372C07"/>
    <w:rsid w:val="00373543"/>
    <w:rsid w:val="00373F4C"/>
    <w:rsid w:val="003777F0"/>
    <w:rsid w:val="0038574B"/>
    <w:rsid w:val="0038575B"/>
    <w:rsid w:val="003947DE"/>
    <w:rsid w:val="003A5E9D"/>
    <w:rsid w:val="003B1566"/>
    <w:rsid w:val="003B7012"/>
    <w:rsid w:val="003C0019"/>
    <w:rsid w:val="003C0E13"/>
    <w:rsid w:val="003C4E83"/>
    <w:rsid w:val="003C7599"/>
    <w:rsid w:val="003E03D4"/>
    <w:rsid w:val="003E04F9"/>
    <w:rsid w:val="003E0A84"/>
    <w:rsid w:val="003E1219"/>
    <w:rsid w:val="003E3281"/>
    <w:rsid w:val="003E34B3"/>
    <w:rsid w:val="003E681D"/>
    <w:rsid w:val="003F4D4F"/>
    <w:rsid w:val="003F7476"/>
    <w:rsid w:val="0040097E"/>
    <w:rsid w:val="00403032"/>
    <w:rsid w:val="0040488A"/>
    <w:rsid w:val="00412D00"/>
    <w:rsid w:val="0041567E"/>
    <w:rsid w:val="00416FC4"/>
    <w:rsid w:val="004226DD"/>
    <w:rsid w:val="004247A0"/>
    <w:rsid w:val="0042590D"/>
    <w:rsid w:val="00440BF4"/>
    <w:rsid w:val="004417F7"/>
    <w:rsid w:val="004418C3"/>
    <w:rsid w:val="00441D9A"/>
    <w:rsid w:val="004449F5"/>
    <w:rsid w:val="00444C88"/>
    <w:rsid w:val="0045028A"/>
    <w:rsid w:val="0045076A"/>
    <w:rsid w:val="00453810"/>
    <w:rsid w:val="0046118E"/>
    <w:rsid w:val="0046749D"/>
    <w:rsid w:val="004719A9"/>
    <w:rsid w:val="00484CFB"/>
    <w:rsid w:val="0048596C"/>
    <w:rsid w:val="00496FA6"/>
    <w:rsid w:val="004976A3"/>
    <w:rsid w:val="00497CF4"/>
    <w:rsid w:val="004A0AD8"/>
    <w:rsid w:val="004A3DE7"/>
    <w:rsid w:val="004A5084"/>
    <w:rsid w:val="004A75D1"/>
    <w:rsid w:val="004B7613"/>
    <w:rsid w:val="004C0C11"/>
    <w:rsid w:val="004D1CBA"/>
    <w:rsid w:val="004D37BC"/>
    <w:rsid w:val="004E45E3"/>
    <w:rsid w:val="004E5044"/>
    <w:rsid w:val="004E6786"/>
    <w:rsid w:val="004F1C01"/>
    <w:rsid w:val="0050328F"/>
    <w:rsid w:val="00505EB7"/>
    <w:rsid w:val="005124C2"/>
    <w:rsid w:val="005124C5"/>
    <w:rsid w:val="00512AA2"/>
    <w:rsid w:val="0052025F"/>
    <w:rsid w:val="00526ADF"/>
    <w:rsid w:val="00527DEB"/>
    <w:rsid w:val="00535020"/>
    <w:rsid w:val="0053744C"/>
    <w:rsid w:val="00545955"/>
    <w:rsid w:val="00545C9A"/>
    <w:rsid w:val="00546223"/>
    <w:rsid w:val="00547B16"/>
    <w:rsid w:val="00564478"/>
    <w:rsid w:val="0057170D"/>
    <w:rsid w:val="00571C23"/>
    <w:rsid w:val="00572C52"/>
    <w:rsid w:val="00573F1F"/>
    <w:rsid w:val="00574EB8"/>
    <w:rsid w:val="00576E8A"/>
    <w:rsid w:val="0057738A"/>
    <w:rsid w:val="005777A4"/>
    <w:rsid w:val="0058512B"/>
    <w:rsid w:val="005900DB"/>
    <w:rsid w:val="005949B2"/>
    <w:rsid w:val="005A32B2"/>
    <w:rsid w:val="005A443C"/>
    <w:rsid w:val="005B2165"/>
    <w:rsid w:val="005B6044"/>
    <w:rsid w:val="005D21D0"/>
    <w:rsid w:val="005D2274"/>
    <w:rsid w:val="005D6946"/>
    <w:rsid w:val="005D7DA5"/>
    <w:rsid w:val="005E4F0E"/>
    <w:rsid w:val="005E695F"/>
    <w:rsid w:val="005F326E"/>
    <w:rsid w:val="005F73AC"/>
    <w:rsid w:val="0060485C"/>
    <w:rsid w:val="00604F25"/>
    <w:rsid w:val="00607A4D"/>
    <w:rsid w:val="00610B2E"/>
    <w:rsid w:val="00616455"/>
    <w:rsid w:val="00622A80"/>
    <w:rsid w:val="00630839"/>
    <w:rsid w:val="00634C9A"/>
    <w:rsid w:val="0063638B"/>
    <w:rsid w:val="00636718"/>
    <w:rsid w:val="0063741F"/>
    <w:rsid w:val="006448F0"/>
    <w:rsid w:val="00655F93"/>
    <w:rsid w:val="00656670"/>
    <w:rsid w:val="00656EF5"/>
    <w:rsid w:val="00660B8C"/>
    <w:rsid w:val="006659D9"/>
    <w:rsid w:val="00665B12"/>
    <w:rsid w:val="006675BC"/>
    <w:rsid w:val="006720A4"/>
    <w:rsid w:val="00675B89"/>
    <w:rsid w:val="00681E1E"/>
    <w:rsid w:val="0068432B"/>
    <w:rsid w:val="00690791"/>
    <w:rsid w:val="006A16F0"/>
    <w:rsid w:val="006A1FD3"/>
    <w:rsid w:val="006A3245"/>
    <w:rsid w:val="006A3548"/>
    <w:rsid w:val="006A4738"/>
    <w:rsid w:val="006B271A"/>
    <w:rsid w:val="006B5A92"/>
    <w:rsid w:val="006C24E4"/>
    <w:rsid w:val="006D0F35"/>
    <w:rsid w:val="006D3F35"/>
    <w:rsid w:val="006D6414"/>
    <w:rsid w:val="006D7DEF"/>
    <w:rsid w:val="006E104E"/>
    <w:rsid w:val="006E2B0C"/>
    <w:rsid w:val="006E6D10"/>
    <w:rsid w:val="006F1348"/>
    <w:rsid w:val="006F74AF"/>
    <w:rsid w:val="00702BAF"/>
    <w:rsid w:val="0070534A"/>
    <w:rsid w:val="007054F0"/>
    <w:rsid w:val="0071051A"/>
    <w:rsid w:val="00717175"/>
    <w:rsid w:val="00724BE8"/>
    <w:rsid w:val="007444B9"/>
    <w:rsid w:val="00745CCC"/>
    <w:rsid w:val="00750E12"/>
    <w:rsid w:val="00762625"/>
    <w:rsid w:val="00763444"/>
    <w:rsid w:val="007714E4"/>
    <w:rsid w:val="00773937"/>
    <w:rsid w:val="00773AF4"/>
    <w:rsid w:val="00777748"/>
    <w:rsid w:val="00793176"/>
    <w:rsid w:val="00795A9D"/>
    <w:rsid w:val="007A2B3E"/>
    <w:rsid w:val="007A57EC"/>
    <w:rsid w:val="007B38B6"/>
    <w:rsid w:val="007B7527"/>
    <w:rsid w:val="007C06AC"/>
    <w:rsid w:val="007C1584"/>
    <w:rsid w:val="007C359A"/>
    <w:rsid w:val="007D3245"/>
    <w:rsid w:val="007D6578"/>
    <w:rsid w:val="007D7C74"/>
    <w:rsid w:val="007E09E1"/>
    <w:rsid w:val="007E0B25"/>
    <w:rsid w:val="007E5F25"/>
    <w:rsid w:val="007F0442"/>
    <w:rsid w:val="007F1A84"/>
    <w:rsid w:val="007F3C2E"/>
    <w:rsid w:val="007F4B3E"/>
    <w:rsid w:val="007F5BFE"/>
    <w:rsid w:val="007F6346"/>
    <w:rsid w:val="0080139F"/>
    <w:rsid w:val="00806D12"/>
    <w:rsid w:val="0081475C"/>
    <w:rsid w:val="008203E9"/>
    <w:rsid w:val="00821CC9"/>
    <w:rsid w:val="0082372E"/>
    <w:rsid w:val="008240D9"/>
    <w:rsid w:val="00825335"/>
    <w:rsid w:val="00826F5A"/>
    <w:rsid w:val="00830702"/>
    <w:rsid w:val="00830DE0"/>
    <w:rsid w:val="00833863"/>
    <w:rsid w:val="00833F48"/>
    <w:rsid w:val="00834951"/>
    <w:rsid w:val="00834B3C"/>
    <w:rsid w:val="0083686E"/>
    <w:rsid w:val="00837D03"/>
    <w:rsid w:val="00844867"/>
    <w:rsid w:val="008450C8"/>
    <w:rsid w:val="00845131"/>
    <w:rsid w:val="0084542E"/>
    <w:rsid w:val="008463D9"/>
    <w:rsid w:val="00852D7B"/>
    <w:rsid w:val="00853855"/>
    <w:rsid w:val="00853DB1"/>
    <w:rsid w:val="00861ED6"/>
    <w:rsid w:val="0086229F"/>
    <w:rsid w:val="00862D39"/>
    <w:rsid w:val="00864F45"/>
    <w:rsid w:val="00883B2C"/>
    <w:rsid w:val="00884303"/>
    <w:rsid w:val="0089033F"/>
    <w:rsid w:val="00897C19"/>
    <w:rsid w:val="008A30E3"/>
    <w:rsid w:val="008A4C09"/>
    <w:rsid w:val="008A543A"/>
    <w:rsid w:val="008B3EB9"/>
    <w:rsid w:val="008B50EB"/>
    <w:rsid w:val="008B5BB8"/>
    <w:rsid w:val="008B6FB4"/>
    <w:rsid w:val="008B7A80"/>
    <w:rsid w:val="008C2017"/>
    <w:rsid w:val="008C3347"/>
    <w:rsid w:val="008C3A44"/>
    <w:rsid w:val="008C51AC"/>
    <w:rsid w:val="008E0051"/>
    <w:rsid w:val="008E2CB5"/>
    <w:rsid w:val="008F3681"/>
    <w:rsid w:val="009004DB"/>
    <w:rsid w:val="009027BF"/>
    <w:rsid w:val="00911EFE"/>
    <w:rsid w:val="00912138"/>
    <w:rsid w:val="0091666B"/>
    <w:rsid w:val="00925515"/>
    <w:rsid w:val="009273B7"/>
    <w:rsid w:val="0093024C"/>
    <w:rsid w:val="00934A68"/>
    <w:rsid w:val="00947089"/>
    <w:rsid w:val="0095795A"/>
    <w:rsid w:val="00977BAD"/>
    <w:rsid w:val="00990210"/>
    <w:rsid w:val="009A376A"/>
    <w:rsid w:val="009A7DEF"/>
    <w:rsid w:val="009B0396"/>
    <w:rsid w:val="009B42AD"/>
    <w:rsid w:val="009C3233"/>
    <w:rsid w:val="009C32F0"/>
    <w:rsid w:val="009C3EE5"/>
    <w:rsid w:val="009C63FB"/>
    <w:rsid w:val="009D4905"/>
    <w:rsid w:val="009E1EC8"/>
    <w:rsid w:val="009E7283"/>
    <w:rsid w:val="00A0561D"/>
    <w:rsid w:val="00A062C8"/>
    <w:rsid w:val="00A12B0C"/>
    <w:rsid w:val="00A13A5E"/>
    <w:rsid w:val="00A20C42"/>
    <w:rsid w:val="00A3061C"/>
    <w:rsid w:val="00A33295"/>
    <w:rsid w:val="00A355FA"/>
    <w:rsid w:val="00A363B9"/>
    <w:rsid w:val="00A47847"/>
    <w:rsid w:val="00A51DE2"/>
    <w:rsid w:val="00A542C2"/>
    <w:rsid w:val="00A60599"/>
    <w:rsid w:val="00A60C86"/>
    <w:rsid w:val="00A61752"/>
    <w:rsid w:val="00A629F0"/>
    <w:rsid w:val="00A62FBB"/>
    <w:rsid w:val="00A6316D"/>
    <w:rsid w:val="00A65EDC"/>
    <w:rsid w:val="00A71DC2"/>
    <w:rsid w:val="00A71FB8"/>
    <w:rsid w:val="00A735FE"/>
    <w:rsid w:val="00A74F88"/>
    <w:rsid w:val="00A75BDF"/>
    <w:rsid w:val="00A7715E"/>
    <w:rsid w:val="00A81209"/>
    <w:rsid w:val="00A84A1E"/>
    <w:rsid w:val="00A86086"/>
    <w:rsid w:val="00A92C94"/>
    <w:rsid w:val="00A92E85"/>
    <w:rsid w:val="00A96BB6"/>
    <w:rsid w:val="00A97CE0"/>
    <w:rsid w:val="00AA1874"/>
    <w:rsid w:val="00AA7475"/>
    <w:rsid w:val="00AB0D08"/>
    <w:rsid w:val="00AB1B5F"/>
    <w:rsid w:val="00AB4CE5"/>
    <w:rsid w:val="00AB6871"/>
    <w:rsid w:val="00AB6C6C"/>
    <w:rsid w:val="00AB7C4A"/>
    <w:rsid w:val="00AC0AF1"/>
    <w:rsid w:val="00AC2E86"/>
    <w:rsid w:val="00AC4015"/>
    <w:rsid w:val="00AE13FE"/>
    <w:rsid w:val="00AE40B7"/>
    <w:rsid w:val="00AF290F"/>
    <w:rsid w:val="00AF2EC7"/>
    <w:rsid w:val="00AF36FD"/>
    <w:rsid w:val="00AF714E"/>
    <w:rsid w:val="00B145E0"/>
    <w:rsid w:val="00B15553"/>
    <w:rsid w:val="00B16299"/>
    <w:rsid w:val="00B24791"/>
    <w:rsid w:val="00B272AB"/>
    <w:rsid w:val="00B335D5"/>
    <w:rsid w:val="00B339B4"/>
    <w:rsid w:val="00B35BED"/>
    <w:rsid w:val="00B37AAD"/>
    <w:rsid w:val="00B4041D"/>
    <w:rsid w:val="00B55106"/>
    <w:rsid w:val="00B60E55"/>
    <w:rsid w:val="00B645D4"/>
    <w:rsid w:val="00B71348"/>
    <w:rsid w:val="00B71A5C"/>
    <w:rsid w:val="00B73596"/>
    <w:rsid w:val="00B759FF"/>
    <w:rsid w:val="00B75EDC"/>
    <w:rsid w:val="00B77779"/>
    <w:rsid w:val="00B9643E"/>
    <w:rsid w:val="00BA633B"/>
    <w:rsid w:val="00BB3D11"/>
    <w:rsid w:val="00BB3F8B"/>
    <w:rsid w:val="00BB42CB"/>
    <w:rsid w:val="00BB5A66"/>
    <w:rsid w:val="00BB6EE2"/>
    <w:rsid w:val="00BB7319"/>
    <w:rsid w:val="00BC2E9A"/>
    <w:rsid w:val="00BC56A5"/>
    <w:rsid w:val="00BC6007"/>
    <w:rsid w:val="00BD5C30"/>
    <w:rsid w:val="00BD637A"/>
    <w:rsid w:val="00BE02F2"/>
    <w:rsid w:val="00BE0937"/>
    <w:rsid w:val="00BE55A8"/>
    <w:rsid w:val="00BE61FE"/>
    <w:rsid w:val="00BE65EC"/>
    <w:rsid w:val="00BE798D"/>
    <w:rsid w:val="00BF2D90"/>
    <w:rsid w:val="00BF7739"/>
    <w:rsid w:val="00C03A03"/>
    <w:rsid w:val="00C32A6C"/>
    <w:rsid w:val="00C33465"/>
    <w:rsid w:val="00C36175"/>
    <w:rsid w:val="00C413AB"/>
    <w:rsid w:val="00C52218"/>
    <w:rsid w:val="00C575C2"/>
    <w:rsid w:val="00C57E1C"/>
    <w:rsid w:val="00C63472"/>
    <w:rsid w:val="00C66C73"/>
    <w:rsid w:val="00C7682B"/>
    <w:rsid w:val="00C7688A"/>
    <w:rsid w:val="00C97255"/>
    <w:rsid w:val="00CA2979"/>
    <w:rsid w:val="00CA3F4D"/>
    <w:rsid w:val="00CB3A3D"/>
    <w:rsid w:val="00CB7674"/>
    <w:rsid w:val="00CC1A58"/>
    <w:rsid w:val="00CC2CE4"/>
    <w:rsid w:val="00CC44F9"/>
    <w:rsid w:val="00CC4540"/>
    <w:rsid w:val="00CD2EE9"/>
    <w:rsid w:val="00CD6898"/>
    <w:rsid w:val="00CD7599"/>
    <w:rsid w:val="00CE1180"/>
    <w:rsid w:val="00CE1C0E"/>
    <w:rsid w:val="00CE2F16"/>
    <w:rsid w:val="00CE563A"/>
    <w:rsid w:val="00CF0236"/>
    <w:rsid w:val="00CF5505"/>
    <w:rsid w:val="00CF55F5"/>
    <w:rsid w:val="00CF6FBE"/>
    <w:rsid w:val="00D06B4F"/>
    <w:rsid w:val="00D074E1"/>
    <w:rsid w:val="00D12FD3"/>
    <w:rsid w:val="00D1357D"/>
    <w:rsid w:val="00D14D14"/>
    <w:rsid w:val="00D20A28"/>
    <w:rsid w:val="00D20D88"/>
    <w:rsid w:val="00D25AD2"/>
    <w:rsid w:val="00D352B2"/>
    <w:rsid w:val="00D355B3"/>
    <w:rsid w:val="00D45D02"/>
    <w:rsid w:val="00D4771F"/>
    <w:rsid w:val="00D47F5A"/>
    <w:rsid w:val="00D5280D"/>
    <w:rsid w:val="00D55399"/>
    <w:rsid w:val="00D5727C"/>
    <w:rsid w:val="00D575D8"/>
    <w:rsid w:val="00D60347"/>
    <w:rsid w:val="00D6556A"/>
    <w:rsid w:val="00D70EE1"/>
    <w:rsid w:val="00D768EF"/>
    <w:rsid w:val="00D76FE7"/>
    <w:rsid w:val="00D82B6A"/>
    <w:rsid w:val="00D842A1"/>
    <w:rsid w:val="00D87731"/>
    <w:rsid w:val="00D90306"/>
    <w:rsid w:val="00D92F9C"/>
    <w:rsid w:val="00D93B9E"/>
    <w:rsid w:val="00D94EE9"/>
    <w:rsid w:val="00D954F3"/>
    <w:rsid w:val="00DA0186"/>
    <w:rsid w:val="00DA4388"/>
    <w:rsid w:val="00DB127F"/>
    <w:rsid w:val="00DB580E"/>
    <w:rsid w:val="00DC446F"/>
    <w:rsid w:val="00DC4603"/>
    <w:rsid w:val="00DC68BF"/>
    <w:rsid w:val="00DD2758"/>
    <w:rsid w:val="00DE2F0C"/>
    <w:rsid w:val="00DE7EA9"/>
    <w:rsid w:val="00DF02CA"/>
    <w:rsid w:val="00DF3849"/>
    <w:rsid w:val="00DF5FF4"/>
    <w:rsid w:val="00DF6404"/>
    <w:rsid w:val="00DF69E5"/>
    <w:rsid w:val="00E0170A"/>
    <w:rsid w:val="00E05F6B"/>
    <w:rsid w:val="00E060CE"/>
    <w:rsid w:val="00E0784B"/>
    <w:rsid w:val="00E16CA6"/>
    <w:rsid w:val="00E170B7"/>
    <w:rsid w:val="00E227DC"/>
    <w:rsid w:val="00E32FAB"/>
    <w:rsid w:val="00E37C64"/>
    <w:rsid w:val="00E46A8E"/>
    <w:rsid w:val="00E51245"/>
    <w:rsid w:val="00E53781"/>
    <w:rsid w:val="00E5620A"/>
    <w:rsid w:val="00E66C8E"/>
    <w:rsid w:val="00E7750E"/>
    <w:rsid w:val="00E77C69"/>
    <w:rsid w:val="00E8281C"/>
    <w:rsid w:val="00E857FF"/>
    <w:rsid w:val="00E866E8"/>
    <w:rsid w:val="00E909E9"/>
    <w:rsid w:val="00E92E6C"/>
    <w:rsid w:val="00E9350D"/>
    <w:rsid w:val="00E947C4"/>
    <w:rsid w:val="00E960D9"/>
    <w:rsid w:val="00EA09D8"/>
    <w:rsid w:val="00EA132C"/>
    <w:rsid w:val="00EA2072"/>
    <w:rsid w:val="00EA528A"/>
    <w:rsid w:val="00EB01CC"/>
    <w:rsid w:val="00EB27FD"/>
    <w:rsid w:val="00EB426E"/>
    <w:rsid w:val="00EC210B"/>
    <w:rsid w:val="00EC4011"/>
    <w:rsid w:val="00EC41AF"/>
    <w:rsid w:val="00EC7133"/>
    <w:rsid w:val="00ED06AF"/>
    <w:rsid w:val="00ED2930"/>
    <w:rsid w:val="00ED29D3"/>
    <w:rsid w:val="00ED36A7"/>
    <w:rsid w:val="00EE1B1A"/>
    <w:rsid w:val="00EE237F"/>
    <w:rsid w:val="00EF2F95"/>
    <w:rsid w:val="00EF513B"/>
    <w:rsid w:val="00F01F68"/>
    <w:rsid w:val="00F05E1F"/>
    <w:rsid w:val="00F12D3D"/>
    <w:rsid w:val="00F14B9C"/>
    <w:rsid w:val="00F21C94"/>
    <w:rsid w:val="00F34F02"/>
    <w:rsid w:val="00F352BE"/>
    <w:rsid w:val="00F36432"/>
    <w:rsid w:val="00F40682"/>
    <w:rsid w:val="00F435A7"/>
    <w:rsid w:val="00F4431E"/>
    <w:rsid w:val="00F44D05"/>
    <w:rsid w:val="00F51BBB"/>
    <w:rsid w:val="00F52803"/>
    <w:rsid w:val="00F53346"/>
    <w:rsid w:val="00F53844"/>
    <w:rsid w:val="00F562B7"/>
    <w:rsid w:val="00F56D84"/>
    <w:rsid w:val="00F56E70"/>
    <w:rsid w:val="00F57033"/>
    <w:rsid w:val="00F57E50"/>
    <w:rsid w:val="00F6788C"/>
    <w:rsid w:val="00F70D00"/>
    <w:rsid w:val="00F727B9"/>
    <w:rsid w:val="00F80943"/>
    <w:rsid w:val="00F90A6C"/>
    <w:rsid w:val="00F90F04"/>
    <w:rsid w:val="00F92025"/>
    <w:rsid w:val="00F942A6"/>
    <w:rsid w:val="00F9464B"/>
    <w:rsid w:val="00F9540C"/>
    <w:rsid w:val="00F964CF"/>
    <w:rsid w:val="00FA04B8"/>
    <w:rsid w:val="00FA354B"/>
    <w:rsid w:val="00FA6FE7"/>
    <w:rsid w:val="00FB1854"/>
    <w:rsid w:val="00FC1C3F"/>
    <w:rsid w:val="00FC2D99"/>
    <w:rsid w:val="00FD27D1"/>
    <w:rsid w:val="00FE5DD0"/>
    <w:rsid w:val="00FE6C83"/>
    <w:rsid w:val="00FF0CC4"/>
    <w:rsid w:val="00FF1B04"/>
    <w:rsid w:val="00FF4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CE762-8AFE-4778-A715-9B101503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50D"/>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E9350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E9350D"/>
    <w:pPr>
      <w:keepNext/>
      <w:spacing w:before="120" w:after="120" w:line="240" w:lineRule="auto"/>
      <w:jc w:val="both"/>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50D"/>
    <w:rPr>
      <w:rFonts w:ascii="Cambria" w:eastAsia="Times New Roman" w:hAnsi="Cambria" w:cs="Times New Roman"/>
      <w:b/>
      <w:bCs/>
      <w:kern w:val="32"/>
      <w:sz w:val="32"/>
      <w:szCs w:val="32"/>
    </w:rPr>
  </w:style>
  <w:style w:type="character" w:customStyle="1" w:styleId="21">
    <w:name w:val="Заголовок 2 Знак"/>
    <w:basedOn w:val="a0"/>
    <w:link w:val="20"/>
    <w:rsid w:val="00E9350D"/>
    <w:rPr>
      <w:rFonts w:ascii="Cambria" w:eastAsia="Times New Roman" w:hAnsi="Cambria" w:cs="Times New Roman"/>
      <w:b/>
      <w:bCs/>
      <w:i/>
      <w:iCs/>
      <w:sz w:val="28"/>
      <w:szCs w:val="28"/>
    </w:rPr>
  </w:style>
  <w:style w:type="character" w:customStyle="1" w:styleId="30">
    <w:name w:val="Заголовок 3 Знак"/>
    <w:basedOn w:val="a0"/>
    <w:link w:val="3"/>
    <w:rsid w:val="00E9350D"/>
    <w:rPr>
      <w:rFonts w:ascii="Cambria" w:eastAsia="Times New Roman" w:hAnsi="Cambria" w:cs="Times New Roman"/>
      <w:b/>
      <w:bCs/>
      <w:sz w:val="26"/>
      <w:szCs w:val="26"/>
    </w:rPr>
  </w:style>
  <w:style w:type="character" w:styleId="a3">
    <w:name w:val="annotation reference"/>
    <w:basedOn w:val="a0"/>
    <w:unhideWhenUsed/>
    <w:rsid w:val="0016318B"/>
    <w:rPr>
      <w:sz w:val="16"/>
      <w:szCs w:val="16"/>
    </w:rPr>
  </w:style>
  <w:style w:type="paragraph" w:styleId="a4">
    <w:name w:val="annotation text"/>
    <w:basedOn w:val="a"/>
    <w:link w:val="a5"/>
    <w:unhideWhenUsed/>
    <w:rsid w:val="0016318B"/>
    <w:pPr>
      <w:spacing w:line="240" w:lineRule="auto"/>
    </w:pPr>
    <w:rPr>
      <w:sz w:val="20"/>
      <w:szCs w:val="20"/>
    </w:rPr>
  </w:style>
  <w:style w:type="character" w:customStyle="1" w:styleId="a5">
    <w:name w:val="Текст примечания Знак"/>
    <w:basedOn w:val="a0"/>
    <w:link w:val="a4"/>
    <w:rsid w:val="0016318B"/>
    <w:rPr>
      <w:sz w:val="20"/>
      <w:szCs w:val="20"/>
    </w:rPr>
  </w:style>
  <w:style w:type="paragraph" w:styleId="a6">
    <w:name w:val="annotation subject"/>
    <w:basedOn w:val="a4"/>
    <w:next w:val="a4"/>
    <w:link w:val="a7"/>
    <w:unhideWhenUsed/>
    <w:rsid w:val="0016318B"/>
    <w:rPr>
      <w:b/>
      <w:bCs/>
    </w:rPr>
  </w:style>
  <w:style w:type="character" w:customStyle="1" w:styleId="a7">
    <w:name w:val="Тема примечания Знак"/>
    <w:basedOn w:val="a5"/>
    <w:link w:val="a6"/>
    <w:rsid w:val="0016318B"/>
    <w:rPr>
      <w:b/>
      <w:bCs/>
      <w:sz w:val="20"/>
      <w:szCs w:val="20"/>
    </w:rPr>
  </w:style>
  <w:style w:type="paragraph" w:styleId="a8">
    <w:name w:val="Balloon Text"/>
    <w:basedOn w:val="a"/>
    <w:link w:val="a9"/>
    <w:unhideWhenUsed/>
    <w:rsid w:val="0016318B"/>
    <w:pPr>
      <w:spacing w:after="0" w:line="240" w:lineRule="auto"/>
    </w:pPr>
    <w:rPr>
      <w:rFonts w:ascii="Tahoma" w:hAnsi="Tahoma" w:cs="Tahoma"/>
      <w:sz w:val="16"/>
      <w:szCs w:val="16"/>
    </w:rPr>
  </w:style>
  <w:style w:type="character" w:customStyle="1" w:styleId="a9">
    <w:name w:val="Текст выноски Знак"/>
    <w:basedOn w:val="a0"/>
    <w:link w:val="a8"/>
    <w:rsid w:val="0016318B"/>
    <w:rPr>
      <w:rFonts w:ascii="Tahoma" w:hAnsi="Tahoma" w:cs="Tahoma"/>
      <w:sz w:val="16"/>
      <w:szCs w:val="16"/>
    </w:rPr>
  </w:style>
  <w:style w:type="paragraph" w:styleId="aa">
    <w:name w:val="footnote text"/>
    <w:basedOn w:val="a"/>
    <w:link w:val="ab"/>
    <w:unhideWhenUsed/>
    <w:rsid w:val="00630839"/>
    <w:rPr>
      <w:rFonts w:ascii="Calibri" w:eastAsia="Calibri" w:hAnsi="Calibri" w:cs="Times New Roman"/>
      <w:sz w:val="20"/>
      <w:szCs w:val="20"/>
      <w:lang w:eastAsia="en-US"/>
    </w:rPr>
  </w:style>
  <w:style w:type="character" w:customStyle="1" w:styleId="ab">
    <w:name w:val="Текст сноски Знак"/>
    <w:basedOn w:val="a0"/>
    <w:link w:val="aa"/>
    <w:rsid w:val="00630839"/>
    <w:rPr>
      <w:rFonts w:ascii="Calibri" w:eastAsia="Calibri" w:hAnsi="Calibri" w:cs="Times New Roman"/>
      <w:sz w:val="20"/>
      <w:szCs w:val="20"/>
      <w:lang w:eastAsia="en-US"/>
    </w:rPr>
  </w:style>
  <w:style w:type="character" w:styleId="ac">
    <w:name w:val="footnote reference"/>
    <w:basedOn w:val="a0"/>
    <w:unhideWhenUsed/>
    <w:rsid w:val="00630839"/>
    <w:rPr>
      <w:vertAlign w:val="superscript"/>
    </w:rPr>
  </w:style>
  <w:style w:type="paragraph" w:styleId="ad">
    <w:name w:val="List Paragraph"/>
    <w:basedOn w:val="a"/>
    <w:uiPriority w:val="34"/>
    <w:qFormat/>
    <w:rsid w:val="00EA132C"/>
    <w:pPr>
      <w:ind w:left="720"/>
      <w:contextualSpacing/>
    </w:pPr>
  </w:style>
  <w:style w:type="paragraph" w:customStyle="1" w:styleId="ae">
    <w:name w:val="Текст основной"/>
    <w:basedOn w:val="a"/>
    <w:rsid w:val="00D87731"/>
    <w:pPr>
      <w:spacing w:before="60" w:after="0" w:line="360" w:lineRule="auto"/>
      <w:ind w:firstLine="709"/>
      <w:jc w:val="both"/>
    </w:pPr>
    <w:rPr>
      <w:rFonts w:ascii="Arial" w:eastAsiaTheme="minorHAnsi" w:hAnsi="Arial" w:cs="Arial"/>
      <w:sz w:val="24"/>
      <w:szCs w:val="24"/>
    </w:rPr>
  </w:style>
  <w:style w:type="paragraph" w:customStyle="1" w:styleId="31">
    <w:name w:val="Заглавие 3"/>
    <w:basedOn w:val="a"/>
    <w:rsid w:val="00BE02F2"/>
    <w:pPr>
      <w:spacing w:before="240" w:after="0" w:line="360" w:lineRule="auto"/>
    </w:pPr>
    <w:rPr>
      <w:rFonts w:ascii="Arial" w:eastAsiaTheme="minorHAnsi" w:hAnsi="Arial" w:cs="Arial"/>
      <w:b/>
      <w:bCs/>
      <w:i/>
      <w:iCs/>
      <w:sz w:val="26"/>
      <w:szCs w:val="26"/>
    </w:rPr>
  </w:style>
  <w:style w:type="paragraph" w:styleId="32">
    <w:name w:val="Body Text Indent 3"/>
    <w:basedOn w:val="a"/>
    <w:link w:val="33"/>
    <w:rsid w:val="0019075C"/>
    <w:pPr>
      <w:spacing w:before="120" w:after="120" w:line="240" w:lineRule="auto"/>
      <w:ind w:left="5529"/>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9075C"/>
    <w:rPr>
      <w:rFonts w:ascii="Times New Roman" w:eastAsia="Times New Roman" w:hAnsi="Times New Roman" w:cs="Times New Roman"/>
      <w:sz w:val="16"/>
      <w:szCs w:val="16"/>
    </w:rPr>
  </w:style>
  <w:style w:type="paragraph" w:styleId="af">
    <w:name w:val="header"/>
    <w:basedOn w:val="a"/>
    <w:link w:val="af0"/>
    <w:unhideWhenUsed/>
    <w:rsid w:val="00412D00"/>
    <w:pPr>
      <w:tabs>
        <w:tab w:val="center" w:pos="4677"/>
        <w:tab w:val="right" w:pos="9355"/>
      </w:tabs>
      <w:spacing w:after="0" w:line="240" w:lineRule="auto"/>
    </w:pPr>
  </w:style>
  <w:style w:type="character" w:customStyle="1" w:styleId="af0">
    <w:name w:val="Верхний колонтитул Знак"/>
    <w:basedOn w:val="a0"/>
    <w:link w:val="af"/>
    <w:rsid w:val="00412D00"/>
  </w:style>
  <w:style w:type="paragraph" w:styleId="af1">
    <w:name w:val="footer"/>
    <w:basedOn w:val="a"/>
    <w:link w:val="af2"/>
    <w:unhideWhenUsed/>
    <w:rsid w:val="00412D00"/>
    <w:pPr>
      <w:tabs>
        <w:tab w:val="center" w:pos="4677"/>
        <w:tab w:val="right" w:pos="9355"/>
      </w:tabs>
      <w:spacing w:after="0" w:line="240" w:lineRule="auto"/>
    </w:pPr>
  </w:style>
  <w:style w:type="character" w:customStyle="1" w:styleId="af2">
    <w:name w:val="Нижний колонтитул Знак"/>
    <w:basedOn w:val="a0"/>
    <w:link w:val="af1"/>
    <w:rsid w:val="00412D00"/>
  </w:style>
  <w:style w:type="paragraph" w:customStyle="1" w:styleId="11">
    <w:name w:val="Без интервала11"/>
    <w:rsid w:val="00A65EDC"/>
    <w:pPr>
      <w:spacing w:before="60" w:after="60"/>
      <w:jc w:val="both"/>
    </w:pPr>
    <w:rPr>
      <w:rFonts w:ascii="Franklin Gothic Book" w:eastAsia="Times New Roman" w:hAnsi="Franklin Gothic Book" w:cs="Times New Roman"/>
      <w:lang w:val="en-US" w:eastAsia="en-US"/>
    </w:rPr>
  </w:style>
  <w:style w:type="paragraph" w:customStyle="1" w:styleId="af3">
    <w:name w:val="Заголовок"/>
    <w:basedOn w:val="a"/>
    <w:rsid w:val="00E9350D"/>
    <w:pPr>
      <w:spacing w:after="0" w:line="240" w:lineRule="auto"/>
      <w:jc w:val="center"/>
    </w:pPr>
    <w:rPr>
      <w:rFonts w:ascii="Times New Roman" w:eastAsia="Times New Roman" w:hAnsi="Times New Roman" w:cs="Times New Roman"/>
      <w:b/>
      <w:sz w:val="28"/>
      <w:szCs w:val="24"/>
    </w:rPr>
  </w:style>
  <w:style w:type="character" w:styleId="af4">
    <w:name w:val="page number"/>
    <w:rsid w:val="00E9350D"/>
    <w:rPr>
      <w:rFonts w:cs="Times New Roman"/>
    </w:rPr>
  </w:style>
  <w:style w:type="paragraph" w:styleId="af5">
    <w:name w:val="Title"/>
    <w:basedOn w:val="a"/>
    <w:link w:val="af6"/>
    <w:qFormat/>
    <w:rsid w:val="00E9350D"/>
    <w:pPr>
      <w:overflowPunct w:val="0"/>
      <w:autoSpaceDE w:val="0"/>
      <w:autoSpaceDN w:val="0"/>
      <w:adjustRightInd w:val="0"/>
      <w:spacing w:after="0" w:line="240" w:lineRule="auto"/>
      <w:ind w:right="29" w:firstLine="567"/>
      <w:jc w:val="center"/>
      <w:textAlignment w:val="baseline"/>
    </w:pPr>
    <w:rPr>
      <w:rFonts w:ascii="Cambria" w:eastAsia="Times New Roman" w:hAnsi="Cambria" w:cs="Times New Roman"/>
      <w:b/>
      <w:bCs/>
      <w:kern w:val="28"/>
      <w:sz w:val="32"/>
      <w:szCs w:val="32"/>
    </w:rPr>
  </w:style>
  <w:style w:type="character" w:customStyle="1" w:styleId="af6">
    <w:name w:val="Название Знак"/>
    <w:basedOn w:val="a0"/>
    <w:link w:val="af5"/>
    <w:rsid w:val="00E9350D"/>
    <w:rPr>
      <w:rFonts w:ascii="Cambria" w:eastAsia="Times New Roman" w:hAnsi="Cambria" w:cs="Times New Roman"/>
      <w:b/>
      <w:bCs/>
      <w:kern w:val="28"/>
      <w:sz w:val="32"/>
      <w:szCs w:val="32"/>
    </w:rPr>
  </w:style>
  <w:style w:type="paragraph" w:customStyle="1" w:styleId="af7">
    <w:name w:val="Полужирный По центру"/>
    <w:basedOn w:val="a"/>
    <w:rsid w:val="00E9350D"/>
    <w:pPr>
      <w:spacing w:after="0" w:line="240" w:lineRule="auto"/>
      <w:jc w:val="center"/>
    </w:pPr>
    <w:rPr>
      <w:rFonts w:ascii="Times New Roman" w:eastAsia="Times New Roman" w:hAnsi="Times New Roman" w:cs="Times New Roman"/>
      <w:b/>
      <w:bCs/>
      <w:sz w:val="24"/>
      <w:szCs w:val="20"/>
    </w:rPr>
  </w:style>
  <w:style w:type="paragraph" w:customStyle="1" w:styleId="af8">
    <w:name w:val="Решение"/>
    <w:basedOn w:val="a"/>
    <w:rsid w:val="00E9350D"/>
    <w:pPr>
      <w:spacing w:after="0" w:line="360" w:lineRule="auto"/>
      <w:ind w:left="709" w:hanging="709"/>
      <w:jc w:val="both"/>
    </w:pPr>
    <w:rPr>
      <w:rFonts w:ascii="Times New Roman" w:eastAsia="Times New Roman" w:hAnsi="Times New Roman" w:cs="Times New Roman"/>
      <w:b/>
      <w:sz w:val="24"/>
      <w:szCs w:val="20"/>
    </w:rPr>
  </w:style>
  <w:style w:type="paragraph" w:customStyle="1" w:styleId="af9">
    <w:name w:val="Текст пункта без номера"/>
    <w:basedOn w:val="a"/>
    <w:rsid w:val="00E9350D"/>
    <w:pPr>
      <w:spacing w:before="120" w:after="120" w:line="240" w:lineRule="auto"/>
      <w:ind w:firstLine="709"/>
      <w:jc w:val="both"/>
    </w:pPr>
    <w:rPr>
      <w:rFonts w:ascii="Times New Roman" w:eastAsia="Times New Roman" w:hAnsi="Times New Roman" w:cs="Times New Roman"/>
      <w:sz w:val="24"/>
      <w:szCs w:val="20"/>
    </w:rPr>
  </w:style>
  <w:style w:type="paragraph" w:customStyle="1" w:styleId="afa">
    <w:name w:val="Полужирный По правому краю"/>
    <w:basedOn w:val="af7"/>
    <w:rsid w:val="00E9350D"/>
    <w:pPr>
      <w:jc w:val="right"/>
    </w:pPr>
  </w:style>
  <w:style w:type="paragraph" w:customStyle="1" w:styleId="125">
    <w:name w:val="Стиль Первая строка:  125 см"/>
    <w:basedOn w:val="a"/>
    <w:rsid w:val="00E9350D"/>
    <w:pPr>
      <w:spacing w:after="60" w:line="240" w:lineRule="auto"/>
      <w:ind w:firstLine="709"/>
      <w:jc w:val="both"/>
    </w:pPr>
    <w:rPr>
      <w:rFonts w:ascii="Franklin Gothic Book" w:eastAsia="Times New Roman" w:hAnsi="Franklin Gothic Book" w:cs="Times New Roman"/>
      <w:sz w:val="24"/>
      <w:szCs w:val="20"/>
    </w:rPr>
  </w:style>
  <w:style w:type="paragraph" w:customStyle="1" w:styleId="12">
    <w:name w:val="Обычный1"/>
    <w:rsid w:val="00E9350D"/>
    <w:pPr>
      <w:spacing w:before="100" w:after="100" w:line="240" w:lineRule="auto"/>
    </w:pPr>
    <w:rPr>
      <w:rFonts w:ascii="Times New Roman" w:eastAsia="Times New Roman" w:hAnsi="Times New Roman" w:cs="Times New Roman"/>
      <w:sz w:val="24"/>
      <w:szCs w:val="20"/>
    </w:rPr>
  </w:style>
  <w:style w:type="paragraph" w:styleId="22">
    <w:name w:val="Body Text 2"/>
    <w:basedOn w:val="a"/>
    <w:link w:val="23"/>
    <w:rsid w:val="00E9350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E9350D"/>
    <w:rPr>
      <w:rFonts w:ascii="Times New Roman" w:eastAsia="Times New Roman" w:hAnsi="Times New Roman" w:cs="Times New Roman"/>
      <w:sz w:val="24"/>
      <w:szCs w:val="24"/>
    </w:rPr>
  </w:style>
  <w:style w:type="paragraph" w:styleId="afb">
    <w:name w:val="Plain Text"/>
    <w:basedOn w:val="a"/>
    <w:link w:val="afc"/>
    <w:rsid w:val="00E9350D"/>
    <w:pPr>
      <w:spacing w:after="0" w:line="240" w:lineRule="auto"/>
    </w:pPr>
    <w:rPr>
      <w:rFonts w:ascii="Courier New" w:eastAsia="Times New Roman" w:hAnsi="Courier New" w:cs="Times New Roman"/>
      <w:sz w:val="20"/>
      <w:szCs w:val="20"/>
    </w:rPr>
  </w:style>
  <w:style w:type="character" w:customStyle="1" w:styleId="afc">
    <w:name w:val="Текст Знак"/>
    <w:basedOn w:val="a0"/>
    <w:link w:val="afb"/>
    <w:rsid w:val="00E9350D"/>
    <w:rPr>
      <w:rFonts w:ascii="Courier New" w:eastAsia="Times New Roman" w:hAnsi="Courier New" w:cs="Times New Roman"/>
      <w:sz w:val="20"/>
      <w:szCs w:val="20"/>
    </w:rPr>
  </w:style>
  <w:style w:type="paragraph" w:customStyle="1" w:styleId="2">
    <w:name w:val="Стиль Заголовок 2 + полужирный Черный"/>
    <w:basedOn w:val="20"/>
    <w:rsid w:val="00E9350D"/>
    <w:pPr>
      <w:numPr>
        <w:ilvl w:val="1"/>
        <w:numId w:val="10"/>
      </w:numPr>
      <w:tabs>
        <w:tab w:val="left" w:pos="709"/>
      </w:tabs>
      <w:jc w:val="both"/>
    </w:pPr>
    <w:rPr>
      <w:rFonts w:ascii="Times New Roman" w:hAnsi="Times New Roman"/>
      <w:i w:val="0"/>
      <w:iCs w:val="0"/>
      <w:color w:val="000000"/>
      <w:sz w:val="24"/>
      <w:szCs w:val="24"/>
    </w:rPr>
  </w:style>
  <w:style w:type="paragraph" w:styleId="afd">
    <w:name w:val="Body Text"/>
    <w:basedOn w:val="a"/>
    <w:link w:val="afe"/>
    <w:rsid w:val="00E9350D"/>
    <w:pPr>
      <w:spacing w:after="120" w:line="240" w:lineRule="auto"/>
    </w:pPr>
    <w:rPr>
      <w:rFonts w:ascii="Times New Roman" w:eastAsia="Times New Roman" w:hAnsi="Times New Roman" w:cs="Times New Roman"/>
      <w:sz w:val="24"/>
      <w:szCs w:val="24"/>
    </w:rPr>
  </w:style>
  <w:style w:type="character" w:customStyle="1" w:styleId="afe">
    <w:name w:val="Основной текст Знак"/>
    <w:basedOn w:val="a0"/>
    <w:link w:val="afd"/>
    <w:rsid w:val="00E9350D"/>
    <w:rPr>
      <w:rFonts w:ascii="Times New Roman" w:eastAsia="Times New Roman" w:hAnsi="Times New Roman" w:cs="Times New Roman"/>
      <w:sz w:val="24"/>
      <w:szCs w:val="24"/>
    </w:rPr>
  </w:style>
  <w:style w:type="paragraph" w:styleId="aff">
    <w:name w:val="Normal (Web)"/>
    <w:basedOn w:val="a"/>
    <w:uiPriority w:val="99"/>
    <w:rsid w:val="00E93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Без интервала1"/>
    <w:rsid w:val="00E9350D"/>
    <w:pPr>
      <w:spacing w:before="60" w:after="60"/>
      <w:jc w:val="both"/>
    </w:pPr>
    <w:rPr>
      <w:rFonts w:ascii="Franklin Gothic Book" w:eastAsia="Times New Roman" w:hAnsi="Franklin Gothic Book" w:cs="Times New Roman"/>
      <w:lang w:val="en-US" w:eastAsia="en-US"/>
    </w:rPr>
  </w:style>
  <w:style w:type="character" w:customStyle="1" w:styleId="aff0">
    <w:name w:val="Схема документа Знак"/>
    <w:basedOn w:val="a0"/>
    <w:link w:val="aff1"/>
    <w:semiHidden/>
    <w:rsid w:val="00E9350D"/>
    <w:rPr>
      <w:rFonts w:ascii="Tahoma" w:eastAsia="Times New Roman" w:hAnsi="Tahoma" w:cs="Times New Roman"/>
      <w:sz w:val="16"/>
      <w:szCs w:val="16"/>
      <w:shd w:val="clear" w:color="auto" w:fill="000080"/>
    </w:rPr>
  </w:style>
  <w:style w:type="paragraph" w:styleId="aff1">
    <w:name w:val="Document Map"/>
    <w:basedOn w:val="a"/>
    <w:link w:val="aff0"/>
    <w:semiHidden/>
    <w:rsid w:val="00E9350D"/>
    <w:pPr>
      <w:shd w:val="clear" w:color="auto" w:fill="000080"/>
      <w:spacing w:after="0" w:line="240" w:lineRule="auto"/>
    </w:pPr>
    <w:rPr>
      <w:rFonts w:ascii="Tahoma" w:eastAsia="Times New Roman" w:hAnsi="Tahoma" w:cs="Times New Roman"/>
      <w:sz w:val="16"/>
      <w:szCs w:val="16"/>
    </w:rPr>
  </w:style>
  <w:style w:type="paragraph" w:customStyle="1" w:styleId="210">
    <w:name w:val="Основной текст 21"/>
    <w:basedOn w:val="a"/>
    <w:rsid w:val="00E9350D"/>
    <w:pPr>
      <w:widowControl w:val="0"/>
      <w:spacing w:after="0" w:line="360" w:lineRule="auto"/>
      <w:ind w:firstLine="720"/>
      <w:jc w:val="both"/>
    </w:pPr>
    <w:rPr>
      <w:rFonts w:ascii="Times New Roman" w:eastAsia="Times New Roman" w:hAnsi="Times New Roman" w:cs="Times New Roman"/>
      <w:sz w:val="24"/>
      <w:szCs w:val="20"/>
    </w:rPr>
  </w:style>
  <w:style w:type="paragraph" w:customStyle="1" w:styleId="NoSpacing1">
    <w:name w:val="No Spacing1"/>
    <w:rsid w:val="00E9350D"/>
    <w:pPr>
      <w:spacing w:before="60" w:after="60"/>
      <w:jc w:val="both"/>
    </w:pPr>
    <w:rPr>
      <w:rFonts w:ascii="Franklin Gothic Book" w:eastAsia="Times New Roman" w:hAnsi="Franklin Gothic Book" w:cs="Times New Roman"/>
      <w:lang w:val="en-US" w:eastAsia="en-US"/>
    </w:rPr>
  </w:style>
  <w:style w:type="paragraph" w:customStyle="1" w:styleId="Point">
    <w:name w:val="Point"/>
    <w:basedOn w:val="a"/>
    <w:qFormat/>
    <w:rsid w:val="00E9350D"/>
    <w:pPr>
      <w:tabs>
        <w:tab w:val="num" w:pos="851"/>
      </w:tabs>
      <w:spacing w:before="120" w:after="0" w:line="240" w:lineRule="auto"/>
      <w:ind w:left="851" w:hanging="851"/>
      <w:jc w:val="both"/>
    </w:pPr>
    <w:rPr>
      <w:rFonts w:ascii="Times New Roman" w:eastAsia="Times New Roman" w:hAnsi="Times New Roman" w:cs="Times New Roman"/>
      <w:sz w:val="24"/>
      <w:szCs w:val="24"/>
      <w:lang w:eastAsia="en-US"/>
    </w:rPr>
  </w:style>
  <w:style w:type="paragraph" w:customStyle="1" w:styleId="Point2">
    <w:name w:val="Point 2"/>
    <w:basedOn w:val="Point"/>
    <w:qFormat/>
    <w:rsid w:val="00E9350D"/>
    <w:pPr>
      <w:numPr>
        <w:ilvl w:val="4"/>
      </w:numPr>
      <w:tabs>
        <w:tab w:val="num" w:pos="851"/>
      </w:tabs>
      <w:ind w:left="851" w:hanging="851"/>
    </w:pPr>
  </w:style>
  <w:style w:type="paragraph" w:customStyle="1" w:styleId="Title1">
    <w:name w:val="Title 1"/>
    <w:qFormat/>
    <w:rsid w:val="00E9350D"/>
    <w:pPr>
      <w:keepNext/>
      <w:keepLines/>
      <w:pageBreakBefore/>
      <w:tabs>
        <w:tab w:val="num" w:pos="1701"/>
      </w:tabs>
      <w:spacing w:before="120" w:after="0" w:line="240" w:lineRule="auto"/>
      <w:ind w:left="1701" w:hanging="1701"/>
      <w:jc w:val="both"/>
      <w:outlineLvl w:val="0"/>
    </w:pPr>
    <w:rPr>
      <w:rFonts w:ascii="Times New Roman" w:eastAsia="Times New Roman" w:hAnsi="Times New Roman" w:cs="Times New Roman"/>
      <w:b/>
      <w:sz w:val="24"/>
      <w:szCs w:val="24"/>
      <w:lang w:eastAsia="en-US"/>
    </w:rPr>
  </w:style>
  <w:style w:type="paragraph" w:customStyle="1" w:styleId="Title3">
    <w:name w:val="Title 3"/>
    <w:basedOn w:val="a"/>
    <w:qFormat/>
    <w:rsid w:val="00E9350D"/>
    <w:pPr>
      <w:keepNext/>
      <w:tabs>
        <w:tab w:val="num" w:pos="1844"/>
      </w:tabs>
      <w:spacing w:before="120" w:after="120" w:line="240" w:lineRule="auto"/>
      <w:ind w:left="1844" w:hanging="1418"/>
      <w:jc w:val="both"/>
    </w:pPr>
    <w:rPr>
      <w:rFonts w:ascii="Times New Roman" w:eastAsia="Times New Roman" w:hAnsi="Times New Roman" w:cs="Times New Roman"/>
      <w:b/>
      <w:sz w:val="24"/>
      <w:szCs w:val="24"/>
      <w:lang w:eastAsia="en-US"/>
    </w:rPr>
  </w:style>
  <w:style w:type="paragraph" w:customStyle="1" w:styleId="Title2">
    <w:name w:val="Title 2"/>
    <w:basedOn w:val="Title1"/>
    <w:qFormat/>
    <w:rsid w:val="00E9350D"/>
    <w:pPr>
      <w:pageBreakBefore w:val="0"/>
      <w:numPr>
        <w:ilvl w:val="1"/>
      </w:numPr>
      <w:tabs>
        <w:tab w:val="num" w:pos="1701"/>
      </w:tabs>
      <w:ind w:left="1701" w:hanging="1701"/>
    </w:pPr>
    <w:rPr>
      <w:lang w:val="en-US"/>
    </w:rPr>
  </w:style>
  <w:style w:type="paragraph" w:customStyle="1" w:styleId="Point3">
    <w:name w:val="Point 3"/>
    <w:basedOn w:val="a"/>
    <w:qFormat/>
    <w:rsid w:val="00E9350D"/>
    <w:pPr>
      <w:numPr>
        <w:ilvl w:val="5"/>
        <w:numId w:val="13"/>
      </w:numPr>
      <w:spacing w:after="0" w:line="240" w:lineRule="auto"/>
      <w:jc w:val="both"/>
    </w:pPr>
    <w:rPr>
      <w:rFonts w:ascii="Times New Roman" w:eastAsia="Times New Roman" w:hAnsi="Times New Roman" w:cs="Arial"/>
      <w:sz w:val="24"/>
      <w:szCs w:val="20"/>
      <w:lang w:eastAsia="en-US"/>
    </w:rPr>
  </w:style>
  <w:style w:type="character" w:customStyle="1" w:styleId="cfs1">
    <w:name w:val="cfs1"/>
    <w:basedOn w:val="a0"/>
    <w:rsid w:val="00E9350D"/>
  </w:style>
  <w:style w:type="paragraph" w:styleId="aff2">
    <w:name w:val="No Spacing"/>
    <w:uiPriority w:val="1"/>
    <w:qFormat/>
    <w:rsid w:val="00E9350D"/>
    <w:pPr>
      <w:spacing w:after="0" w:line="240" w:lineRule="auto"/>
    </w:pPr>
    <w:rPr>
      <w:rFonts w:ascii="Calibri" w:eastAsia="Calibri" w:hAnsi="Calibri" w:cs="Times New Roman"/>
      <w:lang w:eastAsia="en-US"/>
    </w:rPr>
  </w:style>
  <w:style w:type="paragraph" w:customStyle="1" w:styleId="Iauiue">
    <w:name w:val="Iau?iue"/>
    <w:uiPriority w:val="99"/>
    <w:rsid w:val="00E9350D"/>
    <w:pPr>
      <w:spacing w:after="0" w:line="240" w:lineRule="auto"/>
    </w:pPr>
    <w:rPr>
      <w:rFonts w:ascii="Times New Roman" w:eastAsia="Times New Roman" w:hAnsi="Times New Roman" w:cs="Times New Roman"/>
      <w:sz w:val="20"/>
      <w:szCs w:val="20"/>
    </w:rPr>
  </w:style>
  <w:style w:type="paragraph" w:customStyle="1" w:styleId="Default">
    <w:name w:val="Default"/>
    <w:rsid w:val="00E227DC"/>
    <w:pPr>
      <w:autoSpaceDE w:val="0"/>
      <w:autoSpaceDN w:val="0"/>
      <w:adjustRightInd w:val="0"/>
      <w:spacing w:after="0" w:line="240" w:lineRule="auto"/>
    </w:pPr>
    <w:rPr>
      <w:rFonts w:ascii="Times New Roman" w:hAnsi="Times New Roman" w:cs="Times New Roman"/>
      <w:color w:val="000000"/>
      <w:sz w:val="24"/>
      <w:szCs w:val="24"/>
    </w:rPr>
  </w:style>
  <w:style w:type="table" w:styleId="aff3">
    <w:name w:val="Table Grid"/>
    <w:basedOn w:val="a1"/>
    <w:rsid w:val="00F52803"/>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352">
      <w:bodyDiv w:val="1"/>
      <w:marLeft w:val="0"/>
      <w:marRight w:val="0"/>
      <w:marTop w:val="0"/>
      <w:marBottom w:val="0"/>
      <w:divBdr>
        <w:top w:val="none" w:sz="0" w:space="0" w:color="auto"/>
        <w:left w:val="none" w:sz="0" w:space="0" w:color="auto"/>
        <w:bottom w:val="none" w:sz="0" w:space="0" w:color="auto"/>
        <w:right w:val="none" w:sz="0" w:space="0" w:color="auto"/>
      </w:divBdr>
    </w:div>
    <w:div w:id="485980380">
      <w:bodyDiv w:val="1"/>
      <w:marLeft w:val="0"/>
      <w:marRight w:val="0"/>
      <w:marTop w:val="0"/>
      <w:marBottom w:val="0"/>
      <w:divBdr>
        <w:top w:val="none" w:sz="0" w:space="0" w:color="auto"/>
        <w:left w:val="none" w:sz="0" w:space="0" w:color="auto"/>
        <w:bottom w:val="none" w:sz="0" w:space="0" w:color="auto"/>
        <w:right w:val="none" w:sz="0" w:space="0" w:color="auto"/>
      </w:divBdr>
    </w:div>
    <w:div w:id="611985494">
      <w:bodyDiv w:val="1"/>
      <w:marLeft w:val="0"/>
      <w:marRight w:val="0"/>
      <w:marTop w:val="0"/>
      <w:marBottom w:val="0"/>
      <w:divBdr>
        <w:top w:val="none" w:sz="0" w:space="0" w:color="auto"/>
        <w:left w:val="none" w:sz="0" w:space="0" w:color="auto"/>
        <w:bottom w:val="none" w:sz="0" w:space="0" w:color="auto"/>
        <w:right w:val="none" w:sz="0" w:space="0" w:color="auto"/>
      </w:divBdr>
    </w:div>
    <w:div w:id="755396156">
      <w:bodyDiv w:val="1"/>
      <w:marLeft w:val="0"/>
      <w:marRight w:val="0"/>
      <w:marTop w:val="0"/>
      <w:marBottom w:val="0"/>
      <w:divBdr>
        <w:top w:val="none" w:sz="0" w:space="0" w:color="auto"/>
        <w:left w:val="none" w:sz="0" w:space="0" w:color="auto"/>
        <w:bottom w:val="none" w:sz="0" w:space="0" w:color="auto"/>
        <w:right w:val="none" w:sz="0" w:space="0" w:color="auto"/>
      </w:divBdr>
    </w:div>
    <w:div w:id="1583644024">
      <w:bodyDiv w:val="1"/>
      <w:marLeft w:val="0"/>
      <w:marRight w:val="0"/>
      <w:marTop w:val="0"/>
      <w:marBottom w:val="0"/>
      <w:divBdr>
        <w:top w:val="none" w:sz="0" w:space="0" w:color="auto"/>
        <w:left w:val="none" w:sz="0" w:space="0" w:color="auto"/>
        <w:bottom w:val="none" w:sz="0" w:space="0" w:color="auto"/>
        <w:right w:val="none" w:sz="0" w:space="0" w:color="auto"/>
      </w:divBdr>
    </w:div>
    <w:div w:id="2014991611">
      <w:bodyDiv w:val="1"/>
      <w:marLeft w:val="0"/>
      <w:marRight w:val="0"/>
      <w:marTop w:val="0"/>
      <w:marBottom w:val="0"/>
      <w:divBdr>
        <w:top w:val="none" w:sz="0" w:space="0" w:color="auto"/>
        <w:left w:val="none" w:sz="0" w:space="0" w:color="auto"/>
        <w:bottom w:val="none" w:sz="0" w:space="0" w:color="auto"/>
        <w:right w:val="none" w:sz="0" w:space="0" w:color="auto"/>
      </w:divBdr>
      <w:divsChild>
        <w:div w:id="723721871">
          <w:marLeft w:val="446"/>
          <w:marRight w:val="0"/>
          <w:marTop w:val="120"/>
          <w:marBottom w:val="0"/>
          <w:divBdr>
            <w:top w:val="none" w:sz="0" w:space="0" w:color="auto"/>
            <w:left w:val="none" w:sz="0" w:space="0" w:color="auto"/>
            <w:bottom w:val="none" w:sz="0" w:space="0" w:color="auto"/>
            <w:right w:val="none" w:sz="0" w:space="0" w:color="auto"/>
          </w:divBdr>
        </w:div>
        <w:div w:id="1505632331">
          <w:marLeft w:val="446"/>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1AB5-414B-4438-9C5B-503AEC2B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1744</Words>
  <Characters>9942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Рафикова Асия Равилевна</dc:creator>
  <cp:lastModifiedBy>.</cp:lastModifiedBy>
  <cp:revision>5</cp:revision>
  <cp:lastPrinted>2015-07-15T15:05:00Z</cp:lastPrinted>
  <dcterms:created xsi:type="dcterms:W3CDTF">2018-11-19T09:40:00Z</dcterms:created>
  <dcterms:modified xsi:type="dcterms:W3CDTF">2018-11-27T15:18:00Z</dcterms:modified>
</cp:coreProperties>
</file>