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2" w:rsidRPr="009876DB" w:rsidRDefault="00672EC2" w:rsidP="00672EC2">
      <w:pPr>
        <w:pStyle w:val="Default"/>
        <w:ind w:left="4678"/>
        <w:rPr>
          <w:sz w:val="22"/>
          <w:szCs w:val="22"/>
        </w:rPr>
      </w:pPr>
      <w:r w:rsidRPr="009876DB">
        <w:rPr>
          <w:b/>
          <w:bCs/>
          <w:sz w:val="22"/>
          <w:szCs w:val="22"/>
        </w:rPr>
        <w:t>Утверждены</w:t>
      </w:r>
    </w:p>
    <w:p w:rsidR="00672EC2" w:rsidRPr="009876DB" w:rsidRDefault="00672EC2" w:rsidP="00672EC2">
      <w:pPr>
        <w:widowControl w:val="0"/>
        <w:tabs>
          <w:tab w:val="left" w:pos="720"/>
        </w:tabs>
        <w:spacing w:after="120" w:line="240" w:lineRule="auto"/>
        <w:ind w:left="4678"/>
        <w:jc w:val="both"/>
        <w:rPr>
          <w:rFonts w:ascii="Times New Roman" w:eastAsia="Arial" w:hAnsi="Times New Roman" w:cs="Times New Roman"/>
          <w:b/>
        </w:rPr>
      </w:pPr>
      <w:r w:rsidRPr="009876DB">
        <w:rPr>
          <w:rFonts w:ascii="Times New Roman" w:hAnsi="Times New Roman" w:cs="Times New Roman"/>
          <w:b/>
          <w:bCs/>
        </w:rPr>
        <w:t xml:space="preserve">Наблюдательным советом </w:t>
      </w:r>
      <w:r>
        <w:rPr>
          <w:rFonts w:ascii="Times New Roman" w:hAnsi="Times New Roman" w:cs="Times New Roman"/>
          <w:b/>
          <w:bCs/>
        </w:rPr>
        <w:t>П</w:t>
      </w:r>
      <w:r w:rsidRPr="009876DB">
        <w:rPr>
          <w:rFonts w:ascii="Times New Roman" w:hAnsi="Times New Roman" w:cs="Times New Roman"/>
          <w:b/>
          <w:bCs/>
        </w:rPr>
        <w:t xml:space="preserve">АО Московская Биржа </w:t>
      </w:r>
      <w:r w:rsidR="00206343">
        <w:rPr>
          <w:rFonts w:ascii="Times New Roman" w:hAnsi="Times New Roman" w:cs="Times New Roman"/>
          <w:b/>
          <w:bCs/>
        </w:rPr>
        <w:t>09 сентября</w:t>
      </w:r>
      <w:r w:rsidR="00206343" w:rsidRPr="00206343">
        <w:rPr>
          <w:rFonts w:ascii="Times New Roman" w:hAnsi="Times New Roman" w:cs="Times New Roman"/>
          <w:b/>
          <w:bCs/>
        </w:rPr>
        <w:t xml:space="preserve"> 2016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9876DB">
        <w:rPr>
          <w:rFonts w:ascii="Times New Roman" w:hAnsi="Times New Roman" w:cs="Times New Roman"/>
          <w:b/>
          <w:bCs/>
        </w:rPr>
        <w:t>г. (Протокол №</w:t>
      </w:r>
      <w:r w:rsidR="00206343">
        <w:rPr>
          <w:rFonts w:ascii="Times New Roman" w:hAnsi="Times New Roman" w:cs="Times New Roman"/>
          <w:b/>
          <w:bCs/>
          <w:lang w:val="en-US"/>
        </w:rPr>
        <w:t>6</w:t>
      </w:r>
      <w:bookmarkStart w:id="0" w:name="_GoBack"/>
      <w:bookmarkEnd w:id="0"/>
      <w:r w:rsidRPr="009876DB">
        <w:rPr>
          <w:rFonts w:ascii="Times New Roman" w:hAnsi="Times New Roman" w:cs="Times New Roman"/>
          <w:b/>
          <w:bCs/>
        </w:rPr>
        <w:t>)</w:t>
      </w:r>
    </w:p>
    <w:p w:rsidR="00672EC2" w:rsidRDefault="00672EC2" w:rsidP="00672EC2">
      <w:pPr>
        <w:pStyle w:val="Default"/>
        <w:ind w:left="5670"/>
        <w:rPr>
          <w:b/>
          <w:bCs/>
          <w:sz w:val="22"/>
          <w:szCs w:val="22"/>
        </w:rPr>
      </w:pPr>
    </w:p>
    <w:p w:rsidR="00672EC2" w:rsidRPr="00FE4812" w:rsidRDefault="00672EC2" w:rsidP="00672EC2">
      <w:pPr>
        <w:pStyle w:val="125"/>
        <w:tabs>
          <w:tab w:val="left" w:pos="1620"/>
        </w:tabs>
        <w:ind w:firstLine="0"/>
        <w:rPr>
          <w:rFonts w:ascii="Times New Roman" w:hAnsi="Times New Roman"/>
          <w:b/>
          <w:sz w:val="2"/>
          <w:szCs w:val="22"/>
        </w:rPr>
      </w:pPr>
    </w:p>
    <w:p w:rsidR="00672EC2" w:rsidRDefault="00672EC2" w:rsidP="00672EC2">
      <w:pPr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</w:rPr>
      </w:pPr>
    </w:p>
    <w:p w:rsidR="00672EC2" w:rsidRPr="00FE4812" w:rsidRDefault="00672EC2" w:rsidP="00672EC2">
      <w:pPr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</w:rPr>
      </w:pPr>
      <w:r w:rsidRPr="00FE4812">
        <w:rPr>
          <w:rFonts w:ascii="Times New Roman" w:eastAsia="Arial" w:hAnsi="Times New Roman" w:cs="Times New Roman"/>
          <w:b/>
        </w:rPr>
        <w:t xml:space="preserve">Тарифы ПАО Московская Биржа при совершении сделок с драгоценными металлами </w:t>
      </w:r>
      <w:r w:rsidR="00407639">
        <w:rPr>
          <w:rFonts w:ascii="Times New Roman" w:eastAsia="Arial" w:hAnsi="Times New Roman" w:cs="Times New Roman"/>
          <w:b/>
        </w:rPr>
        <w:t xml:space="preserve">в новой редакции </w:t>
      </w:r>
      <w:r w:rsidRPr="00FE4812">
        <w:rPr>
          <w:rFonts w:ascii="Times New Roman" w:eastAsia="Arial" w:hAnsi="Times New Roman" w:cs="Times New Roman"/>
          <w:b/>
        </w:rPr>
        <w:t>(далее – Тарифы)</w:t>
      </w:r>
    </w:p>
    <w:p w:rsidR="00672EC2" w:rsidRPr="00FE4812" w:rsidRDefault="00672EC2" w:rsidP="00672EC2">
      <w:pPr>
        <w:numPr>
          <w:ilvl w:val="0"/>
          <w:numId w:val="48"/>
        </w:numPr>
        <w:tabs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с</w:t>
      </w:r>
      <w:r w:rsidRPr="00FE4812" w:rsidDel="00E34DE8">
        <w:rPr>
          <w:rFonts w:ascii="Times New Roman" w:hAnsi="Times New Roman" w:cs="Times New Roman"/>
          <w:bCs/>
        </w:rPr>
        <w:t xml:space="preserve"> </w:t>
      </w:r>
      <w:r w:rsidRPr="00FE4812">
        <w:rPr>
          <w:rFonts w:ascii="Times New Roman" w:hAnsi="Times New Roman" w:cs="Times New Roman"/>
          <w:bCs/>
        </w:rPr>
        <w:t>драгоценными металлами на организованных торгах: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 xml:space="preserve">При </w:t>
      </w:r>
      <w:r w:rsidRPr="00FE4812">
        <w:rPr>
          <w:rFonts w:ascii="Times New Roman" w:hAnsi="Times New Roman" w:cs="Times New Roman"/>
        </w:rPr>
        <w:t xml:space="preserve">заключении сделок спот </w:t>
      </w:r>
      <w:r w:rsidRPr="00FE4812">
        <w:rPr>
          <w:rFonts w:ascii="Times New Roman" w:hAnsi="Times New Roman" w:cs="Times New Roman"/>
          <w:bCs/>
        </w:rPr>
        <w:t>оборотная часть комиссионного вознаграждения устанавливается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674"/>
      </w:tblGrid>
      <w:tr w:rsidR="00672EC2" w:rsidRPr="00FE4812" w:rsidTr="00DA3760">
        <w:tc>
          <w:tcPr>
            <w:tcW w:w="4890" w:type="dxa"/>
            <w:vAlign w:val="center"/>
          </w:tcPr>
          <w:p w:rsidR="00672EC2" w:rsidRPr="00FE4812" w:rsidRDefault="00672EC2" w:rsidP="00DA3760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812">
              <w:rPr>
                <w:rFonts w:ascii="Times New Roman" w:hAnsi="Times New Roman" w:cs="Times New Roman"/>
                <w:b/>
              </w:rPr>
              <w:t>Вид вознаграждения</w:t>
            </w:r>
          </w:p>
        </w:tc>
        <w:tc>
          <w:tcPr>
            <w:tcW w:w="5007" w:type="dxa"/>
            <w:vAlign w:val="center"/>
          </w:tcPr>
          <w:p w:rsidR="00672EC2" w:rsidRPr="00FE4812" w:rsidRDefault="00672EC2" w:rsidP="00DA3760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812">
              <w:rPr>
                <w:rFonts w:ascii="Times New Roman" w:hAnsi="Times New Roman" w:cs="Times New Roman"/>
                <w:b/>
                <w:bCs/>
              </w:rPr>
              <w:t>Оборотная часть (размер комиссионного вознаграждения, взимаемого от объема каждой сделки спот в сопряженной валюте</w:t>
            </w:r>
            <w:r w:rsidRPr="00FE4812" w:rsidDel="00D03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812">
              <w:rPr>
                <w:rFonts w:ascii="Times New Roman" w:hAnsi="Times New Roman" w:cs="Times New Roman"/>
                <w:b/>
                <w:bCs/>
              </w:rPr>
              <w:t>(%))</w:t>
            </w:r>
          </w:p>
        </w:tc>
      </w:tr>
      <w:tr w:rsidR="00672EC2" w:rsidRPr="00FE4812" w:rsidTr="00DA3760">
        <w:tc>
          <w:tcPr>
            <w:tcW w:w="4890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bCs/>
                <w:color w:val="000000"/>
                <w:kern w:val="24"/>
                <w:sz w:val="22"/>
                <w:szCs w:val="22"/>
              </w:rPr>
              <w:t>Комиссионное вознаграждение за организацию торгов</w:t>
            </w:r>
          </w:p>
        </w:tc>
        <w:tc>
          <w:tcPr>
            <w:tcW w:w="5007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0,006375%</w:t>
            </w:r>
          </w:p>
        </w:tc>
      </w:tr>
    </w:tbl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сделок своп и своп контрактов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своп/своп контрактов: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218"/>
        <w:gridCol w:w="1129"/>
        <w:gridCol w:w="2278"/>
        <w:gridCol w:w="2257"/>
      </w:tblGrid>
      <w:tr w:rsidR="00672EC2" w:rsidRPr="00FE4812" w:rsidTr="00DA3760">
        <w:tc>
          <w:tcPr>
            <w:tcW w:w="2472" w:type="dxa"/>
            <w:vMerge w:val="restart"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7432" w:type="dxa"/>
            <w:gridSpan w:val="4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672EC2" w:rsidRPr="00FE4812" w:rsidTr="00DA3760">
        <w:trPr>
          <w:trHeight w:val="691"/>
        </w:trPr>
        <w:tc>
          <w:tcPr>
            <w:tcW w:w="2472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По сделкам своп</w:t>
            </w:r>
          </w:p>
        </w:tc>
        <w:tc>
          <w:tcPr>
            <w:tcW w:w="6171" w:type="dxa"/>
            <w:gridSpan w:val="3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FE4812">
              <w:rPr>
                <w:bCs/>
                <w:kern w:val="24"/>
                <w:sz w:val="22"/>
                <w:szCs w:val="22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672EC2" w:rsidRPr="00FE4812" w:rsidTr="00DA3760">
        <w:trPr>
          <w:trHeight w:val="178"/>
        </w:trPr>
        <w:tc>
          <w:tcPr>
            <w:tcW w:w="2472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2470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1 месяц</w:t>
            </w:r>
          </w:p>
        </w:tc>
        <w:tc>
          <w:tcPr>
            <w:tcW w:w="2469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6 месяцев</w:t>
            </w:r>
          </w:p>
        </w:tc>
      </w:tr>
      <w:tr w:rsidR="00672EC2" w:rsidRPr="00FE4812" w:rsidTr="00DA3760">
        <w:tc>
          <w:tcPr>
            <w:tcW w:w="2472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Комиссионное вознаграждение за организацию торгов</w:t>
            </w:r>
          </w:p>
        </w:tc>
        <w:tc>
          <w:tcPr>
            <w:tcW w:w="2493" w:type="dxa"/>
            <w:gridSpan w:val="2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21250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470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85000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469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21250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Оборотная часть комиссионного вознаграждения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поставочных фьючерсных контрактов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276"/>
        <w:gridCol w:w="1276"/>
        <w:gridCol w:w="1417"/>
        <w:gridCol w:w="1276"/>
        <w:gridCol w:w="1418"/>
      </w:tblGrid>
      <w:tr w:rsidR="00672EC2" w:rsidRPr="00F71019" w:rsidTr="00F71019">
        <w:trPr>
          <w:trHeight w:val="737"/>
        </w:trPr>
        <w:tc>
          <w:tcPr>
            <w:tcW w:w="1702" w:type="dxa"/>
            <w:vMerge w:val="restart"/>
            <w:vAlign w:val="center"/>
          </w:tcPr>
          <w:p w:rsidR="00672EC2" w:rsidRPr="00F71019" w:rsidRDefault="00672EC2" w:rsidP="00DA3760">
            <w:pPr>
              <w:pStyle w:val="af6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sz w:val="20"/>
                <w:szCs w:val="20"/>
              </w:rPr>
              <w:t>Вид вознаграждения</w:t>
            </w:r>
          </w:p>
        </w:tc>
        <w:tc>
          <w:tcPr>
            <w:tcW w:w="7938" w:type="dxa"/>
            <w:gridSpan w:val="6"/>
            <w:vAlign w:val="center"/>
          </w:tcPr>
          <w:p w:rsidR="00672EC2" w:rsidRPr="00F71019" w:rsidRDefault="00672EC2" w:rsidP="00DA3760">
            <w:pPr>
              <w:pStyle w:val="af6"/>
              <w:spacing w:before="120" w:after="120" w:line="276" w:lineRule="auto"/>
              <w:ind w:left="115" w:right="115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>Оборотная часть (размер комиссионного вознаграждения, взимаемого от объема каждой сделки в сопряженной валюте (%))</w:t>
            </w:r>
          </w:p>
        </w:tc>
      </w:tr>
      <w:tr w:rsidR="00672EC2" w:rsidRPr="00F71019" w:rsidTr="00F71019">
        <w:trPr>
          <w:trHeight w:val="737"/>
        </w:trPr>
        <w:tc>
          <w:tcPr>
            <w:tcW w:w="1702" w:type="dxa"/>
            <w:vMerge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>Срок исполнения обязательств по поставочным фьючерсам:</w:t>
            </w:r>
          </w:p>
        </w:tc>
      </w:tr>
      <w:tr w:rsidR="00672EC2" w:rsidRPr="00F71019" w:rsidTr="00F71019">
        <w:trPr>
          <w:trHeight w:val="737"/>
        </w:trPr>
        <w:tc>
          <w:tcPr>
            <w:tcW w:w="1702" w:type="dxa"/>
            <w:vMerge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2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 –</w:t>
            </w:r>
            <w:r w:rsidRPr="00F71019">
              <w:rPr>
                <w:b/>
                <w:bCs/>
                <w:kern w:val="24"/>
                <w:sz w:val="20"/>
                <w:szCs w:val="20"/>
              </w:rPr>
              <w:br/>
              <w:t xml:space="preserve">6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</w:t>
            </w:r>
            <w:r w:rsidRPr="00F7101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F71019">
              <w:rPr>
                <w:b/>
                <w:bCs/>
                <w:kern w:val="24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7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 –</w:t>
            </w:r>
            <w:r w:rsidRPr="00F71019">
              <w:rPr>
                <w:b/>
                <w:bCs/>
                <w:kern w:val="24"/>
                <w:sz w:val="20"/>
                <w:szCs w:val="20"/>
              </w:rPr>
              <w:br/>
              <w:t xml:space="preserve">29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30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 –89 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90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 –179 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180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. –269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270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 xml:space="preserve">. –364 </w:t>
            </w:r>
            <w:proofErr w:type="spellStart"/>
            <w:r w:rsidRPr="00F71019">
              <w:rPr>
                <w:b/>
                <w:bCs/>
                <w:kern w:val="24"/>
                <w:sz w:val="20"/>
                <w:szCs w:val="20"/>
              </w:rPr>
              <w:t>дн</w:t>
            </w:r>
            <w:proofErr w:type="spellEnd"/>
            <w:r w:rsidRPr="00F71019">
              <w:rPr>
                <w:b/>
                <w:bCs/>
                <w:kern w:val="24"/>
                <w:sz w:val="20"/>
                <w:szCs w:val="20"/>
              </w:rPr>
              <w:t>.</w:t>
            </w:r>
          </w:p>
        </w:tc>
      </w:tr>
      <w:tr w:rsidR="00672EC2" w:rsidRPr="00F71019" w:rsidTr="00F71019">
        <w:trPr>
          <w:trHeight w:val="282"/>
        </w:trPr>
        <w:tc>
          <w:tcPr>
            <w:tcW w:w="1702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Комиссионное вознаграждение за организацию торгов</w:t>
            </w:r>
          </w:p>
        </w:tc>
        <w:tc>
          <w:tcPr>
            <w:tcW w:w="1275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0,0021250%</w:t>
            </w:r>
          </w:p>
        </w:tc>
        <w:tc>
          <w:tcPr>
            <w:tcW w:w="1276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0,0042</w:t>
            </w:r>
            <w:r w:rsidRPr="00F71019">
              <w:rPr>
                <w:kern w:val="24"/>
                <w:sz w:val="20"/>
                <w:szCs w:val="20"/>
                <w:lang w:val="en-US"/>
              </w:rPr>
              <w:t>500</w:t>
            </w:r>
            <w:r w:rsidRPr="00F71019">
              <w:rPr>
                <w:kern w:val="24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0,00</w:t>
            </w:r>
            <w:r w:rsidRPr="00F71019">
              <w:rPr>
                <w:kern w:val="24"/>
                <w:sz w:val="20"/>
                <w:szCs w:val="20"/>
                <w:lang w:val="en-US"/>
              </w:rPr>
              <w:t>85000</w:t>
            </w:r>
            <w:r w:rsidRPr="00F71019">
              <w:rPr>
                <w:kern w:val="24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0,0</w:t>
            </w:r>
            <w:r w:rsidRPr="00F71019">
              <w:rPr>
                <w:kern w:val="24"/>
                <w:sz w:val="20"/>
                <w:szCs w:val="20"/>
                <w:lang w:val="en-US"/>
              </w:rPr>
              <w:t>127500</w:t>
            </w:r>
            <w:r w:rsidRPr="00F71019">
              <w:rPr>
                <w:kern w:val="24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0,0</w:t>
            </w:r>
            <w:r w:rsidRPr="00F71019">
              <w:rPr>
                <w:kern w:val="24"/>
                <w:sz w:val="20"/>
                <w:szCs w:val="20"/>
                <w:lang w:val="en-US"/>
              </w:rPr>
              <w:t>212500</w:t>
            </w:r>
            <w:r w:rsidRPr="00F71019">
              <w:rPr>
                <w:kern w:val="24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72EC2" w:rsidRPr="00F71019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0"/>
                <w:szCs w:val="20"/>
              </w:rPr>
            </w:pPr>
            <w:r w:rsidRPr="00F71019">
              <w:rPr>
                <w:kern w:val="24"/>
                <w:sz w:val="20"/>
                <w:szCs w:val="20"/>
              </w:rPr>
              <w:t>0,031875</w:t>
            </w:r>
            <w:r w:rsidRPr="00F71019">
              <w:rPr>
                <w:kern w:val="24"/>
                <w:sz w:val="20"/>
                <w:szCs w:val="20"/>
                <w:lang w:val="en-US"/>
              </w:rPr>
              <w:t>0</w:t>
            </w:r>
            <w:r w:rsidRPr="00F71019">
              <w:rPr>
                <w:kern w:val="24"/>
                <w:sz w:val="20"/>
                <w:szCs w:val="20"/>
              </w:rPr>
              <w:t>%</w:t>
            </w:r>
          </w:p>
        </w:tc>
      </w:tr>
    </w:tbl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Участником торгов сделок с драгоценными металлами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0,42 российского рубля за одну сделку.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Комиссионное вознаграждение за организацию торгов при заключении Участником торгов сделок с драгоценными металлами уплачивается Участником торгов в соответствии с правилами торгов, регламентирующими порядок заключения сделок с драгоценными металлами на организованных торгах ПАО Московская Биржа (далее – Правила торгов),</w:t>
      </w:r>
      <w:r w:rsidRPr="00FE4812" w:rsidDel="0074472E">
        <w:rPr>
          <w:rFonts w:ascii="Times New Roman" w:hAnsi="Times New Roman" w:cs="Times New Roman"/>
          <w:bCs/>
        </w:rPr>
        <w:t xml:space="preserve"> </w:t>
      </w:r>
      <w:r w:rsidRPr="00FE4812">
        <w:rPr>
          <w:rFonts w:ascii="Times New Roman" w:hAnsi="Times New Roman" w:cs="Times New Roman"/>
          <w:bCs/>
        </w:rPr>
        <w:t>в российских рублях в следующем порядке:</w:t>
      </w:r>
    </w:p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/>
        <w:ind w:left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1.5.1.</w:t>
      </w:r>
      <w:r w:rsidRPr="00FE4812">
        <w:rPr>
          <w:rFonts w:ascii="Times New Roman" w:hAnsi="Times New Roman" w:cs="Times New Roman"/>
          <w:bCs/>
        </w:rPr>
        <w:tab/>
        <w:t>оборотная часть вознаграждения в размере, установленном в подпунктах 1.1, 1.2 и 1.3 пункта 1 настоящих Тарифов, и комиссионное вознаграждение, взимаемое из расчета минимальной ставки комиссионного вознаграждения, установленной подпунктом 1.4 пункта 1 настоящих Тарифов, в день заключения сделки удерживается Банком НКЦ (АО) с расчетного кода соответствующего Участника клиринга и перечисляется ПАО Московская Биржа.</w:t>
      </w:r>
    </w:p>
    <w:p w:rsidR="00672EC2" w:rsidRPr="00FE4812" w:rsidRDefault="00672EC2" w:rsidP="00672EC2">
      <w:pPr>
        <w:numPr>
          <w:ilvl w:val="0"/>
          <w:numId w:val="48"/>
        </w:numPr>
        <w:tabs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Размер, порядок расчета и сроки уплаты вознаграждения ПАО Московская Биржа за предоставление интегрированного технологического сервиса (далее – ИТС) при заключении Участником торгов – пользователем ПТК ТЦ сделок с драгоценными металлами на организованных торгах: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сделок спот оборотная часть вознаграждения за предоставление ИТС устанавливаются в следующем размере:</w:t>
      </w:r>
    </w:p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671"/>
      </w:tblGrid>
      <w:tr w:rsidR="00672EC2" w:rsidRPr="00FE4812" w:rsidTr="00DA3760">
        <w:tc>
          <w:tcPr>
            <w:tcW w:w="4890" w:type="dxa"/>
            <w:vAlign w:val="center"/>
          </w:tcPr>
          <w:p w:rsidR="00672EC2" w:rsidRPr="00FE4812" w:rsidRDefault="00672EC2" w:rsidP="00DA3760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812">
              <w:rPr>
                <w:rFonts w:ascii="Times New Roman" w:hAnsi="Times New Roman" w:cs="Times New Roman"/>
                <w:b/>
              </w:rPr>
              <w:t>Вид вознаграждения</w:t>
            </w:r>
          </w:p>
        </w:tc>
        <w:tc>
          <w:tcPr>
            <w:tcW w:w="5007" w:type="dxa"/>
            <w:vAlign w:val="center"/>
          </w:tcPr>
          <w:p w:rsidR="00672EC2" w:rsidRPr="00FE4812" w:rsidRDefault="00672EC2" w:rsidP="00DA3760">
            <w:pPr>
              <w:pStyle w:val="NoSpacing1"/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 xml:space="preserve">Оборотная часть </w:t>
            </w:r>
            <w:r w:rsidRPr="00FE4812">
              <w:rPr>
                <w:rFonts w:ascii="Times New Roman" w:hAnsi="Times New Roman"/>
                <w:b/>
                <w:lang w:val="ru-RU"/>
              </w:rPr>
              <w:t>(размер вознаграждения за предоставление ИТС, взимаемого от объема каждой сделки спот в сопряженной валюте (%))</w:t>
            </w:r>
          </w:p>
        </w:tc>
      </w:tr>
      <w:tr w:rsidR="00672EC2" w:rsidRPr="00FE4812" w:rsidTr="00DA3760">
        <w:tc>
          <w:tcPr>
            <w:tcW w:w="4890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Комиссионное вознаграждение за предоставление ИТС</w:t>
            </w:r>
          </w:p>
        </w:tc>
        <w:tc>
          <w:tcPr>
            <w:tcW w:w="5007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0,002250%</w:t>
            </w:r>
          </w:p>
        </w:tc>
      </w:tr>
    </w:tbl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сделок своп и своп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второй части сделок своп/своп контрактов: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52"/>
        <w:gridCol w:w="1139"/>
        <w:gridCol w:w="2274"/>
        <w:gridCol w:w="2266"/>
      </w:tblGrid>
      <w:tr w:rsidR="00672EC2" w:rsidRPr="00FE4812" w:rsidTr="00DA3760">
        <w:trPr>
          <w:trHeight w:val="400"/>
        </w:trPr>
        <w:tc>
          <w:tcPr>
            <w:tcW w:w="2127" w:type="dxa"/>
            <w:vMerge w:val="restart"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7336" w:type="dxa"/>
            <w:gridSpan w:val="4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вознаграждения за предоставление ИТС, взимаемого от объема каждой первой части сделки своп/своп контракта в сопряженной валюте (%))</w:t>
            </w:r>
          </w:p>
        </w:tc>
      </w:tr>
      <w:tr w:rsidR="00672EC2" w:rsidRPr="00FE4812" w:rsidTr="00DA3760">
        <w:trPr>
          <w:trHeight w:val="595"/>
        </w:trPr>
        <w:tc>
          <w:tcPr>
            <w:tcW w:w="2127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По сделкам своп</w:t>
            </w:r>
          </w:p>
        </w:tc>
        <w:tc>
          <w:tcPr>
            <w:tcW w:w="5853" w:type="dxa"/>
            <w:gridSpan w:val="3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FE4812">
              <w:rPr>
                <w:bCs/>
                <w:kern w:val="24"/>
                <w:sz w:val="22"/>
                <w:szCs w:val="22"/>
              </w:rPr>
              <w:t xml:space="preserve">По своп контрактам со сроками исполнения обязательств по второй части своп контракта, отстоящими от даты </w:t>
            </w:r>
            <w:r w:rsidRPr="00FE4812">
              <w:rPr>
                <w:bCs/>
                <w:kern w:val="24"/>
                <w:sz w:val="22"/>
                <w:szCs w:val="22"/>
              </w:rPr>
              <w:lastRenderedPageBreak/>
              <w:t>исполнения обязательств по первой части соответствующего своп контракта, на:</w:t>
            </w:r>
          </w:p>
        </w:tc>
      </w:tr>
      <w:tr w:rsidR="00672EC2" w:rsidRPr="00FE4812" w:rsidTr="00DA3760">
        <w:trPr>
          <w:trHeight w:val="82"/>
        </w:trPr>
        <w:tc>
          <w:tcPr>
            <w:tcW w:w="2127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2344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1 месяц</w:t>
            </w:r>
          </w:p>
        </w:tc>
        <w:tc>
          <w:tcPr>
            <w:tcW w:w="233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6 месяцев</w:t>
            </w:r>
          </w:p>
        </w:tc>
      </w:tr>
      <w:tr w:rsidR="00672EC2" w:rsidRPr="00FE4812" w:rsidTr="00DA3760">
        <w:tc>
          <w:tcPr>
            <w:tcW w:w="2127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Комиссионное вознаграждение за предоставление ИТС</w:t>
            </w:r>
          </w:p>
        </w:tc>
        <w:tc>
          <w:tcPr>
            <w:tcW w:w="2656" w:type="dxa"/>
            <w:gridSpan w:val="2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0,0000750%</w:t>
            </w:r>
          </w:p>
        </w:tc>
        <w:tc>
          <w:tcPr>
            <w:tcW w:w="2344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0,0003000%</w:t>
            </w:r>
          </w:p>
        </w:tc>
        <w:tc>
          <w:tcPr>
            <w:tcW w:w="233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0,0007500%</w:t>
            </w:r>
          </w:p>
        </w:tc>
      </w:tr>
    </w:tbl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</w:p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Оборотная часть вознаграждения за предоставление ИТС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поставочных фьючерсных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поставочному фьючерсу:</w:t>
      </w:r>
    </w:p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276"/>
        <w:gridCol w:w="1276"/>
        <w:gridCol w:w="1134"/>
      </w:tblGrid>
      <w:tr w:rsidR="00672EC2" w:rsidRPr="00FE4812" w:rsidTr="00DA3760">
        <w:trPr>
          <w:trHeight w:val="613"/>
        </w:trPr>
        <w:tc>
          <w:tcPr>
            <w:tcW w:w="2127" w:type="dxa"/>
            <w:vMerge w:val="restart"/>
            <w:vAlign w:val="center"/>
          </w:tcPr>
          <w:p w:rsidR="00672EC2" w:rsidRPr="00FE4812" w:rsidRDefault="00672EC2" w:rsidP="00DA3760">
            <w:pPr>
              <w:pStyle w:val="af6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7371" w:type="dxa"/>
            <w:gridSpan w:val="6"/>
            <w:vAlign w:val="center"/>
          </w:tcPr>
          <w:p w:rsidR="00672EC2" w:rsidRPr="00FE4812" w:rsidRDefault="00672EC2" w:rsidP="00DA3760">
            <w:pPr>
              <w:pStyle w:val="af6"/>
              <w:spacing w:before="120" w:after="120" w:line="276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вознаграждения за предоставление ИТС, взимаемого от объема каждой сделки в сопряженной валюте (%))</w:t>
            </w:r>
          </w:p>
        </w:tc>
      </w:tr>
      <w:tr w:rsidR="00672EC2" w:rsidRPr="00FE4812" w:rsidTr="00DA3760">
        <w:trPr>
          <w:trHeight w:val="551"/>
        </w:trPr>
        <w:tc>
          <w:tcPr>
            <w:tcW w:w="2127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Срок исполнения обязательств по поставочным фьючерсам:</w:t>
            </w:r>
          </w:p>
        </w:tc>
      </w:tr>
      <w:tr w:rsidR="00672EC2" w:rsidRPr="00FE4812" w:rsidTr="00DA3760">
        <w:trPr>
          <w:trHeight w:val="559"/>
        </w:trPr>
        <w:tc>
          <w:tcPr>
            <w:tcW w:w="2127" w:type="dxa"/>
            <w:vMerge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2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 –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br/>
              <w:t xml:space="preserve">6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</w:t>
            </w:r>
            <w:r w:rsidRPr="00FE481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FE4812">
              <w:rPr>
                <w:b/>
                <w:bCs/>
                <w:kern w:val="24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7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 –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br/>
              <w:t xml:space="preserve">29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30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 –89 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90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 –179 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180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. –269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270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 xml:space="preserve">. –364 </w:t>
            </w:r>
            <w:proofErr w:type="spellStart"/>
            <w:r w:rsidRPr="00FE4812">
              <w:rPr>
                <w:b/>
                <w:bCs/>
                <w:kern w:val="24"/>
                <w:sz w:val="22"/>
                <w:szCs w:val="22"/>
              </w:rPr>
              <w:t>дн</w:t>
            </w:r>
            <w:proofErr w:type="spellEnd"/>
            <w:r w:rsidRPr="00FE4812">
              <w:rPr>
                <w:b/>
                <w:bCs/>
                <w:kern w:val="24"/>
                <w:sz w:val="22"/>
                <w:szCs w:val="22"/>
              </w:rPr>
              <w:t>.</w:t>
            </w:r>
          </w:p>
        </w:tc>
      </w:tr>
      <w:tr w:rsidR="00672EC2" w:rsidRPr="00FE4812" w:rsidTr="00DA3760">
        <w:trPr>
          <w:trHeight w:val="597"/>
        </w:trPr>
        <w:tc>
          <w:tcPr>
            <w:tcW w:w="2127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kern w:val="24"/>
                <w:sz w:val="22"/>
                <w:szCs w:val="22"/>
              </w:rPr>
              <w:t>Комиссионное вознаграждение за предоставление ИТС</w:t>
            </w:r>
          </w:p>
        </w:tc>
        <w:tc>
          <w:tcPr>
            <w:tcW w:w="1134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075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5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150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300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450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6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0750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134" w:type="dxa"/>
            <w:vAlign w:val="center"/>
          </w:tcPr>
          <w:p w:rsidR="00672EC2" w:rsidRPr="00FE4812" w:rsidRDefault="00672EC2" w:rsidP="00DA3760">
            <w:pPr>
              <w:pStyle w:val="af6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0,011250%</w:t>
            </w:r>
          </w:p>
        </w:tc>
      </w:tr>
    </w:tbl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Участником торгов – пользователем ПТК ТЦ сделок с драгоценными металлами на организованных торгах устанавливается минимальная ставка оборотной части вознаграждения ПАО Московская Биржа за предоставление ИТС в размере 0,15 российских рублей за одну сделку.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Фиксированная часть вознаграждения за предоставление ИТС при заключении Участником торгов сделок с драгоценными металлами, за исключением Участников торгов, являющихся центральными (национальными) банками 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союза, составляет 5 000 российских рублей в месяц, которая рассчитывается ежемесячно</w:t>
      </w:r>
      <w:r w:rsidRPr="00FE4812">
        <w:rPr>
          <w:rFonts w:ascii="Times New Roman" w:hAnsi="Times New Roman" w:cs="Times New Roman"/>
        </w:rPr>
        <w:t xml:space="preserve"> взимается, по регистрационному коду</w:t>
      </w:r>
      <w:r w:rsidRPr="00FE4812">
        <w:rPr>
          <w:rFonts w:ascii="Times New Roman" w:hAnsi="Times New Roman" w:cs="Times New Roman"/>
          <w:bCs/>
        </w:rPr>
        <w:t xml:space="preserve"> и уплачивается Участником торгов при одновременном соблюдении следующих условий:</w:t>
      </w:r>
    </w:p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- в течение месяца Участником торгов было подано не менее одной заявки на заключение сделки с драгоценными металлами посредством системы передачи информации Рейтер/Блумберг;</w:t>
      </w:r>
    </w:p>
    <w:p w:rsidR="00672EC2" w:rsidRPr="00FE4812" w:rsidRDefault="00672EC2" w:rsidP="00672EC2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lastRenderedPageBreak/>
        <w:t>- фиксированная часть вознаграждения за предоставление ИТС при заключении Участником торгов сделок с иностранной валютой на организованных торгах, рассчитанная за данный месяц, равна нулю.</w:t>
      </w:r>
    </w:p>
    <w:p w:rsidR="00672EC2" w:rsidRPr="00FE4812" w:rsidRDefault="00672EC2" w:rsidP="00672EC2">
      <w:pPr>
        <w:numPr>
          <w:ilvl w:val="1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Вознаграждение за предоставление ИТС при совершении Участником торгов сделок с драгоценными металлами уплачивается Участником торгов в соответствии с Правилами торгов в российских рублях в следующем порядке:</w:t>
      </w:r>
    </w:p>
    <w:p w:rsidR="00672EC2" w:rsidRPr="00FE4812" w:rsidRDefault="00672EC2" w:rsidP="00672EC2">
      <w:pPr>
        <w:numPr>
          <w:ilvl w:val="2"/>
          <w:numId w:val="48"/>
        </w:numPr>
        <w:tabs>
          <w:tab w:val="left" w:pos="-1985"/>
          <w:tab w:val="left" w:pos="993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оборотная часть вознаграждения за предоставление ИТС, в размере, установленном в подпунктах 2.1, 2.2 и 2.3 пункта 2 настоящих Тарифов, и вознаграждение за предоставление ИТС, взимаемое из расчета минимальной ставки оборотной части вознаграждения за предоставление ИТС, установленной в подпункте 2.4 пункта 2 настоящих Тарифов, в день заключения сделки удерживается Банком НКЦ (АО) с расчетного кода соответствующего Участника клиринга и перечисляется ПАО Московская Биржа;</w:t>
      </w:r>
    </w:p>
    <w:p w:rsidR="00672EC2" w:rsidRPr="00FE4812" w:rsidRDefault="00672EC2" w:rsidP="00672EC2">
      <w:pPr>
        <w:numPr>
          <w:ilvl w:val="2"/>
          <w:numId w:val="48"/>
        </w:numPr>
        <w:tabs>
          <w:tab w:val="left" w:pos="-1985"/>
          <w:tab w:val="left" w:pos="993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 xml:space="preserve">фиксированная часть вознаграждения за предоставление ИТС, установленная в соответствии с подпунктом 2.5 пункта 2 настоящих Тарифов, удерживается Банком НКЦ (АО) с расчетного кода соответствующего Участника клиринга в первый </w:t>
      </w:r>
      <w:r w:rsidR="009F0C6B">
        <w:rPr>
          <w:rFonts w:ascii="Times New Roman" w:hAnsi="Times New Roman" w:cs="Times New Roman"/>
          <w:bCs/>
        </w:rPr>
        <w:t>расчетный</w:t>
      </w:r>
      <w:r w:rsidRPr="00FE4812">
        <w:rPr>
          <w:rFonts w:ascii="Times New Roman" w:hAnsi="Times New Roman" w:cs="Times New Roman"/>
          <w:bCs/>
        </w:rPr>
        <w:t xml:space="preserve"> день календарного месяца, следующего за месяцем фактического оказания услуг по предоставлению ИТС, и перечисляется ПАО Московская Биржа.</w:t>
      </w:r>
    </w:p>
    <w:p w:rsidR="00672EC2" w:rsidRPr="00FE4812" w:rsidRDefault="00672EC2" w:rsidP="00672EC2">
      <w:pPr>
        <w:numPr>
          <w:ilvl w:val="0"/>
          <w:numId w:val="4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 xml:space="preserve">Банк НКЦ (АО) в соответствии с Правилами клиринга удерживает все виды комиссионного вознаграждения, подлежащие уплате Участником торгов и перечисленные в пунктах 1 и 2 настоящих Тарифов, с расчетного кода Участника клиринга, </w:t>
      </w:r>
      <w:r w:rsidR="009F0C6B">
        <w:rPr>
          <w:rFonts w:ascii="Times New Roman" w:hAnsi="Times New Roman" w:cs="Times New Roman"/>
        </w:rPr>
        <w:t xml:space="preserve">соответствующего торгово-клиринговому счету, </w:t>
      </w:r>
      <w:r w:rsidRPr="00FE4812">
        <w:rPr>
          <w:rFonts w:ascii="Times New Roman" w:hAnsi="Times New Roman" w:cs="Times New Roman"/>
          <w:bCs/>
        </w:rPr>
        <w:t>указываемо</w:t>
      </w:r>
      <w:r w:rsidR="009F0C6B">
        <w:rPr>
          <w:rFonts w:ascii="Times New Roman" w:hAnsi="Times New Roman" w:cs="Times New Roman"/>
          <w:bCs/>
        </w:rPr>
        <w:t>му</w:t>
      </w:r>
      <w:r w:rsidRPr="00FE4812">
        <w:rPr>
          <w:rFonts w:ascii="Times New Roman" w:hAnsi="Times New Roman" w:cs="Times New Roman"/>
          <w:bCs/>
        </w:rPr>
        <w:t xml:space="preserve"> Участником торгов в заявк</w:t>
      </w:r>
      <w:r w:rsidR="009F0C6B">
        <w:rPr>
          <w:rFonts w:ascii="Times New Roman" w:hAnsi="Times New Roman" w:cs="Times New Roman"/>
          <w:bCs/>
        </w:rPr>
        <w:t>е</w:t>
      </w:r>
      <w:r w:rsidRPr="00FE4812">
        <w:rPr>
          <w:rFonts w:ascii="Times New Roman" w:hAnsi="Times New Roman" w:cs="Times New Roman"/>
          <w:bCs/>
        </w:rPr>
        <w:t xml:space="preserve"> на заключение сдел</w:t>
      </w:r>
      <w:r w:rsidR="009F0C6B">
        <w:rPr>
          <w:rFonts w:ascii="Times New Roman" w:hAnsi="Times New Roman" w:cs="Times New Roman"/>
          <w:bCs/>
        </w:rPr>
        <w:t>ки</w:t>
      </w:r>
      <w:r w:rsidRPr="00FE4812">
        <w:rPr>
          <w:rFonts w:ascii="Times New Roman" w:hAnsi="Times New Roman" w:cs="Times New Roman"/>
          <w:bCs/>
        </w:rPr>
        <w:t xml:space="preserve"> с драгоценными металлами.</w:t>
      </w:r>
    </w:p>
    <w:p w:rsidR="00672EC2" w:rsidRPr="00FE4812" w:rsidRDefault="00672EC2" w:rsidP="009F0C6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 xml:space="preserve">При этом фиксированная часть вознаграждения за предоставление ИТС, установленная подпунктом 2.5 пункта 2 настоящих Тарифов, в случае удержания ее с расчетного кода Участника клиринга, </w:t>
      </w:r>
      <w:r w:rsidR="009F0C6B">
        <w:rPr>
          <w:rFonts w:ascii="Times New Roman" w:hAnsi="Times New Roman" w:cs="Times New Roman"/>
        </w:rPr>
        <w:t xml:space="preserve">не совпадающего в одном лице с Участником торгов, подавшим заявку на заключение соответствующей сделки, </w:t>
      </w:r>
      <w:r w:rsidR="009F0C6B" w:rsidRPr="00FE4812">
        <w:rPr>
          <w:rFonts w:ascii="Times New Roman" w:hAnsi="Times New Roman" w:cs="Times New Roman"/>
        </w:rPr>
        <w:t xml:space="preserve">удерживаются Банк НКЦ (АО) с расчетного кода Участника клиринга, </w:t>
      </w:r>
      <w:r w:rsidR="009F0C6B">
        <w:rPr>
          <w:rFonts w:ascii="Times New Roman" w:hAnsi="Times New Roman" w:cs="Times New Roman"/>
        </w:rPr>
        <w:t>указанного Участником клиринга в Заявлении о выборе расчетного кода для списания комиссионных вознаграждений (в случае предоставления такого заявления) или по основному расчетному коду Участника клиринга</w:t>
      </w:r>
      <w:r w:rsidRPr="00FE4812">
        <w:rPr>
          <w:rFonts w:ascii="Times New Roman" w:hAnsi="Times New Roman" w:cs="Times New Roman"/>
          <w:bCs/>
        </w:rPr>
        <w:t>.</w:t>
      </w:r>
    </w:p>
    <w:p w:rsidR="00672EC2" w:rsidRPr="00FE4812" w:rsidRDefault="00672EC2" w:rsidP="00672EC2">
      <w:pPr>
        <w:numPr>
          <w:ilvl w:val="0"/>
          <w:numId w:val="4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 xml:space="preserve">Действие подпункта 2.6.2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</w:t>
      </w:r>
      <w:proofErr w:type="spellStart"/>
      <w:r w:rsidRPr="00FE4812">
        <w:rPr>
          <w:rFonts w:ascii="Times New Roman" w:hAnsi="Times New Roman" w:cs="Times New Roman"/>
          <w:bCs/>
        </w:rPr>
        <w:t>некредитные</w:t>
      </w:r>
      <w:proofErr w:type="spellEnd"/>
      <w:r w:rsidRPr="00FE4812">
        <w:rPr>
          <w:rFonts w:ascii="Times New Roman" w:hAnsi="Times New Roman" w:cs="Times New Roman"/>
          <w:bCs/>
        </w:rPr>
        <w:t xml:space="preserve"> организации в случае введения в отношении Участника торгов – </w:t>
      </w:r>
      <w:proofErr w:type="spellStart"/>
      <w:r w:rsidRPr="00FE4812">
        <w:rPr>
          <w:rFonts w:ascii="Times New Roman" w:hAnsi="Times New Roman" w:cs="Times New Roman"/>
          <w:bCs/>
        </w:rPr>
        <w:t>некредитной</w:t>
      </w:r>
      <w:proofErr w:type="spellEnd"/>
      <w:r w:rsidRPr="00FE4812">
        <w:rPr>
          <w:rFonts w:ascii="Times New Roman" w:hAnsi="Times New Roman" w:cs="Times New Roman"/>
          <w:bCs/>
        </w:rPr>
        <w:t xml:space="preserve"> организации одной из процедур банкротства в месяц, за который взимается вознаграждение, предусмотренное подпунктом 2.5 пункта 2 настоящих Тарифов.</w:t>
      </w:r>
    </w:p>
    <w:p w:rsidR="00672EC2" w:rsidRPr="00FE4812" w:rsidRDefault="00672EC2" w:rsidP="00672EC2">
      <w:pPr>
        <w:numPr>
          <w:ilvl w:val="0"/>
          <w:numId w:val="4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672EC2" w:rsidRPr="00FE4812" w:rsidRDefault="00672EC2" w:rsidP="00672EC2">
      <w:pPr>
        <w:pStyle w:val="Default"/>
      </w:pPr>
    </w:p>
    <w:p w:rsidR="007B7F88" w:rsidRPr="007B7F88" w:rsidRDefault="007B7F88" w:rsidP="007B7F88">
      <w:pPr>
        <w:spacing w:before="60" w:after="60"/>
        <w:ind w:firstLine="708"/>
        <w:jc w:val="both"/>
        <w:rPr>
          <w:rFonts w:ascii="Arial" w:eastAsia="Arial" w:hAnsi="Arial" w:cs="Arial"/>
        </w:rPr>
      </w:pPr>
    </w:p>
    <w:sectPr w:rsidR="007B7F88" w:rsidRPr="007B7F88" w:rsidSect="0078525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60" w:rsidRDefault="00DA3760" w:rsidP="00630839">
      <w:pPr>
        <w:spacing w:after="0" w:line="240" w:lineRule="auto"/>
      </w:pPr>
      <w:r>
        <w:separator/>
      </w:r>
    </w:p>
  </w:endnote>
  <w:endnote w:type="continuationSeparator" w:id="0">
    <w:p w:rsidR="00DA3760" w:rsidRDefault="00DA3760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44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A3760" w:rsidRPr="00E57C08" w:rsidRDefault="00DA3760">
        <w:pPr>
          <w:pStyle w:val="a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7C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7C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7C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634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57C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3760" w:rsidRPr="00227467" w:rsidRDefault="00DA3760">
    <w:pPr>
      <w:pStyle w:val="af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60" w:rsidRDefault="00DA3760" w:rsidP="00630839">
      <w:pPr>
        <w:spacing w:after="0" w:line="240" w:lineRule="auto"/>
      </w:pPr>
      <w:r>
        <w:separator/>
      </w:r>
    </w:p>
  </w:footnote>
  <w:footnote w:type="continuationSeparator" w:id="0">
    <w:p w:rsidR="00DA3760" w:rsidRDefault="00DA3760" w:rsidP="00630839">
      <w:pPr>
        <w:spacing w:after="0" w:line="240" w:lineRule="auto"/>
      </w:pPr>
      <w:r>
        <w:continuationSeparator/>
      </w:r>
    </w:p>
  </w:footnote>
  <w:footnote w:id="1">
    <w:p w:rsidR="00DA3760" w:rsidRPr="00E87174" w:rsidRDefault="00DA3760" w:rsidP="00672EC2">
      <w:pPr>
        <w:pStyle w:val="ab"/>
      </w:pPr>
      <w:r w:rsidRPr="00E87174">
        <w:rPr>
          <w:rStyle w:val="ad"/>
        </w:rPr>
        <w:footnoteRef/>
      </w:r>
      <w:r w:rsidRPr="00E87174">
        <w:t xml:space="preserve"> Здесь и далее в подпункте 1.3 пункта 1 настоящих Тарифов под «днями» понимаются календарные дни.</w:t>
      </w:r>
    </w:p>
  </w:footnote>
  <w:footnote w:id="2">
    <w:p w:rsidR="00DA3760" w:rsidRPr="00E87174" w:rsidRDefault="00DA3760" w:rsidP="00672EC2">
      <w:pPr>
        <w:pStyle w:val="ab"/>
      </w:pPr>
      <w:r w:rsidRPr="00E87174">
        <w:rPr>
          <w:rStyle w:val="ad"/>
        </w:rPr>
        <w:footnoteRef/>
      </w:r>
      <w:r w:rsidRPr="00E87174">
        <w:t xml:space="preserve"> Здесь и далее в подпункте 2.3 пункта 1 настоящих Тарифов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9811036"/>
    <w:multiLevelType w:val="hybridMultilevel"/>
    <w:tmpl w:val="6BB20882"/>
    <w:lvl w:ilvl="0" w:tplc="DA30E77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7CA"/>
    <w:multiLevelType w:val="multilevel"/>
    <w:tmpl w:val="389C2FFA"/>
    <w:lvl w:ilvl="0">
      <w:start w:val="1"/>
      <w:numFmt w:val="upperRoman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067D2"/>
    <w:multiLevelType w:val="hybridMultilevel"/>
    <w:tmpl w:val="48569BE6"/>
    <w:lvl w:ilvl="0" w:tplc="7DFA6B5C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5A06EDA"/>
    <w:multiLevelType w:val="hybridMultilevel"/>
    <w:tmpl w:val="408207A6"/>
    <w:lvl w:ilvl="0" w:tplc="2EBC3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A5129"/>
    <w:multiLevelType w:val="multilevel"/>
    <w:tmpl w:val="8CBC905A"/>
    <w:lvl w:ilvl="0">
      <w:start w:val="1"/>
      <w:numFmt w:val="upperRoman"/>
      <w:pStyle w:val="Title1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2"/>
        <w:szCs w:val="22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4EDB7CBC"/>
    <w:multiLevelType w:val="hybridMultilevel"/>
    <w:tmpl w:val="34227ED8"/>
    <w:lvl w:ilvl="0" w:tplc="A566C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85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C0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8E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AB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E6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E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C9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A74621C"/>
    <w:multiLevelType w:val="multilevel"/>
    <w:tmpl w:val="DCE4DBA6"/>
    <w:lvl w:ilvl="0">
      <w:start w:val="1"/>
      <w:numFmt w:val="upperRoman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  <w:b w:val="0"/>
        <w:sz w:val="24"/>
        <w:lang w:val="ru-RU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57C89"/>
    <w:multiLevelType w:val="hybridMultilevel"/>
    <w:tmpl w:val="C4C66824"/>
    <w:lvl w:ilvl="0" w:tplc="04FE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783145"/>
    <w:multiLevelType w:val="hybridMultilevel"/>
    <w:tmpl w:val="86B8C072"/>
    <w:lvl w:ilvl="0" w:tplc="2D962F9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6010B"/>
    <w:multiLevelType w:val="multilevel"/>
    <w:tmpl w:val="58D65DE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2" w15:restartNumberingAfterBreak="0">
    <w:nsid w:val="74DA26BD"/>
    <w:multiLevelType w:val="hybridMultilevel"/>
    <w:tmpl w:val="76203E20"/>
    <w:lvl w:ilvl="0" w:tplc="3322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123F20"/>
    <w:multiLevelType w:val="multilevel"/>
    <w:tmpl w:val="A63E27EC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23"/>
  </w:num>
  <w:num w:numId="15">
    <w:abstractNumId w:val="24"/>
  </w:num>
  <w:num w:numId="16">
    <w:abstractNumId w:val="19"/>
  </w:num>
  <w:num w:numId="17">
    <w:abstractNumId w:val="10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3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22"/>
  </w:num>
  <w:num w:numId="45">
    <w:abstractNumId w:val="20"/>
  </w:num>
  <w:num w:numId="46">
    <w:abstractNumId w:val="0"/>
  </w:num>
  <w:num w:numId="47">
    <w:abstractNumId w:val="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0315"/>
    <w:rsid w:val="00000C02"/>
    <w:rsid w:val="000010FE"/>
    <w:rsid w:val="00010C3F"/>
    <w:rsid w:val="00011432"/>
    <w:rsid w:val="000118FE"/>
    <w:rsid w:val="00013D76"/>
    <w:rsid w:val="00017915"/>
    <w:rsid w:val="0002124F"/>
    <w:rsid w:val="00022020"/>
    <w:rsid w:val="00024F42"/>
    <w:rsid w:val="00043EF7"/>
    <w:rsid w:val="000465FB"/>
    <w:rsid w:val="00047FEC"/>
    <w:rsid w:val="000621E8"/>
    <w:rsid w:val="0007420C"/>
    <w:rsid w:val="00075841"/>
    <w:rsid w:val="00077421"/>
    <w:rsid w:val="00081D69"/>
    <w:rsid w:val="00083D3F"/>
    <w:rsid w:val="00087FFB"/>
    <w:rsid w:val="00091586"/>
    <w:rsid w:val="00094ABB"/>
    <w:rsid w:val="000A4F82"/>
    <w:rsid w:val="000A5CAA"/>
    <w:rsid w:val="000B1165"/>
    <w:rsid w:val="000B55C8"/>
    <w:rsid w:val="000B618B"/>
    <w:rsid w:val="000D0B92"/>
    <w:rsid w:val="000D7219"/>
    <w:rsid w:val="000F7D26"/>
    <w:rsid w:val="00111329"/>
    <w:rsid w:val="00116DED"/>
    <w:rsid w:val="001202E2"/>
    <w:rsid w:val="001412BB"/>
    <w:rsid w:val="00143AA2"/>
    <w:rsid w:val="00157EE3"/>
    <w:rsid w:val="0016318B"/>
    <w:rsid w:val="00175C1F"/>
    <w:rsid w:val="0017797C"/>
    <w:rsid w:val="0019335A"/>
    <w:rsid w:val="001948E9"/>
    <w:rsid w:val="0019616E"/>
    <w:rsid w:val="001B597E"/>
    <w:rsid w:val="001C0198"/>
    <w:rsid w:val="001D4954"/>
    <w:rsid w:val="001D6D10"/>
    <w:rsid w:val="001E20B1"/>
    <w:rsid w:val="001E3BD0"/>
    <w:rsid w:val="001E64F1"/>
    <w:rsid w:val="001E76C1"/>
    <w:rsid w:val="00206343"/>
    <w:rsid w:val="00206814"/>
    <w:rsid w:val="002126B4"/>
    <w:rsid w:val="002205F8"/>
    <w:rsid w:val="002218BA"/>
    <w:rsid w:val="00222643"/>
    <w:rsid w:val="0022457F"/>
    <w:rsid w:val="00227467"/>
    <w:rsid w:val="00233DB1"/>
    <w:rsid w:val="002367DF"/>
    <w:rsid w:val="002433A0"/>
    <w:rsid w:val="002448E1"/>
    <w:rsid w:val="00244B49"/>
    <w:rsid w:val="002474AB"/>
    <w:rsid w:val="0024788A"/>
    <w:rsid w:val="00252B0A"/>
    <w:rsid w:val="00253AD3"/>
    <w:rsid w:val="00261779"/>
    <w:rsid w:val="00273EDD"/>
    <w:rsid w:val="00281959"/>
    <w:rsid w:val="00284208"/>
    <w:rsid w:val="0028511D"/>
    <w:rsid w:val="00286D73"/>
    <w:rsid w:val="00287581"/>
    <w:rsid w:val="00296314"/>
    <w:rsid w:val="002A572B"/>
    <w:rsid w:val="002B28B7"/>
    <w:rsid w:val="002C62A7"/>
    <w:rsid w:val="002D1818"/>
    <w:rsid w:val="002D3258"/>
    <w:rsid w:val="002D796B"/>
    <w:rsid w:val="002E0004"/>
    <w:rsid w:val="002E4E27"/>
    <w:rsid w:val="002E64C0"/>
    <w:rsid w:val="003208B6"/>
    <w:rsid w:val="00332778"/>
    <w:rsid w:val="00334CD7"/>
    <w:rsid w:val="003364B0"/>
    <w:rsid w:val="0033671F"/>
    <w:rsid w:val="00345189"/>
    <w:rsid w:val="00350B7F"/>
    <w:rsid w:val="00352E25"/>
    <w:rsid w:val="00353A08"/>
    <w:rsid w:val="00354E98"/>
    <w:rsid w:val="00355F4C"/>
    <w:rsid w:val="0036730A"/>
    <w:rsid w:val="00373543"/>
    <w:rsid w:val="00373F4C"/>
    <w:rsid w:val="00384F60"/>
    <w:rsid w:val="0038574B"/>
    <w:rsid w:val="0038575B"/>
    <w:rsid w:val="00387B49"/>
    <w:rsid w:val="003947DE"/>
    <w:rsid w:val="003965B2"/>
    <w:rsid w:val="0039770E"/>
    <w:rsid w:val="003A6A04"/>
    <w:rsid w:val="003D26BC"/>
    <w:rsid w:val="003D4E1E"/>
    <w:rsid w:val="003E03D4"/>
    <w:rsid w:val="003E04F9"/>
    <w:rsid w:val="003E756B"/>
    <w:rsid w:val="003F14E2"/>
    <w:rsid w:val="003F332C"/>
    <w:rsid w:val="003F4A46"/>
    <w:rsid w:val="003F4D4F"/>
    <w:rsid w:val="003F7476"/>
    <w:rsid w:val="00407639"/>
    <w:rsid w:val="004129F9"/>
    <w:rsid w:val="00412DAD"/>
    <w:rsid w:val="00416F9A"/>
    <w:rsid w:val="00420ACE"/>
    <w:rsid w:val="00421331"/>
    <w:rsid w:val="0042171C"/>
    <w:rsid w:val="00441D9A"/>
    <w:rsid w:val="00453A23"/>
    <w:rsid w:val="00456F5F"/>
    <w:rsid w:val="00461AE8"/>
    <w:rsid w:val="00475672"/>
    <w:rsid w:val="004833D0"/>
    <w:rsid w:val="00484CFB"/>
    <w:rsid w:val="00490526"/>
    <w:rsid w:val="004948A9"/>
    <w:rsid w:val="00496FA6"/>
    <w:rsid w:val="004976A3"/>
    <w:rsid w:val="00497CF4"/>
    <w:rsid w:val="004A3DE7"/>
    <w:rsid w:val="004A41F2"/>
    <w:rsid w:val="004A75D1"/>
    <w:rsid w:val="004B6F4E"/>
    <w:rsid w:val="004C4BAA"/>
    <w:rsid w:val="004D657C"/>
    <w:rsid w:val="004E5044"/>
    <w:rsid w:val="004F06AD"/>
    <w:rsid w:val="004F1C01"/>
    <w:rsid w:val="004F3C94"/>
    <w:rsid w:val="00500094"/>
    <w:rsid w:val="00502A7E"/>
    <w:rsid w:val="0050632E"/>
    <w:rsid w:val="005124C2"/>
    <w:rsid w:val="005273BA"/>
    <w:rsid w:val="00532142"/>
    <w:rsid w:val="005346C0"/>
    <w:rsid w:val="00536C2E"/>
    <w:rsid w:val="0054097C"/>
    <w:rsid w:val="00545C9A"/>
    <w:rsid w:val="00547DCC"/>
    <w:rsid w:val="005630C1"/>
    <w:rsid w:val="00564478"/>
    <w:rsid w:val="0057074B"/>
    <w:rsid w:val="00570EA0"/>
    <w:rsid w:val="005719E2"/>
    <w:rsid w:val="00573F1F"/>
    <w:rsid w:val="00576E8A"/>
    <w:rsid w:val="00592B47"/>
    <w:rsid w:val="00593F44"/>
    <w:rsid w:val="005D6946"/>
    <w:rsid w:val="005D7DA5"/>
    <w:rsid w:val="005E7B46"/>
    <w:rsid w:val="005F326E"/>
    <w:rsid w:val="005F4C00"/>
    <w:rsid w:val="005F73AC"/>
    <w:rsid w:val="00604F25"/>
    <w:rsid w:val="00613B08"/>
    <w:rsid w:val="00622A80"/>
    <w:rsid w:val="00630839"/>
    <w:rsid w:val="00633994"/>
    <w:rsid w:val="00634BEA"/>
    <w:rsid w:val="00656EF5"/>
    <w:rsid w:val="006578C3"/>
    <w:rsid w:val="00672EC2"/>
    <w:rsid w:val="00686666"/>
    <w:rsid w:val="00690791"/>
    <w:rsid w:val="006A031A"/>
    <w:rsid w:val="006A1FD3"/>
    <w:rsid w:val="006B3C93"/>
    <w:rsid w:val="006C13EE"/>
    <w:rsid w:val="006C233B"/>
    <w:rsid w:val="006C24E4"/>
    <w:rsid w:val="006D4BA3"/>
    <w:rsid w:val="006D5525"/>
    <w:rsid w:val="006D7DEF"/>
    <w:rsid w:val="006F09AF"/>
    <w:rsid w:val="006F6AF5"/>
    <w:rsid w:val="00700610"/>
    <w:rsid w:val="00702434"/>
    <w:rsid w:val="0070534A"/>
    <w:rsid w:val="0071051A"/>
    <w:rsid w:val="007204D2"/>
    <w:rsid w:val="00743D8F"/>
    <w:rsid w:val="007468C8"/>
    <w:rsid w:val="00750F64"/>
    <w:rsid w:val="00756CEF"/>
    <w:rsid w:val="00762625"/>
    <w:rsid w:val="00763444"/>
    <w:rsid w:val="00773937"/>
    <w:rsid w:val="00785257"/>
    <w:rsid w:val="00791BAB"/>
    <w:rsid w:val="00795A9D"/>
    <w:rsid w:val="007B5CEF"/>
    <w:rsid w:val="007B7F88"/>
    <w:rsid w:val="007C06AC"/>
    <w:rsid w:val="007C377C"/>
    <w:rsid w:val="007D3245"/>
    <w:rsid w:val="007D7C74"/>
    <w:rsid w:val="007E1316"/>
    <w:rsid w:val="007F5BFE"/>
    <w:rsid w:val="00810B6A"/>
    <w:rsid w:val="00821CC9"/>
    <w:rsid w:val="00823630"/>
    <w:rsid w:val="00833863"/>
    <w:rsid w:val="00833F48"/>
    <w:rsid w:val="00834951"/>
    <w:rsid w:val="0083686E"/>
    <w:rsid w:val="00837D03"/>
    <w:rsid w:val="008450C8"/>
    <w:rsid w:val="0084542E"/>
    <w:rsid w:val="008466F1"/>
    <w:rsid w:val="00852144"/>
    <w:rsid w:val="00852D7B"/>
    <w:rsid w:val="00853DB1"/>
    <w:rsid w:val="0086229F"/>
    <w:rsid w:val="008771B9"/>
    <w:rsid w:val="008816D5"/>
    <w:rsid w:val="00884303"/>
    <w:rsid w:val="0089033F"/>
    <w:rsid w:val="008A0A90"/>
    <w:rsid w:val="008A543A"/>
    <w:rsid w:val="008B20C1"/>
    <w:rsid w:val="008C1DA2"/>
    <w:rsid w:val="008C2017"/>
    <w:rsid w:val="008C3A44"/>
    <w:rsid w:val="008E29D1"/>
    <w:rsid w:val="008E2CB5"/>
    <w:rsid w:val="009027BF"/>
    <w:rsid w:val="0091018E"/>
    <w:rsid w:val="00911AE8"/>
    <w:rsid w:val="00911B5C"/>
    <w:rsid w:val="00911EFE"/>
    <w:rsid w:val="0091666B"/>
    <w:rsid w:val="00924AAF"/>
    <w:rsid w:val="00934A68"/>
    <w:rsid w:val="00943425"/>
    <w:rsid w:val="00943F47"/>
    <w:rsid w:val="00946A74"/>
    <w:rsid w:val="00947089"/>
    <w:rsid w:val="00965921"/>
    <w:rsid w:val="00977A8A"/>
    <w:rsid w:val="00990210"/>
    <w:rsid w:val="00993324"/>
    <w:rsid w:val="009A2E8B"/>
    <w:rsid w:val="009A54D1"/>
    <w:rsid w:val="009A7DEF"/>
    <w:rsid w:val="009B392A"/>
    <w:rsid w:val="009C3233"/>
    <w:rsid w:val="009C63FB"/>
    <w:rsid w:val="009F0C6B"/>
    <w:rsid w:val="00A0561D"/>
    <w:rsid w:val="00A062C8"/>
    <w:rsid w:val="00A12B0C"/>
    <w:rsid w:val="00A12C04"/>
    <w:rsid w:val="00A25B38"/>
    <w:rsid w:val="00A3061C"/>
    <w:rsid w:val="00A32532"/>
    <w:rsid w:val="00A47847"/>
    <w:rsid w:val="00A51DE2"/>
    <w:rsid w:val="00A542C2"/>
    <w:rsid w:val="00A60C86"/>
    <w:rsid w:val="00A61752"/>
    <w:rsid w:val="00A6242A"/>
    <w:rsid w:val="00A62FBB"/>
    <w:rsid w:val="00A67CF2"/>
    <w:rsid w:val="00A81209"/>
    <w:rsid w:val="00A81308"/>
    <w:rsid w:val="00A90405"/>
    <w:rsid w:val="00AA1874"/>
    <w:rsid w:val="00AA1E4D"/>
    <w:rsid w:val="00AA414B"/>
    <w:rsid w:val="00AB0D08"/>
    <w:rsid w:val="00AB5D51"/>
    <w:rsid w:val="00AB608D"/>
    <w:rsid w:val="00AB6C6C"/>
    <w:rsid w:val="00AB7C4A"/>
    <w:rsid w:val="00AC4252"/>
    <w:rsid w:val="00AD40FE"/>
    <w:rsid w:val="00AE3EF9"/>
    <w:rsid w:val="00AE6AA8"/>
    <w:rsid w:val="00AF2EC7"/>
    <w:rsid w:val="00AF321D"/>
    <w:rsid w:val="00AF36FD"/>
    <w:rsid w:val="00B00D0A"/>
    <w:rsid w:val="00B12DE9"/>
    <w:rsid w:val="00B222D8"/>
    <w:rsid w:val="00B227AB"/>
    <w:rsid w:val="00B33389"/>
    <w:rsid w:val="00B339B4"/>
    <w:rsid w:val="00B37AAD"/>
    <w:rsid w:val="00B42661"/>
    <w:rsid w:val="00B52C9E"/>
    <w:rsid w:val="00B64149"/>
    <w:rsid w:val="00B717F5"/>
    <w:rsid w:val="00B75EDC"/>
    <w:rsid w:val="00B81E85"/>
    <w:rsid w:val="00B8489F"/>
    <w:rsid w:val="00B935B5"/>
    <w:rsid w:val="00B95228"/>
    <w:rsid w:val="00BA1E98"/>
    <w:rsid w:val="00BA73D6"/>
    <w:rsid w:val="00BB42CB"/>
    <w:rsid w:val="00BB5A66"/>
    <w:rsid w:val="00BB7F0D"/>
    <w:rsid w:val="00BC78DE"/>
    <w:rsid w:val="00BD3B05"/>
    <w:rsid w:val="00BE02F2"/>
    <w:rsid w:val="00BF40FC"/>
    <w:rsid w:val="00BF46BA"/>
    <w:rsid w:val="00BF48DE"/>
    <w:rsid w:val="00BF7739"/>
    <w:rsid w:val="00C22BEE"/>
    <w:rsid w:val="00C26235"/>
    <w:rsid w:val="00C32A6C"/>
    <w:rsid w:val="00C34187"/>
    <w:rsid w:val="00C36175"/>
    <w:rsid w:val="00C45215"/>
    <w:rsid w:val="00C52218"/>
    <w:rsid w:val="00C554EC"/>
    <w:rsid w:val="00C67D6A"/>
    <w:rsid w:val="00C80CF6"/>
    <w:rsid w:val="00C8649C"/>
    <w:rsid w:val="00CA3417"/>
    <w:rsid w:val="00CB3A3D"/>
    <w:rsid w:val="00CD09D4"/>
    <w:rsid w:val="00CE1180"/>
    <w:rsid w:val="00CF0236"/>
    <w:rsid w:val="00CF1098"/>
    <w:rsid w:val="00CF5B80"/>
    <w:rsid w:val="00D00185"/>
    <w:rsid w:val="00D06B4F"/>
    <w:rsid w:val="00D074E1"/>
    <w:rsid w:val="00D2117C"/>
    <w:rsid w:val="00D23AC7"/>
    <w:rsid w:val="00D250BA"/>
    <w:rsid w:val="00D25AD2"/>
    <w:rsid w:val="00D26262"/>
    <w:rsid w:val="00D3280C"/>
    <w:rsid w:val="00D352B2"/>
    <w:rsid w:val="00D37406"/>
    <w:rsid w:val="00D37FE4"/>
    <w:rsid w:val="00D439B7"/>
    <w:rsid w:val="00D45D02"/>
    <w:rsid w:val="00D4771F"/>
    <w:rsid w:val="00D575D8"/>
    <w:rsid w:val="00D60347"/>
    <w:rsid w:val="00D65D8F"/>
    <w:rsid w:val="00D70EE1"/>
    <w:rsid w:val="00D74E09"/>
    <w:rsid w:val="00D82B6A"/>
    <w:rsid w:val="00D85FE1"/>
    <w:rsid w:val="00D87731"/>
    <w:rsid w:val="00D93B9E"/>
    <w:rsid w:val="00D95506"/>
    <w:rsid w:val="00D95B26"/>
    <w:rsid w:val="00DA1998"/>
    <w:rsid w:val="00DA3760"/>
    <w:rsid w:val="00DA4388"/>
    <w:rsid w:val="00DB3013"/>
    <w:rsid w:val="00DB580E"/>
    <w:rsid w:val="00DB63D3"/>
    <w:rsid w:val="00DC4603"/>
    <w:rsid w:val="00DE575C"/>
    <w:rsid w:val="00DF3849"/>
    <w:rsid w:val="00DF5A10"/>
    <w:rsid w:val="00DF6C71"/>
    <w:rsid w:val="00E05F6B"/>
    <w:rsid w:val="00E14CAA"/>
    <w:rsid w:val="00E1574A"/>
    <w:rsid w:val="00E16CA6"/>
    <w:rsid w:val="00E170B7"/>
    <w:rsid w:val="00E2086E"/>
    <w:rsid w:val="00E31EE7"/>
    <w:rsid w:val="00E43D50"/>
    <w:rsid w:val="00E57C08"/>
    <w:rsid w:val="00E60AAE"/>
    <w:rsid w:val="00E71D5B"/>
    <w:rsid w:val="00E909E9"/>
    <w:rsid w:val="00E94D4E"/>
    <w:rsid w:val="00EA132C"/>
    <w:rsid w:val="00EA528A"/>
    <w:rsid w:val="00EA7132"/>
    <w:rsid w:val="00EB0BBE"/>
    <w:rsid w:val="00EB4A01"/>
    <w:rsid w:val="00EC3630"/>
    <w:rsid w:val="00EC4011"/>
    <w:rsid w:val="00EC5661"/>
    <w:rsid w:val="00ED06AF"/>
    <w:rsid w:val="00ED2930"/>
    <w:rsid w:val="00ED5439"/>
    <w:rsid w:val="00EF0802"/>
    <w:rsid w:val="00EF5583"/>
    <w:rsid w:val="00F02D7F"/>
    <w:rsid w:val="00F041B9"/>
    <w:rsid w:val="00F047FD"/>
    <w:rsid w:val="00F12D3D"/>
    <w:rsid w:val="00F14B9C"/>
    <w:rsid w:val="00F20168"/>
    <w:rsid w:val="00F352BE"/>
    <w:rsid w:val="00F435A7"/>
    <w:rsid w:val="00F44D05"/>
    <w:rsid w:val="00F45083"/>
    <w:rsid w:val="00F50A5D"/>
    <w:rsid w:val="00F53E19"/>
    <w:rsid w:val="00F562B7"/>
    <w:rsid w:val="00F56D84"/>
    <w:rsid w:val="00F56E70"/>
    <w:rsid w:val="00F57E50"/>
    <w:rsid w:val="00F60B78"/>
    <w:rsid w:val="00F6788C"/>
    <w:rsid w:val="00F71019"/>
    <w:rsid w:val="00F84FFF"/>
    <w:rsid w:val="00F90A6C"/>
    <w:rsid w:val="00FA1D32"/>
    <w:rsid w:val="00FA4556"/>
    <w:rsid w:val="00FA46B1"/>
    <w:rsid w:val="00FA6FE7"/>
    <w:rsid w:val="00FB02D4"/>
    <w:rsid w:val="00FB0C29"/>
    <w:rsid w:val="00FB1854"/>
    <w:rsid w:val="00FB2279"/>
    <w:rsid w:val="00FB4EF4"/>
    <w:rsid w:val="00FC1C3F"/>
    <w:rsid w:val="00FC290B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7DCE619-8CBF-41F6-9801-BDE4FC0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16318B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163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18B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318B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1"/>
    <w:unhideWhenUsed/>
    <w:rsid w:val="00630839"/>
    <w:rPr>
      <w:vertAlign w:val="superscript"/>
    </w:rPr>
  </w:style>
  <w:style w:type="paragraph" w:styleId="ae">
    <w:name w:val="List Paragraph"/>
    <w:basedOn w:val="a0"/>
    <w:uiPriority w:val="34"/>
    <w:qFormat/>
    <w:rsid w:val="00EA132C"/>
    <w:pPr>
      <w:ind w:left="720"/>
      <w:contextualSpacing/>
    </w:pPr>
  </w:style>
  <w:style w:type="paragraph" w:customStyle="1" w:styleId="af">
    <w:name w:val="Текст основной"/>
    <w:basedOn w:val="a0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">
    <w:name w:val="Заглавие 3"/>
    <w:basedOn w:val="a0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af0">
    <w:name w:val="header"/>
    <w:basedOn w:val="a0"/>
    <w:link w:val="af1"/>
    <w:uiPriority w:val="99"/>
    <w:unhideWhenUsed/>
    <w:rsid w:val="00A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32532"/>
  </w:style>
  <w:style w:type="paragraph" w:styleId="af2">
    <w:name w:val="footer"/>
    <w:basedOn w:val="a0"/>
    <w:link w:val="af3"/>
    <w:uiPriority w:val="99"/>
    <w:unhideWhenUsed/>
    <w:rsid w:val="00A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32532"/>
  </w:style>
  <w:style w:type="table" w:styleId="af4">
    <w:name w:val="Table Grid"/>
    <w:basedOn w:val="a2"/>
    <w:uiPriority w:val="59"/>
    <w:rsid w:val="0074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0"/>
    <w:qFormat/>
    <w:rsid w:val="007C377C"/>
    <w:pPr>
      <w:numPr>
        <w:ilvl w:val="3"/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7C377C"/>
    <w:pPr>
      <w:numPr>
        <w:ilvl w:val="4"/>
      </w:numPr>
    </w:pPr>
  </w:style>
  <w:style w:type="paragraph" w:customStyle="1" w:styleId="Title1">
    <w:name w:val="Title 1"/>
    <w:qFormat/>
    <w:rsid w:val="007C377C"/>
    <w:pPr>
      <w:keepNext/>
      <w:keepLines/>
      <w:pageBreakBefore/>
      <w:numPr>
        <w:numId w:val="12"/>
      </w:numPr>
      <w:tabs>
        <w:tab w:val="clear" w:pos="3687"/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0"/>
    <w:qFormat/>
    <w:rsid w:val="007C377C"/>
    <w:pPr>
      <w:keepNext/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7C377C"/>
    <w:pPr>
      <w:pageBreakBefore w:val="0"/>
      <w:numPr>
        <w:ilvl w:val="1"/>
      </w:numPr>
      <w:tabs>
        <w:tab w:val="clear" w:pos="1080"/>
      </w:tabs>
      <w:ind w:left="1701" w:hanging="1701"/>
    </w:pPr>
    <w:rPr>
      <w:lang w:val="en-US"/>
    </w:rPr>
  </w:style>
  <w:style w:type="paragraph" w:customStyle="1" w:styleId="Point3">
    <w:name w:val="Point 3"/>
    <w:basedOn w:val="a0"/>
    <w:qFormat/>
    <w:rsid w:val="007C377C"/>
    <w:pPr>
      <w:numPr>
        <w:ilvl w:val="5"/>
        <w:numId w:val="12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11">
    <w:name w:val="Без интервала11"/>
    <w:rsid w:val="00791BAB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Texttab">
    <w:name w:val="Text tab"/>
    <w:basedOn w:val="a0"/>
    <w:link w:val="Texttab0"/>
    <w:qFormat/>
    <w:rsid w:val="000D7219"/>
    <w:pPr>
      <w:tabs>
        <w:tab w:val="righ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0D7219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af5">
    <w:name w:val="Пункт с точкой"/>
    <w:basedOn w:val="30"/>
    <w:qFormat/>
    <w:rsid w:val="000D7219"/>
    <w:pPr>
      <w:tabs>
        <w:tab w:val="num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">
    <w:name w:val="Статья_"/>
    <w:basedOn w:val="a0"/>
    <w:qFormat/>
    <w:rsid w:val="000D7219"/>
    <w:pPr>
      <w:keepNext/>
      <w:numPr>
        <w:numId w:val="22"/>
      </w:numPr>
      <w:tabs>
        <w:tab w:val="num" w:pos="1418"/>
      </w:tabs>
      <w:overflowPunct w:val="0"/>
      <w:autoSpaceDE w:val="0"/>
      <w:autoSpaceDN w:val="0"/>
      <w:adjustRightInd w:val="0"/>
      <w:spacing w:before="360" w:after="0" w:line="240" w:lineRule="auto"/>
      <w:ind w:left="1418" w:hanging="1418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0">
    <w:name w:val="Body Text 3"/>
    <w:basedOn w:val="a0"/>
    <w:link w:val="31"/>
    <w:uiPriority w:val="99"/>
    <w:semiHidden/>
    <w:unhideWhenUsed/>
    <w:rsid w:val="000D721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0D7219"/>
    <w:rPr>
      <w:sz w:val="16"/>
      <w:szCs w:val="16"/>
    </w:rPr>
  </w:style>
  <w:style w:type="paragraph" w:customStyle="1" w:styleId="NoSpacing1">
    <w:name w:val="No Spacing1"/>
    <w:rsid w:val="00E57C08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Default">
    <w:name w:val="Default"/>
    <w:rsid w:val="00E57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5">
    <w:name w:val="Стиль Первая строка:  125 см"/>
    <w:basedOn w:val="a0"/>
    <w:rsid w:val="003D4E1E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styleId="af6">
    <w:name w:val="Normal (Web)"/>
    <w:basedOn w:val="a0"/>
    <w:uiPriority w:val="99"/>
    <w:rsid w:val="0067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1918-CF0A-4A95-A225-2C43018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Тамара Алексеевна</dc:creator>
  <cp:lastModifiedBy>Глухова Тамара Алексеевна</cp:lastModifiedBy>
  <cp:revision>5</cp:revision>
  <cp:lastPrinted>2016-07-26T10:07:00Z</cp:lastPrinted>
  <dcterms:created xsi:type="dcterms:W3CDTF">2016-08-25T11:47:00Z</dcterms:created>
  <dcterms:modified xsi:type="dcterms:W3CDTF">2016-10-03T12:55:00Z</dcterms:modified>
</cp:coreProperties>
</file>