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для </w:t>
      </w:r>
      <w:r w:rsidRPr="00541D89">
        <w:rPr>
          <w:rFonts w:ascii="Tahoma" w:hAnsi="Tahoma" w:cs="Tahoma"/>
          <w:b/>
        </w:rPr>
        <w:t xml:space="preserve">целей </w:t>
      </w:r>
      <w:r w:rsidRPr="00FF12E4">
        <w:rPr>
          <w:rFonts w:ascii="Tahoma" w:hAnsi="Tahoma" w:cs="Tahoma"/>
          <w:b/>
        </w:rPr>
        <w:t>расчёта Сбора за неэффективные транзакции</w:t>
      </w:r>
    </w:p>
    <w:p w:rsidR="008271F9" w:rsidRPr="00541D89" w:rsidRDefault="008271F9" w:rsidP="008271F9">
      <w:pPr>
        <w:spacing w:after="0" w:line="240" w:lineRule="auto"/>
        <w:jc w:val="both"/>
        <w:rPr>
          <w:rFonts w:ascii="Tahoma" w:hAnsi="Tahoma" w:cs="Tahoma"/>
        </w:rPr>
      </w:pPr>
      <w:r w:rsidRPr="00541D89">
        <w:rPr>
          <w:rFonts w:ascii="Tahoma" w:hAnsi="Tahoma" w:cs="Tahoma"/>
        </w:rPr>
        <w:t xml:space="preserve">[утвержден </w:t>
      </w:r>
      <w:r w:rsidR="001213A3" w:rsidRPr="001213A3">
        <w:rPr>
          <w:rFonts w:ascii="Tahoma" w:hAnsi="Tahoma" w:cs="Tahoma"/>
        </w:rPr>
        <w:t>решение</w:t>
      </w:r>
      <w:r w:rsidR="001213A3">
        <w:rPr>
          <w:rFonts w:ascii="Tahoma" w:hAnsi="Tahoma" w:cs="Tahoma"/>
        </w:rPr>
        <w:t>м</w:t>
      </w:r>
      <w:r w:rsidR="001213A3" w:rsidRPr="001213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ПАО Московская Биржа 30.06.2017</w:t>
      </w:r>
      <w:r w:rsidR="001213A3">
        <w:rPr>
          <w:rFonts w:ascii="Tahoma" w:hAnsi="Tahoma" w:cs="Tahoma"/>
        </w:rPr>
        <w:t>.  Действует с 03.07.2017</w:t>
      </w:r>
      <w:r w:rsidRPr="00541D89">
        <w:rPr>
          <w:rFonts w:ascii="Tahoma" w:hAnsi="Tahoma" w:cs="Tahoma"/>
        </w:rPr>
        <w:t>]</w:t>
      </w:r>
    </w:p>
    <w:p w:rsidR="008271F9" w:rsidRDefault="008271F9" w:rsidP="008271F9">
      <w:pPr>
        <w:spacing w:after="0" w:line="240" w:lineRule="auto"/>
        <w:ind w:right="283"/>
        <w:rPr>
          <w:rFonts w:ascii="Tahoma" w:hAnsi="Tahoma" w:cs="Tahoma"/>
          <w:color w:val="000000"/>
          <w:sz w:val="20"/>
          <w:szCs w:val="20"/>
        </w:rPr>
      </w:pP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bookmarkEnd w:id="0"/>
      <w:r w:rsidRPr="0022539B">
        <w:rPr>
          <w:rFonts w:ascii="Tahoma" w:hAnsi="Tahoma" w:cs="Tahoma"/>
          <w:color w:val="000000"/>
          <w:sz w:val="20"/>
          <w:szCs w:val="20"/>
        </w:rPr>
        <w:t>на сахар-сырец;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АК «АЛРОСА» (ПАО);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8271F9" w:rsidRPr="005D1362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5D1362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йена;</w:t>
      </w:r>
    </w:p>
    <w:p w:rsidR="008271F9" w:rsidRPr="0022539B" w:rsidRDefault="008271F9" w:rsidP="008271F9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271F9" w:rsidRPr="0022539B" w:rsidRDefault="008271F9" w:rsidP="008271F9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(ПАО).</w:t>
      </w:r>
    </w:p>
    <w:p w:rsidR="00D5650C" w:rsidRDefault="001213A3"/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9"/>
    <w:rsid w:val="001213A3"/>
    <w:rsid w:val="0022429F"/>
    <w:rsid w:val="005142ED"/>
    <w:rsid w:val="00514534"/>
    <w:rsid w:val="008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648"/>
  <w15:chartTrackingRefBased/>
  <w15:docId w15:val="{A44672F1-05DC-4985-935D-37B7F55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2</cp:revision>
  <dcterms:created xsi:type="dcterms:W3CDTF">2017-06-30T08:07:00Z</dcterms:created>
  <dcterms:modified xsi:type="dcterms:W3CDTF">2017-06-30T08:14:00Z</dcterms:modified>
</cp:coreProperties>
</file>