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862C" w14:textId="1F3CF44D" w:rsidR="00B335E9" w:rsidRPr="00070B5B" w:rsidRDefault="00070B5B" w:rsidP="00070B5B">
      <w:pPr>
        <w:spacing w:after="0" w:line="240" w:lineRule="auto"/>
        <w:ind w:firstLine="5812"/>
        <w:rPr>
          <w:rFonts w:ascii="Tahoma" w:hAnsi="Tahoma" w:cs="Tahoma"/>
          <w:b/>
          <w:color w:val="948A54" w:themeColor="background2" w:themeShade="80"/>
        </w:rPr>
      </w:pPr>
      <w:r w:rsidRPr="00070B5B">
        <w:rPr>
          <w:rFonts w:ascii="Tahoma" w:hAnsi="Tahoma" w:cs="Tahoma"/>
          <w:b/>
          <w:color w:val="948A54" w:themeColor="background2" w:themeShade="80"/>
        </w:rPr>
        <w:t>Действует с 11 октября 2019г.</w:t>
      </w:r>
    </w:p>
    <w:p w14:paraId="4F1B28D0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DA87DE" w14:textId="77777777" w:rsidR="00B335E9" w:rsidRPr="0022539B" w:rsidRDefault="00B335E9" w:rsidP="00B335E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4244A1C" w14:textId="0D0D5EDF" w:rsidR="001860B1" w:rsidRPr="0022539B" w:rsidRDefault="00070B5B" w:rsidP="00767E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AE0BA4" w14:textId="77777777" w:rsidR="00ED6105" w:rsidRPr="0022539B" w:rsidRDefault="00ED6105" w:rsidP="00BC646F">
      <w:pPr>
        <w:spacing w:before="24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0B16CE" w14:textId="6138ADDB" w:rsidR="001860B1" w:rsidRPr="0022539B" w:rsidRDefault="001860B1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4E7696D4" w14:textId="77777777" w:rsidR="008616E2" w:rsidRDefault="006E3CAE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3685337C" w14:textId="77777777" w:rsidR="000E3292" w:rsidRPr="008616E2" w:rsidRDefault="008616E2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616E2">
        <w:rPr>
          <w:rFonts w:ascii="Tahoma" w:hAnsi="Tahoma" w:cs="Tahoma"/>
          <w:color w:val="000000"/>
          <w:sz w:val="20"/>
          <w:szCs w:val="20"/>
        </w:rPr>
        <w:t>Фьючерсный контракт на индекс акций американских эмитентов (US500);</w:t>
      </w:r>
    </w:p>
    <w:p w14:paraId="2F14E82D" w14:textId="2F970EDA" w:rsidR="009703D9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 xml:space="preserve"> на ставку RUONIA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12183BB" w14:textId="1DA964FD" w:rsidR="00B4777A" w:rsidRPr="0022539B" w:rsidRDefault="00B4777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RUSFAR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01BCECD" w14:textId="77777777" w:rsidR="009703D9" w:rsidRPr="0022539B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5D9811D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3B0BEE" w14:textId="77777777" w:rsidR="00813D1D" w:rsidRPr="005C327B" w:rsidRDefault="00813D1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8456D7F" w14:textId="77777777" w:rsidR="006C37D8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ффинированную платину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867847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аффинированный палладий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3C11F25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52D4C919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4833AB42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013DE164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3DFC67B6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23754E" w14:textId="77777777" w:rsidR="006C37D8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57FB84" w14:textId="0A8ED5EE" w:rsidR="00997970" w:rsidRDefault="0057012C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</w:t>
      </w:r>
      <w:r w:rsidR="00997970">
        <w:rPr>
          <w:rFonts w:ascii="Tahoma" w:hAnsi="Tahoma" w:cs="Tahoma"/>
          <w:sz w:val="20"/>
          <w:szCs w:val="20"/>
        </w:rPr>
        <w:t>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</w:t>
      </w:r>
      <w:r w:rsidR="00997970">
        <w:rPr>
          <w:rFonts w:ascii="Tahoma" w:hAnsi="Tahoma" w:cs="Tahoma"/>
          <w:sz w:val="20"/>
          <w:szCs w:val="20"/>
        </w:rPr>
        <w:t>;</w:t>
      </w:r>
    </w:p>
    <w:p w14:paraId="24B1B0DA" w14:textId="730147DB" w:rsidR="00606D32" w:rsidRPr="00997970" w:rsidRDefault="00606D32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серебро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</w:t>
      </w:r>
      <w:r w:rsidRPr="00606D32">
        <w:rPr>
          <w:rFonts w:ascii="Tahoma" w:hAnsi="Tahoma" w:cs="Tahoma"/>
          <w:sz w:val="20"/>
          <w:szCs w:val="20"/>
        </w:rPr>
        <w:t>)</w:t>
      </w:r>
      <w:r w:rsidRPr="00F16BD0">
        <w:rPr>
          <w:rFonts w:ascii="Tahoma" w:hAnsi="Tahoma" w:cs="Tahoma"/>
          <w:sz w:val="20"/>
          <w:szCs w:val="20"/>
        </w:rPr>
        <w:t>;</w:t>
      </w:r>
    </w:p>
    <w:p w14:paraId="3858CA0D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курс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доллар США – украинская гривна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4C190F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австралийский доллар – доллар США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F6A211A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китайский юань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584B551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канадский доллар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F2CBA39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турецкая лира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F0CF5C" w14:textId="77777777" w:rsidR="009703D9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E4FCE2B" w14:textId="77777777" w:rsidR="00997970" w:rsidRP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66A527FA" w14:textId="77777777" w:rsidR="00594C0D" w:rsidRPr="0022539B" w:rsidRDefault="00594C0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 w:rsidR="00E94E6E"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8FB9249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627ED03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привил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егированные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BC548C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BMW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8044B24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>на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7C3541B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7E7A36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lastRenderedPageBreak/>
        <w:t>Фьючерсный контракт на обыкновенные акции ОАО «Сургутнефтегаз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E231A65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3B8780D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6E238A7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FA445C5" w14:textId="77777777" w:rsidR="006C37D8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1C156E03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D2A1B9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3715A0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5D1362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97A738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 w:rsidR="00E94E6E"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F6DF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BEF722C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BFBCD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0DB7C4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4FBF36" w14:textId="0434915E" w:rsidR="0037797C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«</w:t>
      </w:r>
      <w:r w:rsidR="005D1362">
        <w:rPr>
          <w:rFonts w:ascii="Tahoma" w:hAnsi="Tahoma" w:cs="Tahoma"/>
          <w:color w:val="000000"/>
          <w:sz w:val="20"/>
          <w:szCs w:val="20"/>
        </w:rPr>
        <w:t>Аэрофлот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6D21E34" w14:textId="7D1C4EBD" w:rsidR="00ED6105" w:rsidRDefault="00ED6105" w:rsidP="00ED6105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Полюс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6FB97B1E" w14:textId="0046290D" w:rsidR="00ED6105" w:rsidRPr="00ED6105" w:rsidRDefault="00ED6105" w:rsidP="00ED6105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D6105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</w:t>
      </w:r>
      <w:r>
        <w:rPr>
          <w:rFonts w:ascii="Tahoma" w:hAnsi="Tahoma" w:cs="Tahoma"/>
          <w:color w:val="000000"/>
          <w:sz w:val="20"/>
          <w:szCs w:val="20"/>
        </w:rPr>
        <w:t xml:space="preserve"> «ММК»;</w:t>
      </w:r>
    </w:p>
    <w:p w14:paraId="69672865" w14:textId="77777777" w:rsidR="005D1362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 w:rsidR="005D1362"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="005D1362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3585AA38" w14:textId="77777777" w:rsidR="0037797C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</w:t>
      </w:r>
      <w:r w:rsidR="000B34F7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63E00606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45412A9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85CA83F" w14:textId="77777777" w:rsidR="00594C0D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F6456" w14:textId="77777777" w:rsidR="000B34F7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4A8FCDA" w14:textId="77777777" w:rsidR="00813D1D" w:rsidRPr="005C327B" w:rsidRDefault="00813D1D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1F90737" w14:textId="77777777" w:rsidR="0037797C" w:rsidRPr="005C327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="000B34F7"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996C8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28A5625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6BBA6E2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A20EA7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0BCFD3D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FE953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7AECB46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B91F0A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3E8779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8415F4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F03AAB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107AE4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 w:rsidR="00BD42CD"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B5B2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9C60D2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93B0E29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9B2BB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0E9BA4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19B9CE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DFB185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 w:rsidR="0022539B"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A267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927EC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E170A3D" w14:textId="77777777" w:rsidR="0037797C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 w:rsidR="00BD42CD"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 w:rsidR="006E3CAE">
        <w:rPr>
          <w:rFonts w:ascii="Tahoma" w:hAnsi="Tahoma" w:cs="Tahoma"/>
          <w:sz w:val="20"/>
          <w:szCs w:val="20"/>
        </w:rPr>
        <w:t>;</w:t>
      </w:r>
    </w:p>
    <w:p w14:paraId="24F08D7E" w14:textId="1EA18F3F" w:rsidR="006E3CAE" w:rsidRDefault="006E3CA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</w:t>
      </w:r>
      <w:r w:rsidR="00BF0C34">
        <w:rPr>
          <w:rFonts w:ascii="Tahoma" w:hAnsi="Tahoma" w:cs="Tahoma"/>
          <w:sz w:val="20"/>
          <w:szCs w:val="20"/>
        </w:rPr>
        <w:t>ыкновенные акции ПАО «Аэрофлот»</w:t>
      </w:r>
      <w:r w:rsidR="00B36DEE">
        <w:rPr>
          <w:rFonts w:ascii="Tahoma" w:hAnsi="Tahoma" w:cs="Tahoma"/>
          <w:sz w:val="20"/>
          <w:szCs w:val="20"/>
        </w:rPr>
        <w:t>;</w:t>
      </w:r>
    </w:p>
    <w:p w14:paraId="37012E38" w14:textId="1B5327B4" w:rsidR="00ED6105" w:rsidRDefault="00ED6105" w:rsidP="00ED6105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«Полюс»;</w:t>
      </w:r>
    </w:p>
    <w:p w14:paraId="6026D551" w14:textId="796EAB24" w:rsidR="00ED6105" w:rsidRDefault="00ED6105" w:rsidP="00ED6105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«ММК»;</w:t>
      </w:r>
    </w:p>
    <w:p w14:paraId="391358DD" w14:textId="2F5BDED6" w:rsidR="00B36DEE" w:rsidRDefault="00B36DE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Марижируемый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8616E2">
        <w:rPr>
          <w:rFonts w:ascii="Tahoma" w:hAnsi="Tahoma" w:cs="Tahoma"/>
          <w:color w:val="000000"/>
          <w:sz w:val="20"/>
          <w:szCs w:val="20"/>
        </w:rPr>
        <w:t>индекс акций американских эмитентов (US500)</w:t>
      </w:r>
    </w:p>
    <w:p w14:paraId="3B70F19E" w14:textId="77777777" w:rsidR="00BC5026" w:rsidRPr="0022539B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</w:rPr>
      </w:pPr>
    </w:p>
    <w:p w14:paraId="76F201E1" w14:textId="2BD370A8" w:rsidR="005F65A3" w:rsidRPr="00FC14AD" w:rsidRDefault="00BC5026" w:rsidP="001357FB">
      <w:pPr>
        <w:spacing w:after="0" w:line="240" w:lineRule="auto"/>
        <w:ind w:left="567" w:right="283" w:hanging="283"/>
        <w:jc w:val="both"/>
        <w:rPr>
          <w:rFonts w:ascii="Tahoma" w:hAnsi="Tahoma" w:cs="Tahoma"/>
          <w:sz w:val="20"/>
          <w:szCs w:val="20"/>
        </w:rPr>
      </w:pPr>
      <w:r w:rsidRPr="00FC14AD">
        <w:rPr>
          <w:rFonts w:ascii="Tahoma" w:hAnsi="Tahoma" w:cs="Tahoma"/>
          <w:sz w:val="20"/>
          <w:szCs w:val="20"/>
        </w:rPr>
        <w:t xml:space="preserve">2. </w:t>
      </w:r>
      <w:r w:rsidR="00701CCB" w:rsidRPr="00FC14AD">
        <w:rPr>
          <w:rFonts w:ascii="Tahoma" w:hAnsi="Tahoma" w:cs="Tahoma"/>
          <w:sz w:val="20"/>
          <w:szCs w:val="20"/>
        </w:rPr>
        <w:t xml:space="preserve">Установить </w:t>
      </w:r>
      <w:r w:rsidR="009E204F" w:rsidRPr="009E204F">
        <w:rPr>
          <w:rFonts w:ascii="Tahoma" w:hAnsi="Tahoma" w:cs="Tahoma"/>
          <w:sz w:val="20"/>
          <w:szCs w:val="20"/>
        </w:rPr>
        <w:t>11</w:t>
      </w:r>
      <w:r w:rsidR="00ED6105">
        <w:rPr>
          <w:rFonts w:ascii="Tahoma" w:hAnsi="Tahoma" w:cs="Tahoma"/>
          <w:sz w:val="20"/>
          <w:szCs w:val="20"/>
        </w:rPr>
        <w:t xml:space="preserve"> </w:t>
      </w:r>
      <w:r w:rsidR="00F16BD0">
        <w:rPr>
          <w:rFonts w:ascii="Tahoma" w:hAnsi="Tahoma" w:cs="Tahoma"/>
          <w:sz w:val="20"/>
          <w:szCs w:val="20"/>
        </w:rPr>
        <w:t>октября</w:t>
      </w:r>
      <w:r w:rsidR="00690574" w:rsidRPr="00FC14AD">
        <w:rPr>
          <w:rFonts w:ascii="Tahoma" w:hAnsi="Tahoma" w:cs="Tahoma"/>
          <w:sz w:val="20"/>
          <w:szCs w:val="20"/>
        </w:rPr>
        <w:t xml:space="preserve"> 2</w:t>
      </w:r>
      <w:r w:rsidR="00B74127" w:rsidRPr="00FC14AD">
        <w:rPr>
          <w:rFonts w:ascii="Tahoma" w:hAnsi="Tahoma" w:cs="Tahoma"/>
          <w:sz w:val="20"/>
          <w:szCs w:val="20"/>
        </w:rPr>
        <w:t>0</w:t>
      </w:r>
      <w:r w:rsidR="0055500E" w:rsidRPr="00FC14AD">
        <w:rPr>
          <w:rFonts w:ascii="Tahoma" w:hAnsi="Tahoma" w:cs="Tahoma"/>
          <w:sz w:val="20"/>
          <w:szCs w:val="20"/>
        </w:rPr>
        <w:t>1</w:t>
      </w:r>
      <w:r w:rsidR="00B36DEE">
        <w:rPr>
          <w:rFonts w:ascii="Tahoma" w:hAnsi="Tahoma" w:cs="Tahoma"/>
          <w:sz w:val="20"/>
          <w:szCs w:val="20"/>
        </w:rPr>
        <w:t>9</w:t>
      </w:r>
      <w:r w:rsidR="00701CCB" w:rsidRPr="00FC14AD">
        <w:rPr>
          <w:rFonts w:ascii="Tahoma" w:hAnsi="Tahoma" w:cs="Tahoma"/>
          <w:sz w:val="20"/>
          <w:szCs w:val="20"/>
        </w:rPr>
        <w:t xml:space="preserve"> года </w:t>
      </w:r>
      <w:r w:rsidR="00CD5782" w:rsidRPr="00FC14AD">
        <w:rPr>
          <w:rFonts w:ascii="Tahoma" w:hAnsi="Tahoma" w:cs="Tahoma"/>
          <w:sz w:val="20"/>
          <w:szCs w:val="20"/>
        </w:rPr>
        <w:t xml:space="preserve">как </w:t>
      </w:r>
      <w:r w:rsidR="00F51AEF" w:rsidRPr="00FC14AD">
        <w:rPr>
          <w:rFonts w:ascii="Tahoma" w:hAnsi="Tahoma" w:cs="Tahoma"/>
          <w:sz w:val="20"/>
          <w:szCs w:val="20"/>
        </w:rPr>
        <w:t>дат</w:t>
      </w:r>
      <w:r w:rsidR="00CD5782" w:rsidRPr="00FC14AD">
        <w:rPr>
          <w:rFonts w:ascii="Tahoma" w:hAnsi="Tahoma" w:cs="Tahoma"/>
          <w:sz w:val="20"/>
          <w:szCs w:val="20"/>
        </w:rPr>
        <w:t>у</w:t>
      </w:r>
      <w:r w:rsidR="00F51AEF" w:rsidRPr="00FC14AD">
        <w:rPr>
          <w:rFonts w:ascii="Tahoma" w:hAnsi="Tahoma" w:cs="Tahoma"/>
          <w:sz w:val="20"/>
          <w:szCs w:val="20"/>
        </w:rPr>
        <w:t xml:space="preserve"> вступления Перечня</w:t>
      </w:r>
      <w:r w:rsidR="00CD5782" w:rsidRPr="00FC14AD">
        <w:rPr>
          <w:rFonts w:ascii="Tahoma" w:hAnsi="Tahoma" w:cs="Tahoma"/>
          <w:sz w:val="20"/>
          <w:szCs w:val="20"/>
        </w:rPr>
        <w:t xml:space="preserve"> в силу</w:t>
      </w:r>
      <w:r w:rsidR="00B36DEE">
        <w:rPr>
          <w:rFonts w:ascii="Tahoma" w:hAnsi="Tahoma" w:cs="Tahoma"/>
          <w:sz w:val="20"/>
          <w:szCs w:val="20"/>
        </w:rPr>
        <w:t>.</w:t>
      </w:r>
      <w:r w:rsidR="00CD5782" w:rsidRPr="00FC14AD">
        <w:rPr>
          <w:rFonts w:ascii="Tahoma" w:hAnsi="Tahoma" w:cs="Tahoma"/>
          <w:sz w:val="20"/>
          <w:szCs w:val="20"/>
        </w:rPr>
        <w:t xml:space="preserve"> </w:t>
      </w:r>
    </w:p>
    <w:p w14:paraId="4516A413" w14:textId="77777777" w:rsidR="00B36DEE" w:rsidRDefault="00B36DEE" w:rsidP="001357FB">
      <w:pPr>
        <w:spacing w:after="0" w:line="240" w:lineRule="auto"/>
        <w:ind w:left="567" w:right="283" w:hanging="283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36DE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EBB8A3C4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5B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0045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2018-10-16T07:24:00Z</cp:lastPrinted>
  <dcterms:created xsi:type="dcterms:W3CDTF">2019-10-15T11:53:00Z</dcterms:created>
  <dcterms:modified xsi:type="dcterms:W3CDTF">2019-10-15T11:53:00Z</dcterms:modified>
</cp:coreProperties>
</file>