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862C" w14:textId="77777777" w:rsidR="00B335E9" w:rsidRPr="001357F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F1B28D0" w14:textId="6E60DF31" w:rsidR="00B335E9" w:rsidRPr="0035524A" w:rsidRDefault="0035524A" w:rsidP="0035524A">
      <w:pPr>
        <w:spacing w:after="0" w:line="240" w:lineRule="auto"/>
        <w:jc w:val="right"/>
        <w:rPr>
          <w:rFonts w:ascii="Tahoma" w:hAnsi="Tahoma" w:cs="Tahoma"/>
          <w:b/>
          <w:color w:val="92D050"/>
          <w:sz w:val="24"/>
          <w:szCs w:val="24"/>
        </w:rPr>
      </w:pPr>
      <w:r w:rsidRPr="0035524A">
        <w:rPr>
          <w:rFonts w:ascii="Tahoma" w:hAnsi="Tahoma" w:cs="Tahoma"/>
          <w:b/>
          <w:color w:val="92D050"/>
          <w:sz w:val="24"/>
          <w:szCs w:val="24"/>
        </w:rPr>
        <w:t xml:space="preserve">Действует с </w:t>
      </w:r>
      <w:r w:rsidR="00D80092">
        <w:rPr>
          <w:rFonts w:ascii="Tahoma" w:hAnsi="Tahoma" w:cs="Tahoma"/>
          <w:b/>
          <w:color w:val="92D050"/>
          <w:sz w:val="24"/>
          <w:szCs w:val="24"/>
        </w:rPr>
        <w:t>21 декабря</w:t>
      </w:r>
      <w:r w:rsidRPr="0035524A">
        <w:rPr>
          <w:rFonts w:ascii="Tahoma" w:hAnsi="Tahoma" w:cs="Tahoma"/>
          <w:b/>
          <w:color w:val="92D050"/>
          <w:sz w:val="24"/>
          <w:szCs w:val="24"/>
        </w:rPr>
        <w:t xml:space="preserve"> 2020г</w:t>
      </w:r>
    </w:p>
    <w:p w14:paraId="5FF9A3CE" w14:textId="77777777" w:rsidR="003A5D5B" w:rsidRPr="0022539B" w:rsidRDefault="003A5D5B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DF36D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404B0E" w14:textId="77777777" w:rsidR="00B335E9" w:rsidRPr="0022539B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68C233D" w14:textId="1C1B50F0" w:rsidR="00B335E9" w:rsidRDefault="00B335E9" w:rsidP="00B335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244A1C" w14:textId="1F295BF0" w:rsidR="001860B1" w:rsidRPr="0022539B" w:rsidRDefault="0035524A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1860B1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</w:t>
      </w:r>
      <w:r w:rsidR="001860B1" w:rsidRPr="0022539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ь</w:t>
      </w:r>
      <w:r w:rsidR="001860B1" w:rsidRPr="002253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860B1" w:rsidRPr="0022539B">
        <w:rPr>
          <w:rFonts w:ascii="Tahoma" w:hAnsi="Tahoma" w:cs="Tahoma"/>
          <w:b/>
          <w:sz w:val="20"/>
          <w:szCs w:val="20"/>
        </w:rPr>
        <w:t>низколиквидных</w:t>
      </w:r>
      <w:proofErr w:type="spellEnd"/>
      <w:r w:rsidR="001860B1" w:rsidRPr="0022539B">
        <w:rPr>
          <w:rFonts w:ascii="Tahoma" w:hAnsi="Tahoma" w:cs="Tahoma"/>
          <w:b/>
          <w:sz w:val="20"/>
          <w:szCs w:val="20"/>
        </w:rPr>
        <w:t xml:space="preserve"> инструментов</w:t>
      </w:r>
    </w:p>
    <w:p w14:paraId="0F3BE70C" w14:textId="77777777" w:rsidR="00553B82" w:rsidRPr="0022539B" w:rsidRDefault="001860B1" w:rsidP="00C332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 xml:space="preserve">на Срочном рынке </w:t>
      </w:r>
      <w:r w:rsidR="002731AA" w:rsidRPr="0022539B">
        <w:rPr>
          <w:rFonts w:ascii="Tahoma" w:hAnsi="Tahoma" w:cs="Tahoma"/>
          <w:b/>
          <w:sz w:val="20"/>
          <w:szCs w:val="20"/>
        </w:rPr>
        <w:t xml:space="preserve">ПАО </w:t>
      </w:r>
      <w:r w:rsidRPr="0022539B">
        <w:rPr>
          <w:rFonts w:ascii="Tahoma" w:hAnsi="Tahoma" w:cs="Tahoma"/>
          <w:b/>
          <w:sz w:val="20"/>
          <w:szCs w:val="20"/>
        </w:rPr>
        <w:t>Московская Биржа</w:t>
      </w:r>
    </w:p>
    <w:p w14:paraId="081B66CB" w14:textId="77777777" w:rsidR="00D904AE" w:rsidRPr="0022539B" w:rsidRDefault="00D904AE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01A4682" w14:textId="77777777" w:rsidR="00117B03" w:rsidRPr="0022539B" w:rsidRDefault="00BC5026" w:rsidP="00117B03">
      <w:pPr>
        <w:spacing w:before="240"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7B0FB3C7" w14:textId="0E02ACBC" w:rsidR="00117B03" w:rsidRPr="0022539B" w:rsidRDefault="00117B03" w:rsidP="00117B03">
      <w:pPr>
        <w:spacing w:after="240" w:line="240" w:lineRule="auto"/>
        <w:ind w:right="283" w:firstLine="284"/>
        <w:jc w:val="both"/>
        <w:rPr>
          <w:rFonts w:ascii="Tahoma" w:hAnsi="Tahoma" w:cs="Tahoma"/>
          <w:sz w:val="20"/>
          <w:szCs w:val="20"/>
        </w:rPr>
      </w:pPr>
      <w:r w:rsidRPr="0022539B">
        <w:rPr>
          <w:rFonts w:ascii="Tahoma" w:hAnsi="Tahoma" w:cs="Tahoma"/>
          <w:sz w:val="20"/>
          <w:szCs w:val="20"/>
        </w:rPr>
        <w:t xml:space="preserve">Установить следующий перечень </w:t>
      </w:r>
      <w:proofErr w:type="spellStart"/>
      <w:r w:rsidRPr="0022539B">
        <w:rPr>
          <w:rFonts w:ascii="Tahoma" w:hAnsi="Tahoma" w:cs="Tahoma"/>
          <w:sz w:val="20"/>
          <w:szCs w:val="20"/>
        </w:rPr>
        <w:t>низколиквидных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инструментов на Срочном рынке ПАО Московская Биржа</w:t>
      </w:r>
      <w:r>
        <w:rPr>
          <w:rFonts w:ascii="Tahoma" w:hAnsi="Tahoma" w:cs="Tahoma"/>
          <w:sz w:val="20"/>
          <w:szCs w:val="20"/>
        </w:rPr>
        <w:t xml:space="preserve"> </w:t>
      </w:r>
      <w:r w:rsidRPr="0022539B">
        <w:rPr>
          <w:rFonts w:ascii="Tahoma" w:hAnsi="Tahoma" w:cs="Tahoma"/>
          <w:sz w:val="20"/>
          <w:szCs w:val="20"/>
        </w:rPr>
        <w:t>для целей расчёта сбора за неэффективные транзакции:</w:t>
      </w:r>
    </w:p>
    <w:p w14:paraId="2470CF3B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Фьючерсный контракт на Индекс ММВБ (мини);</w:t>
      </w:r>
    </w:p>
    <w:p w14:paraId="16CAE0A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ставку RUONIA;</w:t>
      </w:r>
    </w:p>
    <w:p w14:paraId="001A2950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RUSFAR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06AF9B16" w14:textId="77777777" w:rsidR="00117B03" w:rsidRPr="004A0EAE" w:rsidRDefault="00117B03" w:rsidP="00117B03">
      <w:pPr>
        <w:pStyle w:val="a4"/>
        <w:numPr>
          <w:ilvl w:val="0"/>
          <w:numId w:val="3"/>
        </w:numPr>
        <w:ind w:left="851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4A0EAE">
        <w:rPr>
          <w:rFonts w:ascii="Tahoma" w:hAnsi="Tahoma" w:cs="Tahoma"/>
          <w:color w:val="000000"/>
          <w:sz w:val="20"/>
          <w:szCs w:val="20"/>
        </w:rPr>
        <w:t>Фьючерсный контракт на ставку RUSFAR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4A0EAE">
        <w:rPr>
          <w:rFonts w:ascii="Tahoma" w:hAnsi="Tahoma" w:cs="Tahoma"/>
          <w:color w:val="000000"/>
          <w:sz w:val="20"/>
          <w:szCs w:val="20"/>
        </w:rPr>
        <w:t>;</w:t>
      </w:r>
    </w:p>
    <w:p w14:paraId="19DD573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ставку трехмесячного кредита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MosPrime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B68828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волатильность российского рынка;</w:t>
      </w:r>
    </w:p>
    <w:p w14:paraId="5363B17F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C327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29D2576" w14:textId="77777777" w:rsidR="00117B03" w:rsidRPr="00E82C8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E82C83">
        <w:rPr>
          <w:rFonts w:ascii="Tahoma" w:hAnsi="Tahoma" w:cs="Tahoma"/>
          <w:color w:val="000000"/>
          <w:sz w:val="20"/>
          <w:szCs w:val="20"/>
        </w:rPr>
        <w:t>Фьючерсный контракт на природный газ;</w:t>
      </w:r>
    </w:p>
    <w:p w14:paraId="51B2EEEA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аффинированную платину в слитках;</w:t>
      </w:r>
    </w:p>
    <w:p w14:paraId="5884790C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аффинированный палладий в слитках;</w:t>
      </w:r>
    </w:p>
    <w:p w14:paraId="6D24ACB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алюминий;</w:t>
      </w:r>
    </w:p>
    <w:p w14:paraId="330366F0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медь;</w:t>
      </w:r>
    </w:p>
    <w:p w14:paraId="2490D955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цинк;</w:t>
      </w:r>
    </w:p>
    <w:p w14:paraId="63EE6B0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никель;</w:t>
      </w:r>
    </w:p>
    <w:p w14:paraId="4C8D64AE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медь;</w:t>
      </w:r>
    </w:p>
    <w:p w14:paraId="675C3F53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сахар-сырец;</w:t>
      </w:r>
    </w:p>
    <w:p w14:paraId="58F6445E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золото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(поставочный);</w:t>
      </w:r>
    </w:p>
    <w:p w14:paraId="7AA9B598" w14:textId="155F583C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серебро</w:t>
      </w:r>
      <w:r w:rsidRPr="00570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(поставочный</w:t>
      </w:r>
      <w:r w:rsidRPr="00606D32">
        <w:rPr>
          <w:rFonts w:ascii="Tahoma" w:hAnsi="Tahoma" w:cs="Tahoma"/>
          <w:sz w:val="20"/>
          <w:szCs w:val="20"/>
        </w:rPr>
        <w:t>)</w:t>
      </w:r>
      <w:r w:rsidRPr="00F16BD0">
        <w:rPr>
          <w:rFonts w:ascii="Tahoma" w:hAnsi="Tahoma" w:cs="Tahoma"/>
          <w:sz w:val="20"/>
          <w:szCs w:val="20"/>
        </w:rPr>
        <w:t>;</w:t>
      </w:r>
    </w:p>
    <w:p w14:paraId="05C8ABF9" w14:textId="5EB677B8" w:rsidR="00D80092" w:rsidRPr="00997970" w:rsidRDefault="00D80092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пшеницу;</w:t>
      </w:r>
    </w:p>
    <w:p w14:paraId="5BA87430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украинская гривна;</w:t>
      </w:r>
    </w:p>
    <w:p w14:paraId="687E4BE6" w14:textId="77777777" w:rsidR="00117B03" w:rsidRPr="006B1CE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B1CE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японская йена;</w:t>
      </w:r>
    </w:p>
    <w:p w14:paraId="50329710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канадский доллар;</w:t>
      </w:r>
    </w:p>
    <w:p w14:paraId="3FDA18DB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турецкая лира;</w:t>
      </w:r>
    </w:p>
    <w:p w14:paraId="2CF84D72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доллар США – швейцарский франк;</w:t>
      </w:r>
    </w:p>
    <w:p w14:paraId="4CBFD79E" w14:textId="77777777" w:rsidR="00117B03" w:rsidRPr="00997970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Фьючерсный контракт на курс доллар США – индийская рупия</w:t>
      </w:r>
      <w:r w:rsidRPr="00997970">
        <w:rPr>
          <w:rFonts w:ascii="Tahoma" w:hAnsi="Tahoma" w:cs="Tahoma"/>
          <w:sz w:val="20"/>
          <w:szCs w:val="20"/>
        </w:rPr>
        <w:t>;</w:t>
      </w:r>
    </w:p>
    <w:p w14:paraId="76BFB3F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курс китайский юань – российский рубль;</w:t>
      </w:r>
    </w:p>
    <w:p w14:paraId="3369112F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курс </w:t>
      </w:r>
      <w:r>
        <w:rPr>
          <w:rFonts w:ascii="Tahoma" w:hAnsi="Tahoma" w:cs="Tahoma"/>
          <w:color w:val="000000"/>
          <w:sz w:val="20"/>
          <w:szCs w:val="20"/>
        </w:rPr>
        <w:t>доллар США</w:t>
      </w:r>
      <w:r w:rsidRPr="00D336B4">
        <w:rPr>
          <w:rFonts w:ascii="Tahoma" w:hAnsi="Tahoma" w:cs="Tahoma"/>
          <w:color w:val="000000"/>
          <w:sz w:val="20"/>
          <w:szCs w:val="20"/>
        </w:rPr>
        <w:t xml:space="preserve"> – российский рубль;</w:t>
      </w:r>
    </w:p>
    <w:p w14:paraId="60C4FFEE" w14:textId="77777777" w:rsidR="00117B03" w:rsidRPr="00D336B4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>Фьючерсный контракт на курс евро – российский рубль;</w:t>
      </w:r>
    </w:p>
    <w:p w14:paraId="009B2EB9" w14:textId="77777777" w:rsidR="00117B03" w:rsidRPr="00BC78C8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rPr>
          <w:rFonts w:ascii="Tahoma" w:hAnsi="Tahoma" w:cs="Tahoma"/>
          <w:color w:val="000000"/>
          <w:sz w:val="20"/>
          <w:szCs w:val="20"/>
        </w:rPr>
      </w:pPr>
      <w:r w:rsidRPr="00BC78C8">
        <w:rPr>
          <w:rFonts w:ascii="Tahoma" w:hAnsi="Tahoma" w:cs="Tahoma"/>
          <w:color w:val="000000"/>
          <w:sz w:val="20"/>
          <w:szCs w:val="20"/>
        </w:rPr>
        <w:t>Фьючерсный контракт на курс австралийский доллар – доллар США;</w:t>
      </w:r>
    </w:p>
    <w:p w14:paraId="5C5C19D7" w14:textId="77777777" w:rsidR="00117B03" w:rsidRPr="00BC78C8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rPr>
          <w:rFonts w:ascii="Tahoma" w:hAnsi="Tahoma" w:cs="Tahoma"/>
          <w:color w:val="000000"/>
          <w:sz w:val="20"/>
          <w:szCs w:val="20"/>
        </w:rPr>
      </w:pPr>
      <w:r w:rsidRPr="00BC78C8">
        <w:rPr>
          <w:rFonts w:ascii="Tahoma" w:hAnsi="Tahoma" w:cs="Tahoma"/>
          <w:color w:val="000000"/>
          <w:sz w:val="20"/>
          <w:szCs w:val="20"/>
        </w:rPr>
        <w:t>Фьючерсный контракт на курс фунт стерлингов – доллар США;</w:t>
      </w:r>
    </w:p>
    <w:p w14:paraId="54583482" w14:textId="77777777" w:rsidR="00117B03" w:rsidRPr="00D336B4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D336B4">
        <w:rPr>
          <w:rFonts w:ascii="Tahoma" w:hAnsi="Tahoma" w:cs="Tahoma"/>
          <w:color w:val="000000"/>
          <w:sz w:val="20"/>
          <w:szCs w:val="20"/>
        </w:rPr>
        <w:t>Фьючерсный контракт на курс евро – доллар США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6E337A4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</w:t>
      </w:r>
      <w:r>
        <w:rPr>
          <w:rFonts w:ascii="Tahoma" w:hAnsi="Tahoma" w:cs="Tahoma"/>
          <w:color w:val="000000"/>
          <w:sz w:val="20"/>
          <w:szCs w:val="20"/>
        </w:rPr>
        <w:t>ный контракт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Siemens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65DA754E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Daimler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08D30C4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Volkswagen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238BAD1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BMW AG;</w:t>
      </w:r>
    </w:p>
    <w:p w14:paraId="407BC09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Deutsche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AG;</w:t>
      </w:r>
    </w:p>
    <w:p w14:paraId="66974E8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привилегированные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«АК «Транснефть»;</w:t>
      </w:r>
    </w:p>
    <w:p w14:paraId="55AC27F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ОАО «Сургутнефтегаз;</w:t>
      </w:r>
    </w:p>
    <w:p w14:paraId="4886454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привилегированные акции ОАО «Сургутнефтегаз»;</w:t>
      </w:r>
    </w:p>
    <w:p w14:paraId="621BF1F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ПАО «Татнефть» им. В.Д. </w:t>
      </w: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51E1CF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«Магнит»;</w:t>
      </w:r>
    </w:p>
    <w:p w14:paraId="4F493AB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Московская Биржа</w:t>
      </w:r>
    </w:p>
    <w:p w14:paraId="475D7CC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«МТС»;</w:t>
      </w:r>
    </w:p>
    <w:p w14:paraId="6888CE62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«РусГидро»;</w:t>
      </w:r>
    </w:p>
    <w:p w14:paraId="63627B9D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«Северсталь»;</w:t>
      </w:r>
    </w:p>
    <w:p w14:paraId="542D1318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обыкновенные акции АК «АЛРОСА»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 (ПАО);</w:t>
      </w:r>
    </w:p>
    <w:p w14:paraId="6042707C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lastRenderedPageBreak/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«НЛМК»;</w:t>
      </w:r>
    </w:p>
    <w:p w14:paraId="6FE22D0B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>П</w:t>
      </w:r>
      <w:r w:rsidRPr="0022539B">
        <w:rPr>
          <w:rFonts w:ascii="Tahoma" w:hAnsi="Tahoma" w:cs="Tahoma"/>
          <w:color w:val="000000"/>
          <w:sz w:val="20"/>
          <w:szCs w:val="20"/>
        </w:rPr>
        <w:t>АО «НОВАТЭК»;</w:t>
      </w:r>
    </w:p>
    <w:p w14:paraId="52E703B1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«Ростелеком»;</w:t>
      </w:r>
    </w:p>
    <w:p w14:paraId="0385918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 «Уралкалий»;</w:t>
      </w:r>
    </w:p>
    <w:p w14:paraId="362C443A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Аэрофлот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5B4245A7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22539B">
        <w:rPr>
          <w:rFonts w:ascii="Tahoma" w:hAnsi="Tahoma" w:cs="Tahoma"/>
          <w:color w:val="000000"/>
          <w:sz w:val="20"/>
          <w:szCs w:val="20"/>
        </w:rPr>
        <w:t>Фьючерсный контракт на о</w:t>
      </w:r>
      <w:r>
        <w:rPr>
          <w:rFonts w:ascii="Tahoma" w:hAnsi="Tahoma" w:cs="Tahoma"/>
          <w:color w:val="000000"/>
          <w:sz w:val="20"/>
          <w:szCs w:val="20"/>
        </w:rPr>
        <w:t xml:space="preserve">быкновенные акции ПАО </w:t>
      </w:r>
      <w:r w:rsidRPr="0022539B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Полюс</w:t>
      </w:r>
      <w:r w:rsidRPr="0022539B">
        <w:rPr>
          <w:rFonts w:ascii="Tahoma" w:hAnsi="Tahoma" w:cs="Tahoma"/>
          <w:color w:val="000000"/>
          <w:sz w:val="20"/>
          <w:szCs w:val="20"/>
        </w:rPr>
        <w:t>»;</w:t>
      </w:r>
    </w:p>
    <w:p w14:paraId="1876F6A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D6105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 ПАО</w:t>
      </w:r>
      <w:r>
        <w:rPr>
          <w:rFonts w:ascii="Tahoma" w:hAnsi="Tahoma" w:cs="Tahoma"/>
          <w:color w:val="000000"/>
          <w:sz w:val="20"/>
          <w:szCs w:val="20"/>
        </w:rPr>
        <w:t xml:space="preserve"> «ММК»;</w:t>
      </w:r>
    </w:p>
    <w:p w14:paraId="26E230FA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</w:rPr>
      </w:pPr>
      <w:bookmarkStart w:id="0" w:name="_Hlk59198913"/>
      <w:r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 w:rsidRPr="008F1771">
        <w:rPr>
          <w:rFonts w:ascii="Tahoma" w:hAnsi="Tahoma" w:cs="Tahoma"/>
          <w:color w:val="000000"/>
          <w:sz w:val="20"/>
          <w:szCs w:val="20"/>
        </w:rPr>
        <w:t>обыкновенные акции «Яндекс Н.В.»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bookmarkEnd w:id="0"/>
    <w:p w14:paraId="4E7DB066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обыкновенные акции </w:t>
      </w:r>
      <w:r>
        <w:rPr>
          <w:rFonts w:ascii="Tahoma" w:hAnsi="Tahoma" w:cs="Tahoma"/>
          <w:color w:val="000000"/>
          <w:sz w:val="20"/>
          <w:szCs w:val="20"/>
        </w:rPr>
        <w:t xml:space="preserve">ПАО </w:t>
      </w:r>
      <w:r w:rsidRPr="005737FF">
        <w:rPr>
          <w:rFonts w:ascii="Tahoma" w:hAnsi="Tahoma" w:cs="Tahoma"/>
          <w:color w:val="000000"/>
          <w:sz w:val="20"/>
          <w:szCs w:val="20"/>
        </w:rPr>
        <w:t>«</w:t>
      </w:r>
      <w:r>
        <w:rPr>
          <w:rFonts w:ascii="Tahoma" w:hAnsi="Tahoma" w:cs="Tahoma"/>
          <w:color w:val="000000"/>
          <w:sz w:val="20"/>
          <w:szCs w:val="20"/>
        </w:rPr>
        <w:t>АФК Система</w:t>
      </w:r>
      <w:r w:rsidRPr="005737FF">
        <w:rPr>
          <w:rFonts w:ascii="Tahoma" w:hAnsi="Tahoma" w:cs="Tahoma"/>
          <w:color w:val="000000"/>
          <w:sz w:val="20"/>
          <w:szCs w:val="20"/>
        </w:rPr>
        <w:t>»;</w:t>
      </w:r>
    </w:p>
    <w:p w14:paraId="46E52121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</w:t>
      </w:r>
      <w:r>
        <w:rPr>
          <w:rFonts w:ascii="Tahoma" w:hAnsi="Tahoma" w:cs="Tahoma"/>
          <w:color w:val="000000"/>
          <w:sz w:val="20"/>
          <w:szCs w:val="20"/>
        </w:rPr>
        <w:t xml:space="preserve">глобальные депозитарные расписки (ГДР) на акции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ТиСиЭс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Холдинг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ПиЭлСи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>;</w:t>
      </w:r>
    </w:p>
    <w:p w14:paraId="5F34D44A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 xml:space="preserve">Фьючерсный контракт на глобальные депозитарные расписки (ГДР) на акции Икс 5 Ритейл </w:t>
      </w:r>
      <w:proofErr w:type="spellStart"/>
      <w:r w:rsidRPr="005737FF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5737FF">
        <w:rPr>
          <w:rFonts w:ascii="Tahoma" w:hAnsi="Tahoma" w:cs="Tahoma"/>
          <w:color w:val="000000"/>
          <w:sz w:val="20"/>
          <w:szCs w:val="20"/>
        </w:rPr>
        <w:t xml:space="preserve"> Н.В;</w:t>
      </w:r>
    </w:p>
    <w:p w14:paraId="08C10AE8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глобальные депозитарные расписки (ГДР</w:t>
      </w:r>
      <w:r>
        <w:rPr>
          <w:rFonts w:ascii="Tahoma" w:hAnsi="Tahoma" w:cs="Tahoma"/>
          <w:color w:val="000000"/>
          <w:sz w:val="20"/>
          <w:szCs w:val="20"/>
        </w:rPr>
        <w:t xml:space="preserve">) на акции </w:t>
      </w:r>
      <w:proofErr w:type="spellStart"/>
      <w:r w:rsidRPr="00A80200">
        <w:rPr>
          <w:rFonts w:ascii="Tahoma" w:hAnsi="Tahoma" w:cs="Tahoma"/>
          <w:color w:val="000000"/>
          <w:sz w:val="20"/>
          <w:szCs w:val="20"/>
        </w:rPr>
        <w:t>Мэйл.ру</w:t>
      </w:r>
      <w:proofErr w:type="spellEnd"/>
      <w:r w:rsidRPr="00A80200">
        <w:rPr>
          <w:rFonts w:ascii="Tahoma" w:hAnsi="Tahoma" w:cs="Tahoma"/>
          <w:color w:val="000000"/>
          <w:sz w:val="20"/>
          <w:szCs w:val="20"/>
        </w:rPr>
        <w:t> </w:t>
      </w:r>
      <w:proofErr w:type="spellStart"/>
      <w:r w:rsidRPr="00A80200">
        <w:rPr>
          <w:rFonts w:ascii="Tahoma" w:hAnsi="Tahoma" w:cs="Tahoma"/>
          <w:color w:val="000000"/>
          <w:sz w:val="20"/>
          <w:szCs w:val="20"/>
        </w:rPr>
        <w:t>Груп</w:t>
      </w:r>
      <w:proofErr w:type="spellEnd"/>
      <w:r w:rsidRPr="00A80200">
        <w:rPr>
          <w:rFonts w:ascii="Tahoma" w:hAnsi="Tahoma" w:cs="Tahoma"/>
          <w:color w:val="000000"/>
          <w:sz w:val="20"/>
          <w:szCs w:val="20"/>
        </w:rPr>
        <w:t> Лимитед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70CC0899" w14:textId="77777777" w:rsidR="00117B03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</w:t>
      </w:r>
      <w:r w:rsidRPr="00A80200">
        <w:t xml:space="preserve"> </w:t>
      </w:r>
      <w:r w:rsidRPr="00A80200">
        <w:rPr>
          <w:rFonts w:ascii="Tahoma" w:hAnsi="Tahoma" w:cs="Tahoma"/>
          <w:color w:val="000000"/>
          <w:sz w:val="20"/>
          <w:szCs w:val="20"/>
        </w:rPr>
        <w:t>«Полиметалл Интернэшнл»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5E72B6C3" w14:textId="77777777" w:rsidR="00117B03" w:rsidRPr="005737FF" w:rsidRDefault="00117B03" w:rsidP="00117B03">
      <w:pPr>
        <w:pStyle w:val="a4"/>
        <w:numPr>
          <w:ilvl w:val="0"/>
          <w:numId w:val="3"/>
        </w:numPr>
        <w:ind w:left="851" w:hanging="567"/>
        <w:rPr>
          <w:rFonts w:ascii="Tahoma" w:hAnsi="Tahoma" w:cs="Tahoma"/>
          <w:color w:val="000000"/>
          <w:sz w:val="20"/>
          <w:szCs w:val="20"/>
        </w:rPr>
      </w:pPr>
      <w:r w:rsidRPr="005737FF">
        <w:rPr>
          <w:rFonts w:ascii="Tahoma" w:hAnsi="Tahoma" w:cs="Tahoma"/>
          <w:color w:val="000000"/>
          <w:sz w:val="20"/>
          <w:szCs w:val="20"/>
        </w:rPr>
        <w:t>Фьючерсный контракт на обыкновенные акции</w:t>
      </w:r>
      <w:r w:rsidRPr="00A80200">
        <w:t xml:space="preserve"> </w:t>
      </w:r>
      <w:r w:rsidRPr="00A80200">
        <w:rPr>
          <w:rFonts w:ascii="Tahoma" w:hAnsi="Tahoma" w:cs="Tahoma"/>
          <w:color w:val="000000"/>
          <w:sz w:val="20"/>
          <w:szCs w:val="20"/>
        </w:rPr>
        <w:t>ПАО «Интер РАО ЕЭС»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14:paraId="71DA474E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D1362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5D1362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</w:t>
      </w:r>
      <w:r>
        <w:rPr>
          <w:rFonts w:ascii="Tahoma" w:hAnsi="Tahoma" w:cs="Tahoma"/>
          <w:color w:val="000000"/>
          <w:sz w:val="20"/>
          <w:szCs w:val="20"/>
        </w:rPr>
        <w:t>тракт на курс евро – доллар США</w:t>
      </w:r>
      <w:r w:rsidRPr="005D1362">
        <w:rPr>
          <w:rFonts w:ascii="Tahoma" w:hAnsi="Tahoma" w:cs="Tahoma"/>
          <w:color w:val="000000"/>
          <w:sz w:val="20"/>
          <w:szCs w:val="20"/>
        </w:rPr>
        <w:t>;</w:t>
      </w:r>
    </w:p>
    <w:p w14:paraId="5DEE6DD3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фунт стерлингов – доллар США;</w:t>
      </w:r>
    </w:p>
    <w:p w14:paraId="1EF82679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японская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39B">
        <w:rPr>
          <w:rFonts w:ascii="Tahoma" w:hAnsi="Tahoma" w:cs="Tahoma"/>
          <w:color w:val="000000"/>
          <w:sz w:val="20"/>
          <w:szCs w:val="20"/>
        </w:rPr>
        <w:t>йена</w:t>
      </w:r>
    </w:p>
    <w:p w14:paraId="30E8BC3C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336B4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D336B4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</w:t>
      </w:r>
      <w:r>
        <w:rPr>
          <w:rFonts w:ascii="Tahoma" w:hAnsi="Tahoma" w:cs="Tahoma"/>
          <w:color w:val="000000"/>
          <w:sz w:val="20"/>
          <w:szCs w:val="20"/>
        </w:rPr>
        <w:t>швейцарский франк</w:t>
      </w:r>
    </w:p>
    <w:p w14:paraId="6B8A2030" w14:textId="77777777" w:rsidR="00117B03" w:rsidRPr="00183EB7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3EB7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183EB7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доллар США – канадский доллар</w:t>
      </w:r>
    </w:p>
    <w:p w14:paraId="2D01BBD6" w14:textId="77777777" w:rsidR="00117B03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336B4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D336B4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евро – российский рубль;</w:t>
      </w:r>
    </w:p>
    <w:p w14:paraId="368FD7E2" w14:textId="77777777" w:rsidR="00117B03" w:rsidRPr="00183EB7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183EB7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183EB7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курс </w:t>
      </w:r>
      <w:r>
        <w:rPr>
          <w:rFonts w:ascii="Tahoma" w:hAnsi="Tahoma" w:cs="Tahoma"/>
          <w:color w:val="000000"/>
          <w:sz w:val="20"/>
          <w:szCs w:val="20"/>
        </w:rPr>
        <w:t>доллар США</w:t>
      </w:r>
      <w:r w:rsidRPr="00183EB7">
        <w:rPr>
          <w:rFonts w:ascii="Tahoma" w:hAnsi="Tahoma" w:cs="Tahoma"/>
          <w:color w:val="000000"/>
          <w:sz w:val="20"/>
          <w:szCs w:val="20"/>
        </w:rPr>
        <w:t xml:space="preserve"> – российский рубль;</w:t>
      </w:r>
    </w:p>
    <w:p w14:paraId="4759DC75" w14:textId="77777777" w:rsidR="00117B03" w:rsidRPr="0022539B" w:rsidRDefault="00117B03" w:rsidP="00117B03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 (мини);</w:t>
      </w:r>
    </w:p>
    <w:p w14:paraId="5D6B48CC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color w:val="000000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 xml:space="preserve"> опцион на фьючерсный контракт на Индекс ММВБ;</w:t>
      </w:r>
    </w:p>
    <w:p w14:paraId="77D4A135" w14:textId="77777777" w:rsidR="00117B03" w:rsidRPr="005C327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</w:t>
      </w:r>
      <w:r w:rsidRPr="005C327B">
        <w:rPr>
          <w:rFonts w:ascii="Tahoma" w:hAnsi="Tahoma" w:cs="Tahoma"/>
          <w:color w:val="000000"/>
          <w:sz w:val="20"/>
          <w:szCs w:val="20"/>
        </w:rPr>
        <w:t xml:space="preserve">нефть сорта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Light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Sweet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Crude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C327B">
        <w:rPr>
          <w:rFonts w:ascii="Tahoma" w:hAnsi="Tahoma" w:cs="Tahoma"/>
          <w:color w:val="000000"/>
          <w:sz w:val="20"/>
          <w:szCs w:val="20"/>
        </w:rPr>
        <w:t>Oil</w:t>
      </w:r>
      <w:proofErr w:type="spellEnd"/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3396C0F" w14:textId="77777777" w:rsidR="00117B03" w:rsidRPr="005C327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5C327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5C327B">
        <w:rPr>
          <w:rFonts w:ascii="Tahoma" w:hAnsi="Tahoma" w:cs="Tahoma"/>
          <w:sz w:val="20"/>
          <w:szCs w:val="20"/>
        </w:rPr>
        <w:t xml:space="preserve"> опцион на фьючерсный контракт на золото</w:t>
      </w:r>
      <w:r w:rsidRPr="005C327B">
        <w:rPr>
          <w:rFonts w:ascii="Tahoma" w:hAnsi="Tahoma" w:cs="Tahoma"/>
          <w:color w:val="000000"/>
          <w:sz w:val="20"/>
          <w:szCs w:val="20"/>
        </w:rPr>
        <w:t>;</w:t>
      </w:r>
    </w:p>
    <w:p w14:paraId="3CF35464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платину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</w:t>
      </w:r>
    </w:p>
    <w:p w14:paraId="5DF94B1B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серебро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  <w:r w:rsidRPr="0022539B">
        <w:rPr>
          <w:rFonts w:ascii="Tahoma" w:hAnsi="Tahoma" w:cs="Tahoma"/>
          <w:sz w:val="20"/>
          <w:szCs w:val="20"/>
        </w:rPr>
        <w:t xml:space="preserve">  </w:t>
      </w:r>
    </w:p>
    <w:p w14:paraId="3FC32F4A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АК «АЛРОСА» (ПАО)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DF9F39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«Северсталь»</w:t>
      </w:r>
      <w:r w:rsidRPr="0022539B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39039DA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«ФСК ЕЭС»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AC51FA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«ГМК «Норильский никель»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75B7A9E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«РусГидро»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B7BE766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«ЛУКОЙЛ»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B691265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Московская Биржа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58F3542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«Магнит»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9F137FD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«МТС»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5FD9F2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</w:t>
      </w:r>
      <w:r>
        <w:rPr>
          <w:rFonts w:ascii="Tahoma" w:hAnsi="Tahoma" w:cs="Tahoma"/>
          <w:sz w:val="20"/>
          <w:szCs w:val="20"/>
        </w:rPr>
        <w:t>П</w:t>
      </w:r>
      <w:r w:rsidRPr="0022539B">
        <w:rPr>
          <w:rFonts w:ascii="Tahoma" w:hAnsi="Tahoma" w:cs="Tahoma"/>
          <w:sz w:val="20"/>
          <w:szCs w:val="20"/>
        </w:rPr>
        <w:t>АО «НОВАТЭК»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DCE93F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«НЛМК»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91083C4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«НК «Роснефть»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799BBFDB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«Ростелеком»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71C239A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D8EAC47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ОАО «Сургутнефтегаз»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2573F7C3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ПАО Сбербанк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CF4B0C1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привилегированные акции </w:t>
      </w:r>
      <w:r>
        <w:rPr>
          <w:rFonts w:ascii="Tahoma" w:hAnsi="Tahoma" w:cs="Tahoma"/>
          <w:sz w:val="20"/>
          <w:szCs w:val="20"/>
        </w:rPr>
        <w:t xml:space="preserve">     </w:t>
      </w:r>
      <w:r w:rsidRPr="0022539B">
        <w:rPr>
          <w:rFonts w:ascii="Tahoma" w:hAnsi="Tahoma" w:cs="Tahoma"/>
          <w:sz w:val="20"/>
          <w:szCs w:val="20"/>
        </w:rPr>
        <w:t>ПАО «Транснефть»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022DCFCF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«Татнефть» им В.Д. </w:t>
      </w:r>
      <w:proofErr w:type="spellStart"/>
      <w:r w:rsidRPr="0022539B">
        <w:rPr>
          <w:rFonts w:ascii="Tahoma" w:hAnsi="Tahoma" w:cs="Tahoma"/>
          <w:sz w:val="20"/>
          <w:szCs w:val="20"/>
        </w:rPr>
        <w:t>Шашина</w:t>
      </w:r>
      <w:proofErr w:type="spellEnd"/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3289D6B2" w14:textId="77777777" w:rsidR="00117B03" w:rsidRPr="0022539B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на обыкновенные акции ПАО «Уралкалий»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14:paraId="6CFE41BB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 Банк ВТБ </w:t>
      </w:r>
      <w:r w:rsidRPr="0022539B">
        <w:rPr>
          <w:rFonts w:ascii="Tahoma" w:hAnsi="Tahoma" w:cs="Tahoma"/>
          <w:sz w:val="20"/>
          <w:szCs w:val="20"/>
        </w:rPr>
        <w:t>(ПАО)</w:t>
      </w:r>
      <w:r>
        <w:rPr>
          <w:rFonts w:ascii="Tahoma" w:hAnsi="Tahoma" w:cs="Tahoma"/>
          <w:sz w:val="20"/>
          <w:szCs w:val="20"/>
        </w:rPr>
        <w:t>;</w:t>
      </w:r>
    </w:p>
    <w:p w14:paraId="712C9652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«Аэрофлот»;</w:t>
      </w:r>
    </w:p>
    <w:p w14:paraId="568FBD80" w14:textId="77777777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«Полюс»;</w:t>
      </w:r>
    </w:p>
    <w:p w14:paraId="6365BF20" w14:textId="2A76729D" w:rsidR="00117B03" w:rsidRDefault="00117B03" w:rsidP="00117B03">
      <w:pPr>
        <w:numPr>
          <w:ilvl w:val="0"/>
          <w:numId w:val="3"/>
        </w:numPr>
        <w:spacing w:after="0" w:line="240" w:lineRule="auto"/>
        <w:ind w:left="851" w:right="283" w:hanging="568"/>
        <w:jc w:val="both"/>
        <w:rPr>
          <w:rFonts w:ascii="Tahoma" w:hAnsi="Tahoma" w:cs="Tahoma"/>
          <w:sz w:val="20"/>
          <w:szCs w:val="20"/>
        </w:rPr>
      </w:pPr>
      <w:proofErr w:type="spellStart"/>
      <w:r w:rsidRPr="0022539B">
        <w:rPr>
          <w:rFonts w:ascii="Tahoma" w:hAnsi="Tahoma" w:cs="Tahoma"/>
          <w:sz w:val="20"/>
          <w:szCs w:val="20"/>
        </w:rPr>
        <w:t>Маржируемый</w:t>
      </w:r>
      <w:proofErr w:type="spellEnd"/>
      <w:r w:rsidRPr="0022539B">
        <w:rPr>
          <w:rFonts w:ascii="Tahoma" w:hAnsi="Tahoma" w:cs="Tahoma"/>
          <w:sz w:val="20"/>
          <w:szCs w:val="20"/>
        </w:rPr>
        <w:t xml:space="preserve"> опцион на фьючерсный контракт </w:t>
      </w:r>
      <w:r>
        <w:rPr>
          <w:rFonts w:ascii="Tahoma" w:hAnsi="Tahoma" w:cs="Tahoma"/>
          <w:sz w:val="20"/>
          <w:szCs w:val="20"/>
        </w:rPr>
        <w:t>на обыкновенные акции ПАО «ММК»</w:t>
      </w:r>
      <w:r w:rsidR="00674D90">
        <w:rPr>
          <w:rFonts w:ascii="Tahoma" w:hAnsi="Tahoma" w:cs="Tahoma"/>
          <w:sz w:val="20"/>
          <w:szCs w:val="20"/>
        </w:rPr>
        <w:t>.</w:t>
      </w:r>
      <w:bookmarkStart w:id="1" w:name="_GoBack"/>
      <w:bookmarkEnd w:id="1"/>
    </w:p>
    <w:p w14:paraId="5162107B" w14:textId="77777777" w:rsidR="00117B03" w:rsidRPr="0022539B" w:rsidRDefault="00117B03" w:rsidP="00117B03">
      <w:pPr>
        <w:spacing w:after="0" w:line="240" w:lineRule="auto"/>
        <w:ind w:left="993" w:right="283" w:hanging="284"/>
        <w:jc w:val="both"/>
        <w:rPr>
          <w:rFonts w:ascii="Tahoma" w:hAnsi="Tahoma" w:cs="Tahoma"/>
          <w:sz w:val="20"/>
          <w:szCs w:val="20"/>
        </w:rPr>
      </w:pPr>
    </w:p>
    <w:sectPr w:rsidR="00117B03" w:rsidRPr="0022539B" w:rsidSect="00C3324F">
      <w:pgSz w:w="11906" w:h="16838"/>
      <w:pgMar w:top="1134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12A26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687" w:hanging="360"/>
      </w:pPr>
    </w:lvl>
    <w:lvl w:ilvl="2" w:tplc="0419001B" w:tentative="1">
      <w:start w:val="1"/>
      <w:numFmt w:val="lowerRoman"/>
      <w:lvlText w:val="%3."/>
      <w:lvlJc w:val="right"/>
      <w:pPr>
        <w:ind w:left="33" w:hanging="180"/>
      </w:pPr>
    </w:lvl>
    <w:lvl w:ilvl="3" w:tplc="0419000F" w:tentative="1">
      <w:start w:val="1"/>
      <w:numFmt w:val="decimal"/>
      <w:lvlText w:val="%4."/>
      <w:lvlJc w:val="left"/>
      <w:pPr>
        <w:ind w:left="753" w:hanging="360"/>
      </w:pPr>
    </w:lvl>
    <w:lvl w:ilvl="4" w:tplc="04190019" w:tentative="1">
      <w:start w:val="1"/>
      <w:numFmt w:val="lowerLetter"/>
      <w:lvlText w:val="%5."/>
      <w:lvlJc w:val="left"/>
      <w:pPr>
        <w:ind w:left="1473" w:hanging="360"/>
      </w:pPr>
    </w:lvl>
    <w:lvl w:ilvl="5" w:tplc="0419001B" w:tentative="1">
      <w:start w:val="1"/>
      <w:numFmt w:val="lowerRoman"/>
      <w:lvlText w:val="%6."/>
      <w:lvlJc w:val="right"/>
      <w:pPr>
        <w:ind w:left="2193" w:hanging="180"/>
      </w:pPr>
    </w:lvl>
    <w:lvl w:ilvl="6" w:tplc="0419000F" w:tentative="1">
      <w:start w:val="1"/>
      <w:numFmt w:val="decimal"/>
      <w:lvlText w:val="%7."/>
      <w:lvlJc w:val="left"/>
      <w:pPr>
        <w:ind w:left="2913" w:hanging="360"/>
      </w:pPr>
    </w:lvl>
    <w:lvl w:ilvl="7" w:tplc="04190019" w:tentative="1">
      <w:start w:val="1"/>
      <w:numFmt w:val="lowerLetter"/>
      <w:lvlText w:val="%8."/>
      <w:lvlJc w:val="left"/>
      <w:pPr>
        <w:ind w:left="3633" w:hanging="360"/>
      </w:pPr>
    </w:lvl>
    <w:lvl w:ilvl="8" w:tplc="041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9"/>
    <w:rsid w:val="00010707"/>
    <w:rsid w:val="0001598A"/>
    <w:rsid w:val="00017F83"/>
    <w:rsid w:val="000341A7"/>
    <w:rsid w:val="000704DE"/>
    <w:rsid w:val="00070BAF"/>
    <w:rsid w:val="00073496"/>
    <w:rsid w:val="00074CF3"/>
    <w:rsid w:val="00081DCC"/>
    <w:rsid w:val="00082217"/>
    <w:rsid w:val="0009405D"/>
    <w:rsid w:val="000A5E4A"/>
    <w:rsid w:val="000A7A6E"/>
    <w:rsid w:val="000B34F7"/>
    <w:rsid w:val="000B5373"/>
    <w:rsid w:val="000C1E1B"/>
    <w:rsid w:val="000D3164"/>
    <w:rsid w:val="000D582E"/>
    <w:rsid w:val="000D71E3"/>
    <w:rsid w:val="000E3292"/>
    <w:rsid w:val="000E5A12"/>
    <w:rsid w:val="000E5E7F"/>
    <w:rsid w:val="000F1B96"/>
    <w:rsid w:val="000F3B25"/>
    <w:rsid w:val="000F4A9C"/>
    <w:rsid w:val="000F5266"/>
    <w:rsid w:val="001135B2"/>
    <w:rsid w:val="00117B03"/>
    <w:rsid w:val="00121D40"/>
    <w:rsid w:val="00126D18"/>
    <w:rsid w:val="00130599"/>
    <w:rsid w:val="0013158F"/>
    <w:rsid w:val="00132D1E"/>
    <w:rsid w:val="001357FB"/>
    <w:rsid w:val="00135F10"/>
    <w:rsid w:val="001448DF"/>
    <w:rsid w:val="00145FC7"/>
    <w:rsid w:val="001460F0"/>
    <w:rsid w:val="00146CDB"/>
    <w:rsid w:val="001515FA"/>
    <w:rsid w:val="00183EB7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E27BD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31AA"/>
    <w:rsid w:val="00297ABF"/>
    <w:rsid w:val="002A1E26"/>
    <w:rsid w:val="002A79B8"/>
    <w:rsid w:val="002A7F31"/>
    <w:rsid w:val="002B1EDA"/>
    <w:rsid w:val="002B4104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8CE"/>
    <w:rsid w:val="00350B6D"/>
    <w:rsid w:val="0035524A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0045"/>
    <w:rsid w:val="004837BE"/>
    <w:rsid w:val="00490A60"/>
    <w:rsid w:val="004911D6"/>
    <w:rsid w:val="004A0368"/>
    <w:rsid w:val="004A0EAE"/>
    <w:rsid w:val="004A74E6"/>
    <w:rsid w:val="004B0DF5"/>
    <w:rsid w:val="004D24E9"/>
    <w:rsid w:val="004D39F3"/>
    <w:rsid w:val="004E0D45"/>
    <w:rsid w:val="004F2236"/>
    <w:rsid w:val="004F4DA2"/>
    <w:rsid w:val="00503057"/>
    <w:rsid w:val="005031F2"/>
    <w:rsid w:val="00505BB9"/>
    <w:rsid w:val="00513050"/>
    <w:rsid w:val="00514A50"/>
    <w:rsid w:val="00515748"/>
    <w:rsid w:val="0052096B"/>
    <w:rsid w:val="00527388"/>
    <w:rsid w:val="00553B82"/>
    <w:rsid w:val="0055500E"/>
    <w:rsid w:val="00567531"/>
    <w:rsid w:val="0057012C"/>
    <w:rsid w:val="005737FF"/>
    <w:rsid w:val="00574189"/>
    <w:rsid w:val="00575C7F"/>
    <w:rsid w:val="0058525F"/>
    <w:rsid w:val="005862D2"/>
    <w:rsid w:val="005919FE"/>
    <w:rsid w:val="0059384E"/>
    <w:rsid w:val="00594C0D"/>
    <w:rsid w:val="005B173D"/>
    <w:rsid w:val="005B3460"/>
    <w:rsid w:val="005B3AE1"/>
    <w:rsid w:val="005B4504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65A3"/>
    <w:rsid w:val="005F7519"/>
    <w:rsid w:val="005F7B55"/>
    <w:rsid w:val="00606D32"/>
    <w:rsid w:val="00621547"/>
    <w:rsid w:val="0063052F"/>
    <w:rsid w:val="00630679"/>
    <w:rsid w:val="00630B5A"/>
    <w:rsid w:val="006415F5"/>
    <w:rsid w:val="00645761"/>
    <w:rsid w:val="00652273"/>
    <w:rsid w:val="00654229"/>
    <w:rsid w:val="006660CF"/>
    <w:rsid w:val="00667B49"/>
    <w:rsid w:val="0067025A"/>
    <w:rsid w:val="00674D90"/>
    <w:rsid w:val="00676CDD"/>
    <w:rsid w:val="006836C9"/>
    <w:rsid w:val="00685134"/>
    <w:rsid w:val="00690574"/>
    <w:rsid w:val="006A0C53"/>
    <w:rsid w:val="006B1CEB"/>
    <w:rsid w:val="006B507E"/>
    <w:rsid w:val="006C1254"/>
    <w:rsid w:val="006C37D8"/>
    <w:rsid w:val="006C45D0"/>
    <w:rsid w:val="006D4660"/>
    <w:rsid w:val="006E05D3"/>
    <w:rsid w:val="006E3CAE"/>
    <w:rsid w:val="006E7787"/>
    <w:rsid w:val="006E7A64"/>
    <w:rsid w:val="006F1CE7"/>
    <w:rsid w:val="006F55E1"/>
    <w:rsid w:val="00701CCB"/>
    <w:rsid w:val="00702C6B"/>
    <w:rsid w:val="007216FA"/>
    <w:rsid w:val="00721F56"/>
    <w:rsid w:val="00725963"/>
    <w:rsid w:val="00731F2D"/>
    <w:rsid w:val="00745AA0"/>
    <w:rsid w:val="00760DA9"/>
    <w:rsid w:val="00767EA2"/>
    <w:rsid w:val="00775E22"/>
    <w:rsid w:val="007847ED"/>
    <w:rsid w:val="0078542D"/>
    <w:rsid w:val="00787163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E2B5C"/>
    <w:rsid w:val="008F1771"/>
    <w:rsid w:val="008F7165"/>
    <w:rsid w:val="008F760C"/>
    <w:rsid w:val="00902473"/>
    <w:rsid w:val="0090429A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83883"/>
    <w:rsid w:val="009954CB"/>
    <w:rsid w:val="00997970"/>
    <w:rsid w:val="009A340B"/>
    <w:rsid w:val="009D5C74"/>
    <w:rsid w:val="009E1CDB"/>
    <w:rsid w:val="009E204F"/>
    <w:rsid w:val="009E45C3"/>
    <w:rsid w:val="00A01DF9"/>
    <w:rsid w:val="00A02218"/>
    <w:rsid w:val="00A11500"/>
    <w:rsid w:val="00A12A64"/>
    <w:rsid w:val="00A160AF"/>
    <w:rsid w:val="00A30F12"/>
    <w:rsid w:val="00A40CFF"/>
    <w:rsid w:val="00A46D1C"/>
    <w:rsid w:val="00A52DFE"/>
    <w:rsid w:val="00A54C99"/>
    <w:rsid w:val="00A556EB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485A"/>
    <w:rsid w:val="00AC6551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3787"/>
    <w:rsid w:val="00B1549C"/>
    <w:rsid w:val="00B159ED"/>
    <w:rsid w:val="00B207E6"/>
    <w:rsid w:val="00B21239"/>
    <w:rsid w:val="00B23A9C"/>
    <w:rsid w:val="00B24FAB"/>
    <w:rsid w:val="00B30790"/>
    <w:rsid w:val="00B335E9"/>
    <w:rsid w:val="00B34102"/>
    <w:rsid w:val="00B35CC3"/>
    <w:rsid w:val="00B36DEE"/>
    <w:rsid w:val="00B42D08"/>
    <w:rsid w:val="00B438B7"/>
    <w:rsid w:val="00B4718C"/>
    <w:rsid w:val="00B4777A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C00"/>
    <w:rsid w:val="00BA38DA"/>
    <w:rsid w:val="00BA6134"/>
    <w:rsid w:val="00BB1D42"/>
    <w:rsid w:val="00BB26D0"/>
    <w:rsid w:val="00BC0684"/>
    <w:rsid w:val="00BC5026"/>
    <w:rsid w:val="00BC5B64"/>
    <w:rsid w:val="00BC5B94"/>
    <w:rsid w:val="00BC646F"/>
    <w:rsid w:val="00BC78C8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324F"/>
    <w:rsid w:val="00C40D60"/>
    <w:rsid w:val="00C4648D"/>
    <w:rsid w:val="00C51DDE"/>
    <w:rsid w:val="00C73A26"/>
    <w:rsid w:val="00C81AFB"/>
    <w:rsid w:val="00C820A5"/>
    <w:rsid w:val="00C936AE"/>
    <w:rsid w:val="00CA6BAF"/>
    <w:rsid w:val="00CB43D1"/>
    <w:rsid w:val="00CB6CF6"/>
    <w:rsid w:val="00CC19BE"/>
    <w:rsid w:val="00CD21FB"/>
    <w:rsid w:val="00CD35F7"/>
    <w:rsid w:val="00CD46AE"/>
    <w:rsid w:val="00CD5782"/>
    <w:rsid w:val="00CE1872"/>
    <w:rsid w:val="00D0059D"/>
    <w:rsid w:val="00D1238A"/>
    <w:rsid w:val="00D1363E"/>
    <w:rsid w:val="00D16C0B"/>
    <w:rsid w:val="00D24573"/>
    <w:rsid w:val="00D26AAF"/>
    <w:rsid w:val="00D26DC4"/>
    <w:rsid w:val="00D336B4"/>
    <w:rsid w:val="00D37DE6"/>
    <w:rsid w:val="00D40ED3"/>
    <w:rsid w:val="00D65580"/>
    <w:rsid w:val="00D65AFE"/>
    <w:rsid w:val="00D80092"/>
    <w:rsid w:val="00D8195D"/>
    <w:rsid w:val="00D81F22"/>
    <w:rsid w:val="00D81FF4"/>
    <w:rsid w:val="00D904AE"/>
    <w:rsid w:val="00D90EA3"/>
    <w:rsid w:val="00D93865"/>
    <w:rsid w:val="00D977E3"/>
    <w:rsid w:val="00DC0B94"/>
    <w:rsid w:val="00DC241E"/>
    <w:rsid w:val="00DC301D"/>
    <w:rsid w:val="00DC3CDC"/>
    <w:rsid w:val="00DE0780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82C83"/>
    <w:rsid w:val="00E87FC4"/>
    <w:rsid w:val="00E94E6E"/>
    <w:rsid w:val="00E9603B"/>
    <w:rsid w:val="00EA0939"/>
    <w:rsid w:val="00EB01B3"/>
    <w:rsid w:val="00EB0627"/>
    <w:rsid w:val="00EB279E"/>
    <w:rsid w:val="00EB408E"/>
    <w:rsid w:val="00EB7EE8"/>
    <w:rsid w:val="00EC129E"/>
    <w:rsid w:val="00EC1B27"/>
    <w:rsid w:val="00EC29CB"/>
    <w:rsid w:val="00ED6105"/>
    <w:rsid w:val="00EE7051"/>
    <w:rsid w:val="00EE7ACF"/>
    <w:rsid w:val="00F16BD0"/>
    <w:rsid w:val="00F17606"/>
    <w:rsid w:val="00F20FC0"/>
    <w:rsid w:val="00F261E4"/>
    <w:rsid w:val="00F27AE2"/>
    <w:rsid w:val="00F320F4"/>
    <w:rsid w:val="00F32B5F"/>
    <w:rsid w:val="00F43542"/>
    <w:rsid w:val="00F51AEF"/>
    <w:rsid w:val="00F65B64"/>
    <w:rsid w:val="00F71F22"/>
    <w:rsid w:val="00F84FA7"/>
    <w:rsid w:val="00FA2F35"/>
    <w:rsid w:val="00FA7349"/>
    <w:rsid w:val="00FB0169"/>
    <w:rsid w:val="00FB1564"/>
    <w:rsid w:val="00FB5746"/>
    <w:rsid w:val="00FB5EB3"/>
    <w:rsid w:val="00FC0373"/>
    <w:rsid w:val="00FC14AD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B61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610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  <w:style w:type="paragraph" w:customStyle="1" w:styleId="21">
    <w:name w:val="Обычный2"/>
    <w:rsid w:val="001E27BD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3</cp:revision>
  <cp:lastPrinted>2020-02-06T09:51:00Z</cp:lastPrinted>
  <dcterms:created xsi:type="dcterms:W3CDTF">2020-12-18T12:51:00Z</dcterms:created>
  <dcterms:modified xsi:type="dcterms:W3CDTF">2020-12-18T12:51:00Z</dcterms:modified>
</cp:coreProperties>
</file>