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00E6E" w14:textId="3F0B77B3" w:rsidR="00854EED" w:rsidRPr="00AA66C2" w:rsidRDefault="006E544A" w:rsidP="006E544A">
      <w:pPr>
        <w:keepNext/>
        <w:spacing w:after="0" w:line="240" w:lineRule="auto"/>
        <w:outlineLvl w:val="0"/>
        <w:rPr>
          <w:rFonts w:ascii="Tahoma" w:eastAsia="Calibri" w:hAnsi="Tahoma" w:cs="Tahoma"/>
          <w:bCs/>
          <w:color w:val="76923C" w:themeColor="accent3" w:themeShade="BF"/>
          <w:szCs w:val="20"/>
          <w:lang w:val="en-US" w:eastAsia="ru-RU"/>
        </w:rPr>
      </w:pPr>
      <w:r w:rsidRPr="00AA66C2">
        <w:rPr>
          <w:rFonts w:ascii="Tahoma" w:eastAsia="Calibri" w:hAnsi="Tahoma" w:cs="Tahoma"/>
          <w:bCs/>
          <w:color w:val="76923C" w:themeColor="accent3" w:themeShade="BF"/>
          <w:szCs w:val="20"/>
          <w:lang w:val="en-US" w:eastAsia="ru-RU"/>
        </w:rPr>
        <w:t>extract from the Moscow Exchange</w:t>
      </w:r>
      <w:r w:rsidR="00817ADD" w:rsidRPr="00AA66C2">
        <w:rPr>
          <w:rFonts w:ascii="Tahoma" w:eastAsia="Calibri" w:hAnsi="Tahoma" w:cs="Tahoma"/>
          <w:bCs/>
          <w:color w:val="76923C" w:themeColor="accent3" w:themeShade="BF"/>
          <w:szCs w:val="20"/>
          <w:lang w:val="en-US" w:eastAsia="ru-RU"/>
        </w:rPr>
        <w:t>’s directi</w:t>
      </w:r>
      <w:r w:rsidR="00363AF1" w:rsidRPr="00AA66C2">
        <w:rPr>
          <w:rFonts w:ascii="Tahoma" w:eastAsia="Calibri" w:hAnsi="Tahoma" w:cs="Tahoma"/>
          <w:bCs/>
          <w:color w:val="76923C" w:themeColor="accent3" w:themeShade="BF"/>
          <w:szCs w:val="20"/>
          <w:lang w:val="en-US" w:eastAsia="ru-RU"/>
        </w:rPr>
        <w:t>on</w:t>
      </w:r>
      <w:r w:rsidR="00854EED" w:rsidRPr="00AA66C2">
        <w:rPr>
          <w:rFonts w:ascii="Tahoma" w:eastAsia="Calibri" w:hAnsi="Tahoma" w:cs="Tahoma"/>
          <w:bCs/>
          <w:color w:val="76923C" w:themeColor="accent3" w:themeShade="BF"/>
          <w:szCs w:val="20"/>
          <w:lang w:val="en-US" w:eastAsia="ru-RU"/>
        </w:rPr>
        <w:t xml:space="preserve"> </w:t>
      </w:r>
    </w:p>
    <w:p w14:paraId="55AE2CAE" w14:textId="77777777" w:rsidR="007F1210" w:rsidRPr="006E544A" w:rsidRDefault="007F1210" w:rsidP="00854EED">
      <w:pPr>
        <w:keepNext/>
        <w:spacing w:after="0" w:line="240" w:lineRule="auto"/>
        <w:jc w:val="center"/>
        <w:outlineLvl w:val="0"/>
        <w:rPr>
          <w:rFonts w:ascii="Tahoma" w:eastAsia="Calibri" w:hAnsi="Tahoma" w:cs="Tahoma"/>
          <w:bCs/>
          <w:szCs w:val="20"/>
          <w:lang w:val="en-US" w:eastAsia="ru-RU"/>
        </w:rPr>
      </w:pPr>
    </w:p>
    <w:p w14:paraId="1F86601D" w14:textId="77777777" w:rsidR="00C7509E" w:rsidRPr="006E544A" w:rsidRDefault="00C7509E" w:rsidP="00854EED">
      <w:pPr>
        <w:keepNext/>
        <w:spacing w:after="0" w:line="240" w:lineRule="auto"/>
        <w:jc w:val="center"/>
        <w:outlineLvl w:val="0"/>
        <w:rPr>
          <w:rFonts w:ascii="Tahoma" w:eastAsia="Calibri" w:hAnsi="Tahoma" w:cs="Tahoma"/>
          <w:bCs/>
          <w:szCs w:val="20"/>
          <w:lang w:val="en-US" w:eastAsia="ru-RU"/>
        </w:rPr>
      </w:pPr>
    </w:p>
    <w:p w14:paraId="75EB95E2" w14:textId="77777777" w:rsidR="007A3F1D" w:rsidRPr="006E544A" w:rsidRDefault="007A3F1D" w:rsidP="00854EED">
      <w:pPr>
        <w:keepNext/>
        <w:spacing w:after="0" w:line="240" w:lineRule="auto"/>
        <w:jc w:val="center"/>
        <w:outlineLvl w:val="0"/>
        <w:rPr>
          <w:rFonts w:ascii="Tahoma" w:eastAsia="Calibri" w:hAnsi="Tahoma" w:cs="Tahoma"/>
          <w:bCs/>
          <w:szCs w:val="20"/>
          <w:lang w:val="en-US" w:eastAsia="ru-RU"/>
        </w:rPr>
      </w:pPr>
    </w:p>
    <w:p w14:paraId="69E1E899" w14:textId="3139FE0E" w:rsidR="007A3F1D" w:rsidRPr="00586051" w:rsidRDefault="00586051" w:rsidP="00ED6DFB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sz w:val="20"/>
          <w:szCs w:val="20"/>
          <w:lang w:val="en-US"/>
        </w:rPr>
        <w:t xml:space="preserve">Schedule for determining the </w:t>
      </w:r>
      <w:r w:rsidR="002068C7" w:rsidRPr="00586051">
        <w:rPr>
          <w:rFonts w:ascii="Tahoma" w:hAnsi="Tahoma" w:cs="Tahoma"/>
          <w:b/>
          <w:sz w:val="20"/>
          <w:szCs w:val="20"/>
          <w:lang w:val="en-US"/>
        </w:rPr>
        <w:t xml:space="preserve">USD/RUB and EUR/RUB 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rates used to </w:t>
      </w:r>
      <w:r w:rsidR="007A2D39">
        <w:rPr>
          <w:rFonts w:ascii="Tahoma" w:hAnsi="Tahoma" w:cs="Tahoma"/>
          <w:b/>
          <w:sz w:val="20"/>
          <w:szCs w:val="20"/>
          <w:lang w:val="en-US"/>
        </w:rPr>
        <w:t>set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 variation margin,</w:t>
      </w:r>
      <w:r w:rsidR="007A2D39">
        <w:rPr>
          <w:rFonts w:ascii="Tahoma" w:hAnsi="Tahoma" w:cs="Tahoma"/>
          <w:b/>
          <w:sz w:val="20"/>
          <w:szCs w:val="20"/>
          <w:lang w:val="en-US"/>
        </w:rPr>
        <w:t xml:space="preserve"> settlement price and tick value</w:t>
      </w:r>
      <w:r>
        <w:rPr>
          <w:rFonts w:ascii="Tahoma" w:hAnsi="Tahoma" w:cs="Tahoma"/>
          <w:b/>
          <w:sz w:val="20"/>
          <w:szCs w:val="20"/>
          <w:lang w:val="en-US"/>
        </w:rPr>
        <w:t xml:space="preserve"> </w:t>
      </w:r>
    </w:p>
    <w:p w14:paraId="0CACAEF8" w14:textId="74F6A8CB" w:rsidR="00E81DE6" w:rsidRPr="006E544A" w:rsidRDefault="00E81DE6" w:rsidP="00E81DE6">
      <w:pPr>
        <w:spacing w:after="0" w:line="240" w:lineRule="auto"/>
        <w:rPr>
          <w:rFonts w:ascii="Tahoma" w:eastAsia="Calibri" w:hAnsi="Tahoma" w:cs="Tahoma"/>
          <w:bCs/>
          <w:szCs w:val="20"/>
          <w:lang w:val="en-US" w:eastAsia="ru-RU"/>
        </w:rPr>
      </w:pPr>
    </w:p>
    <w:p w14:paraId="47238488" w14:textId="2964E037" w:rsidR="00EE7731" w:rsidRPr="00EE7731" w:rsidRDefault="00EE7731" w:rsidP="00E81DE6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To allow the Specifications of relevant derivatives contracts to be performed, it is hereby </w:t>
      </w:r>
      <w:r w:rsidR="00363AF1">
        <w:rPr>
          <w:rFonts w:ascii="Tahoma" w:hAnsi="Tahoma" w:cs="Tahoma"/>
          <w:sz w:val="20"/>
          <w:szCs w:val="20"/>
          <w:lang w:val="en-US"/>
        </w:rPr>
        <w:t>directed</w:t>
      </w:r>
      <w:r>
        <w:rPr>
          <w:rFonts w:ascii="Tahoma" w:hAnsi="Tahoma" w:cs="Tahoma"/>
          <w:sz w:val="20"/>
          <w:szCs w:val="20"/>
          <w:lang w:val="en-US"/>
        </w:rPr>
        <w:t xml:space="preserve"> that:</w:t>
      </w:r>
    </w:p>
    <w:p w14:paraId="6139DDC6" w14:textId="77777777" w:rsidR="00E81DE6" w:rsidRPr="00AA66C2" w:rsidRDefault="00E81DE6" w:rsidP="00E81DE6">
      <w:p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</w:p>
    <w:p w14:paraId="5472DE26" w14:textId="77777777" w:rsidR="00ED6DFB" w:rsidRPr="00ED6DFB" w:rsidRDefault="00ED6DFB" w:rsidP="00E81DE6">
      <w:pPr>
        <w:pStyle w:val="a7"/>
        <w:numPr>
          <w:ilvl w:val="0"/>
          <w:numId w:val="3"/>
        </w:numPr>
        <w:spacing w:after="120" w:line="240" w:lineRule="auto"/>
        <w:ind w:left="425" w:hanging="426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For futures contracts on the following underlying assets:</w:t>
      </w:r>
    </w:p>
    <w:p w14:paraId="62EF21EC" w14:textId="55C146FF" w:rsidR="00ED6DFB" w:rsidRDefault="00ED6DFB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RTS Index, </w:t>
      </w:r>
    </w:p>
    <w:p w14:paraId="72CD93C1" w14:textId="3E3CBD4F" w:rsidR="00ED6DFB" w:rsidRDefault="00ED6DFB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BRICS Indices,</w:t>
      </w:r>
    </w:p>
    <w:p w14:paraId="3B3766E0" w14:textId="4C038F63" w:rsidR="00ED6DFB" w:rsidRDefault="00ED6DFB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Russian Federation Eurobonds, </w:t>
      </w:r>
    </w:p>
    <w:p w14:paraId="3FA0AE0B" w14:textId="5A02580A" w:rsidR="00ED6DFB" w:rsidRDefault="00ED6DFB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Russian market volatility,</w:t>
      </w:r>
    </w:p>
    <w:p w14:paraId="654EFC7A" w14:textId="77777777" w:rsidR="00850B22" w:rsidRDefault="00850B2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Currency pairs with the US dollar as the </w:t>
      </w:r>
      <w:proofErr w:type="gramStart"/>
      <w:r>
        <w:rPr>
          <w:rFonts w:ascii="Tahoma" w:hAnsi="Tahoma" w:cs="Tahoma"/>
          <w:sz w:val="20"/>
          <w:szCs w:val="20"/>
          <w:lang w:val="en-US"/>
        </w:rPr>
        <w:t>terms</w:t>
      </w:r>
      <w:proofErr w:type="gramEnd"/>
      <w:r>
        <w:rPr>
          <w:rFonts w:ascii="Tahoma" w:hAnsi="Tahoma" w:cs="Tahoma"/>
          <w:sz w:val="20"/>
          <w:szCs w:val="20"/>
          <w:lang w:val="en-US"/>
        </w:rPr>
        <w:t xml:space="preserve"> currency,</w:t>
      </w:r>
    </w:p>
    <w:p w14:paraId="2B4EA46E" w14:textId="56D5FBC7" w:rsidR="00850B22" w:rsidRDefault="00850B2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Currency pairs with the US dollar as the base currency,</w:t>
      </w:r>
    </w:p>
    <w:p w14:paraId="1B378A1E" w14:textId="6BF99261" w:rsidR="00AA66C2" w:rsidRDefault="00850B2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Brent oil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4AA4026C" w14:textId="7E5AD3EE" w:rsidR="00AA66C2" w:rsidRDefault="00AA66C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 w:rsidRPr="002557EC">
        <w:rPr>
          <w:rFonts w:ascii="Tahoma" w:hAnsi="Tahoma" w:cs="Tahoma"/>
          <w:sz w:val="20"/>
          <w:szCs w:val="20"/>
          <w:lang w:val="en-US"/>
        </w:rPr>
        <w:t>Light</w:t>
      </w:r>
      <w:r w:rsidRPr="00AA66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557EC">
        <w:rPr>
          <w:rFonts w:ascii="Tahoma" w:hAnsi="Tahoma" w:cs="Tahoma"/>
          <w:sz w:val="20"/>
          <w:szCs w:val="20"/>
          <w:lang w:val="en-US"/>
        </w:rPr>
        <w:t>Sweet</w:t>
      </w:r>
      <w:r w:rsidRPr="00AA66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557EC">
        <w:rPr>
          <w:rFonts w:ascii="Tahoma" w:hAnsi="Tahoma" w:cs="Tahoma"/>
          <w:sz w:val="20"/>
          <w:szCs w:val="20"/>
          <w:lang w:val="en-US"/>
        </w:rPr>
        <w:t>Crude</w:t>
      </w:r>
      <w:r w:rsidRPr="00AA66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2557EC">
        <w:rPr>
          <w:rFonts w:ascii="Tahoma" w:hAnsi="Tahoma" w:cs="Tahoma"/>
          <w:sz w:val="20"/>
          <w:szCs w:val="20"/>
          <w:lang w:val="en-US"/>
        </w:rPr>
        <w:t>Oil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4AE1CEE3" w14:textId="7D815FD2" w:rsidR="00585937" w:rsidRDefault="00850B2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precious metals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5DB68DC7" w14:textId="6745FFFC" w:rsidR="00AA66C2" w:rsidRDefault="00AA66C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 w:rsidRPr="00AA66C2">
        <w:rPr>
          <w:rFonts w:ascii="Tahoma" w:hAnsi="Tahoma" w:cs="Tahoma"/>
          <w:sz w:val="20"/>
          <w:szCs w:val="20"/>
          <w:lang w:val="en-US"/>
        </w:rPr>
        <w:t>Non-ferrous and industrial metals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6867BB05" w14:textId="037A5AC4" w:rsidR="00AA66C2" w:rsidRDefault="00AA66C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Natural gas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3C42A2DF" w14:textId="07F8BA1E" w:rsidR="00AA66C2" w:rsidRDefault="00AA66C2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RUSFARUSD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50E2DBD3" w14:textId="6C08CB1E" w:rsidR="00B04BCC" w:rsidRDefault="00B04BCC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 w:rsidRPr="00B04BCC">
        <w:rPr>
          <w:rFonts w:ascii="Tahoma" w:hAnsi="Tahoma" w:cs="Tahoma"/>
          <w:sz w:val="20"/>
          <w:szCs w:val="20"/>
          <w:lang w:val="en-US"/>
        </w:rPr>
        <w:t>SPDR S&amp;P 500 ETF Trust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4B23692F" w14:textId="28651CE9" w:rsidR="00555078" w:rsidRDefault="00555078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RTS Index (mini)</w:t>
      </w:r>
      <w:r w:rsidR="00D66B6A">
        <w:rPr>
          <w:rFonts w:ascii="Tahoma" w:hAnsi="Tahoma" w:cs="Tahoma"/>
          <w:sz w:val="20"/>
          <w:szCs w:val="20"/>
          <w:lang w:val="en-US"/>
        </w:rPr>
        <w:t>,</w:t>
      </w:r>
    </w:p>
    <w:p w14:paraId="32951A20" w14:textId="4A12D669" w:rsidR="00D66B6A" w:rsidRPr="00AA66C2" w:rsidRDefault="00D66B6A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Currency pairs with the </w:t>
      </w:r>
      <w:r>
        <w:rPr>
          <w:rFonts w:ascii="Tahoma" w:hAnsi="Tahoma" w:cs="Tahoma"/>
          <w:sz w:val="20"/>
          <w:szCs w:val="20"/>
          <w:lang w:val="en-US"/>
        </w:rPr>
        <w:t>EUR</w:t>
      </w:r>
      <w:r>
        <w:rPr>
          <w:rFonts w:ascii="Tahoma" w:hAnsi="Tahoma" w:cs="Tahoma"/>
          <w:sz w:val="20"/>
          <w:szCs w:val="20"/>
          <w:lang w:val="en-US"/>
        </w:rPr>
        <w:t xml:space="preserve"> as the base currency</w:t>
      </w:r>
      <w:r>
        <w:rPr>
          <w:rFonts w:ascii="Tahoma" w:hAnsi="Tahoma" w:cs="Tahoma"/>
          <w:sz w:val="20"/>
          <w:szCs w:val="20"/>
          <w:lang w:val="en-US"/>
        </w:rPr>
        <w:t>,</w:t>
      </w:r>
      <w:bookmarkStart w:id="0" w:name="_GoBack"/>
      <w:bookmarkEnd w:id="0"/>
    </w:p>
    <w:p w14:paraId="009C2465" w14:textId="3406D443" w:rsidR="008E0A45" w:rsidRDefault="00B50801" w:rsidP="00AA66C2">
      <w:pPr>
        <w:pStyle w:val="HTML"/>
        <w:ind w:left="426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</w:t>
      </w:r>
      <w:r w:rsidR="00585937">
        <w:rPr>
          <w:rFonts w:ascii="Tahoma" w:hAnsi="Tahoma" w:cs="Tahoma"/>
          <w:lang w:val="en-US"/>
        </w:rPr>
        <w:t xml:space="preserve">he </w:t>
      </w:r>
      <w:r>
        <w:rPr>
          <w:rFonts w:ascii="Tahoma" w:hAnsi="Tahoma" w:cs="Tahoma"/>
          <w:lang w:val="en-US"/>
        </w:rPr>
        <w:t xml:space="preserve">value of the </w:t>
      </w:r>
      <w:proofErr w:type="spellStart"/>
      <w:r w:rsidR="002E5C41" w:rsidRPr="002E5C41">
        <w:rPr>
          <w:rFonts w:ascii="Tahoma" w:hAnsi="Tahoma" w:cs="Tahoma"/>
          <w:lang w:val="en-US"/>
        </w:rPr>
        <w:t>U.</w:t>
      </w:r>
      <w:proofErr w:type="gramStart"/>
      <w:r w:rsidR="002E5C41" w:rsidRPr="002E5C41">
        <w:rPr>
          <w:rFonts w:ascii="Tahoma" w:hAnsi="Tahoma" w:cs="Tahoma"/>
          <w:lang w:val="en-US"/>
        </w:rPr>
        <w:t>S.Dollar</w:t>
      </w:r>
      <w:proofErr w:type="spellEnd"/>
      <w:proofErr w:type="gramEnd"/>
      <w:r w:rsidR="002E5C41" w:rsidRPr="002E5C41">
        <w:rPr>
          <w:rFonts w:ascii="Tahoma" w:hAnsi="Tahoma" w:cs="Tahoma"/>
          <w:lang w:val="en-US"/>
        </w:rPr>
        <w:t>/</w:t>
      </w:r>
      <w:r w:rsidR="002E5C41">
        <w:rPr>
          <w:rFonts w:ascii="Tahoma" w:hAnsi="Tahoma" w:cs="Tahoma"/>
          <w:lang w:val="en-US"/>
        </w:rPr>
        <w:t xml:space="preserve">Russian </w:t>
      </w:r>
      <w:proofErr w:type="spellStart"/>
      <w:r w:rsidR="002E5C41">
        <w:rPr>
          <w:rFonts w:ascii="Tahoma" w:hAnsi="Tahoma" w:cs="Tahoma"/>
          <w:lang w:val="en-US"/>
        </w:rPr>
        <w:t>rouble</w:t>
      </w:r>
      <w:proofErr w:type="spellEnd"/>
      <w:r w:rsidR="002E5C41" w:rsidRPr="002E5C41">
        <w:rPr>
          <w:rFonts w:ascii="Tahoma" w:hAnsi="Tahoma" w:cs="Tahoma"/>
          <w:lang w:val="en-US"/>
        </w:rPr>
        <w:t xml:space="preserve"> exchange rate </w:t>
      </w:r>
      <w:r w:rsidR="002E5C41">
        <w:rPr>
          <w:rFonts w:ascii="Tahoma" w:hAnsi="Tahoma" w:cs="Tahoma"/>
          <w:lang w:val="en-US"/>
        </w:rPr>
        <w:t xml:space="preserve">(the “USD/RUB Rate”) </w:t>
      </w:r>
      <w:r w:rsidR="00585937">
        <w:rPr>
          <w:rFonts w:ascii="Tahoma" w:hAnsi="Tahoma" w:cs="Tahoma"/>
          <w:lang w:val="en-US"/>
        </w:rPr>
        <w:t>(as determined in accordance with the Moscow Exchange Indicative FX Rate Methodology</w:t>
      </w:r>
      <w:r w:rsidR="00A168C0">
        <w:rPr>
          <w:rFonts w:ascii="Tahoma" w:hAnsi="Tahoma" w:cs="Tahoma"/>
          <w:lang w:val="en-US"/>
        </w:rPr>
        <w:t xml:space="preserve"> published on the Exchange’s website</w:t>
      </w:r>
      <w:r w:rsidR="00585937">
        <w:rPr>
          <w:rFonts w:ascii="Tahoma" w:hAnsi="Tahoma" w:cs="Tahoma"/>
          <w:lang w:val="en-US"/>
        </w:rPr>
        <w:t>)</w:t>
      </w:r>
      <w:r w:rsidR="00AA66C2">
        <w:rPr>
          <w:rFonts w:ascii="Tahoma" w:hAnsi="Tahoma" w:cs="Tahoma"/>
          <w:lang w:val="en-US"/>
        </w:rPr>
        <w:t>:</w:t>
      </w:r>
    </w:p>
    <w:p w14:paraId="2051A58B" w14:textId="77777777" w:rsidR="008E0A45" w:rsidRDefault="008E0A45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23EC7511" w14:textId="54E205F0" w:rsidR="00585937" w:rsidRDefault="00B50801" w:rsidP="008E0A45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as of </w:t>
      </w:r>
      <w:r w:rsidR="008E0A45" w:rsidRPr="008E0A45">
        <w:rPr>
          <w:rFonts w:ascii="Tahoma" w:hAnsi="Tahoma" w:cs="Tahoma"/>
          <w:sz w:val="20"/>
          <w:szCs w:val="20"/>
          <w:lang w:val="en-US"/>
        </w:rPr>
        <w:t xml:space="preserve">13:45 </w:t>
      </w:r>
      <w:r>
        <w:rPr>
          <w:rFonts w:ascii="Tahoma" w:hAnsi="Tahoma" w:cs="Tahoma"/>
          <w:sz w:val="20"/>
          <w:szCs w:val="20"/>
          <w:lang w:val="en-US"/>
        </w:rPr>
        <w:t xml:space="preserve">MSK on the current trading day should be used to set variation margin, tick value and </w:t>
      </w:r>
      <w:r w:rsidRPr="004F00A8">
        <w:rPr>
          <w:rFonts w:ascii="Tahoma" w:hAnsi="Tahoma" w:cs="Tahoma"/>
          <w:sz w:val="20"/>
          <w:szCs w:val="20"/>
          <w:lang w:val="en-US"/>
        </w:rPr>
        <w:t>settlement price</w:t>
      </w:r>
      <w:r>
        <w:rPr>
          <w:rFonts w:ascii="Tahoma" w:hAnsi="Tahoma" w:cs="Tahoma"/>
          <w:sz w:val="20"/>
          <w:szCs w:val="20"/>
          <w:lang w:val="en-US"/>
        </w:rPr>
        <w:t xml:space="preserve"> during the </w:t>
      </w:r>
      <w:r w:rsidR="004F00A8">
        <w:rPr>
          <w:rFonts w:ascii="Tahoma" w:hAnsi="Tahoma" w:cs="Tahoma"/>
          <w:sz w:val="20"/>
          <w:szCs w:val="20"/>
          <w:lang w:val="en-US"/>
        </w:rPr>
        <w:t>interim</w:t>
      </w:r>
      <w:r>
        <w:rPr>
          <w:rFonts w:ascii="Tahoma" w:hAnsi="Tahoma" w:cs="Tahoma"/>
          <w:sz w:val="20"/>
          <w:szCs w:val="20"/>
          <w:lang w:val="en-US"/>
        </w:rPr>
        <w:t xml:space="preserve"> clearing session on the current trading day; or</w:t>
      </w:r>
    </w:p>
    <w:p w14:paraId="213EB767" w14:textId="7154A783" w:rsidR="00B50801" w:rsidRDefault="00B50801" w:rsidP="008E0A45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as of 18:</w:t>
      </w:r>
      <w:r w:rsidR="000B6A84" w:rsidRPr="000B6A84">
        <w:rPr>
          <w:rFonts w:ascii="Tahoma" w:hAnsi="Tahoma" w:cs="Tahoma"/>
          <w:sz w:val="20"/>
          <w:szCs w:val="20"/>
          <w:lang w:val="en-US"/>
        </w:rPr>
        <w:t>44</w:t>
      </w:r>
      <w:r>
        <w:rPr>
          <w:rFonts w:ascii="Tahoma" w:hAnsi="Tahoma" w:cs="Tahoma"/>
          <w:sz w:val="20"/>
          <w:szCs w:val="20"/>
          <w:lang w:val="en-US"/>
        </w:rPr>
        <w:t xml:space="preserve"> MSK on the current trading day should be used to set variation margin, tick value and </w:t>
      </w:r>
      <w:r w:rsidRPr="004F00A8">
        <w:rPr>
          <w:rFonts w:ascii="Tahoma" w:hAnsi="Tahoma" w:cs="Tahoma"/>
          <w:sz w:val="20"/>
          <w:szCs w:val="20"/>
          <w:lang w:val="en-US"/>
        </w:rPr>
        <w:t>settlement price</w:t>
      </w:r>
      <w:r>
        <w:rPr>
          <w:rFonts w:ascii="Tahoma" w:hAnsi="Tahoma" w:cs="Tahoma"/>
          <w:sz w:val="20"/>
          <w:szCs w:val="20"/>
          <w:lang w:val="en-US"/>
        </w:rPr>
        <w:t xml:space="preserve"> during the evening clearing session after the end of the current trading day</w:t>
      </w:r>
      <w:r w:rsidR="004F00A8">
        <w:rPr>
          <w:rFonts w:ascii="Tahoma" w:hAnsi="Tahoma" w:cs="Tahoma"/>
          <w:sz w:val="20"/>
          <w:szCs w:val="20"/>
          <w:lang w:val="en-US"/>
        </w:rPr>
        <w:t>.</w:t>
      </w:r>
    </w:p>
    <w:p w14:paraId="1FBA180D" w14:textId="77777777" w:rsidR="00B50801" w:rsidRPr="008E0A45" w:rsidRDefault="00B50801" w:rsidP="00B50801">
      <w:pPr>
        <w:pStyle w:val="a7"/>
        <w:spacing w:after="120" w:line="240" w:lineRule="auto"/>
        <w:ind w:left="1440"/>
        <w:jc w:val="both"/>
        <w:rPr>
          <w:rFonts w:ascii="Tahoma" w:hAnsi="Tahoma" w:cs="Tahoma"/>
          <w:sz w:val="20"/>
          <w:szCs w:val="20"/>
          <w:lang w:val="en-US"/>
        </w:rPr>
      </w:pPr>
    </w:p>
    <w:p w14:paraId="2B6413F9" w14:textId="4AA7DF7F" w:rsidR="004F00A8" w:rsidRDefault="004F00A8" w:rsidP="004F00A8">
      <w:pPr>
        <w:pStyle w:val="a7"/>
        <w:numPr>
          <w:ilvl w:val="0"/>
          <w:numId w:val="3"/>
        </w:numPr>
        <w:spacing w:after="120" w:line="240" w:lineRule="auto"/>
        <w:ind w:left="425" w:hanging="426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For futures contracts on copper:</w:t>
      </w:r>
    </w:p>
    <w:p w14:paraId="27AB7348" w14:textId="33E430C4" w:rsidR="000B6A84" w:rsidRPr="00756833" w:rsidRDefault="000B6A84" w:rsidP="000B6A84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the value of the USD/RUB rate determined</w:t>
      </w:r>
    </w:p>
    <w:p w14:paraId="777246E0" w14:textId="77777777" w:rsidR="000B6A84" w:rsidRDefault="000B6A84" w:rsidP="000B6A84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761608A4" w14:textId="77777777" w:rsidR="000B6A84" w:rsidRDefault="000B6A84" w:rsidP="000B6A84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 w:rsidRPr="004F00A8">
        <w:rPr>
          <w:rFonts w:ascii="Tahoma" w:hAnsi="Tahoma" w:cs="Tahoma"/>
          <w:sz w:val="20"/>
          <w:szCs w:val="20"/>
          <w:lang w:val="en-US"/>
        </w:rPr>
        <w:t>as of 18:</w:t>
      </w:r>
      <w:r w:rsidRPr="000B6A84">
        <w:rPr>
          <w:rFonts w:ascii="Tahoma" w:hAnsi="Tahoma" w:cs="Tahoma"/>
          <w:sz w:val="20"/>
          <w:szCs w:val="20"/>
          <w:lang w:val="en-US"/>
        </w:rPr>
        <w:t>44</w:t>
      </w:r>
      <w:r w:rsidRPr="004F00A8">
        <w:rPr>
          <w:rFonts w:ascii="Tahoma" w:hAnsi="Tahoma" w:cs="Tahoma"/>
          <w:sz w:val="20"/>
          <w:szCs w:val="20"/>
          <w:lang w:val="en-US"/>
        </w:rPr>
        <w:t xml:space="preserve"> MSK on the current trading day should be used to set variation margin, tick value and settlement price during the evening clearing session </w:t>
      </w:r>
      <w:r>
        <w:rPr>
          <w:rFonts w:ascii="Tahoma" w:hAnsi="Tahoma" w:cs="Tahoma"/>
          <w:sz w:val="20"/>
          <w:szCs w:val="20"/>
          <w:lang w:val="en-US"/>
        </w:rPr>
        <w:t>after the end of the current trading day.</w:t>
      </w:r>
    </w:p>
    <w:p w14:paraId="2535E14E" w14:textId="77777777" w:rsidR="000B6A84" w:rsidRDefault="000B6A84" w:rsidP="000B6A84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3DC01725" w14:textId="11BAE9CC" w:rsidR="000B6A84" w:rsidRPr="00ED6DFB" w:rsidRDefault="000B6A84" w:rsidP="004F00A8">
      <w:pPr>
        <w:pStyle w:val="a7"/>
        <w:numPr>
          <w:ilvl w:val="0"/>
          <w:numId w:val="3"/>
        </w:numPr>
        <w:spacing w:after="120" w:line="240" w:lineRule="auto"/>
        <w:ind w:left="425" w:hanging="426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For futures contracts on sugar:</w:t>
      </w:r>
    </w:p>
    <w:p w14:paraId="099EC2B7" w14:textId="141DC530" w:rsidR="00560EEA" w:rsidRDefault="00560EEA" w:rsidP="00756833">
      <w:pPr>
        <w:pStyle w:val="a7"/>
        <w:spacing w:after="120" w:line="240" w:lineRule="auto"/>
        <w:ind w:hanging="294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the value of the USD/RUB rate determined </w:t>
      </w:r>
      <w:r w:rsidR="00756833">
        <w:rPr>
          <w:rFonts w:ascii="Tahoma" w:hAnsi="Tahoma" w:cs="Tahoma"/>
          <w:sz w:val="20"/>
          <w:szCs w:val="20"/>
          <w:lang w:val="en-US"/>
        </w:rPr>
        <w:t xml:space="preserve">in accordance </w:t>
      </w:r>
      <w:r w:rsidR="00756833" w:rsidRPr="00756833">
        <w:rPr>
          <w:rFonts w:ascii="Tahoma" w:hAnsi="Tahoma" w:cs="Tahoma"/>
          <w:sz w:val="20"/>
          <w:szCs w:val="20"/>
          <w:lang w:val="en-US"/>
        </w:rPr>
        <w:t>with the Moscow Exchange Fixing Calculation Methodology approved by the Exchange and published on the Exchange website on the Internet:</w:t>
      </w:r>
    </w:p>
    <w:p w14:paraId="7E1A8236" w14:textId="28F83F11" w:rsidR="00ED6DFB" w:rsidRPr="00560EEA" w:rsidRDefault="00ED6DFB" w:rsidP="00ED6DFB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47E316EA" w14:textId="69E0C513" w:rsidR="004F00A8" w:rsidRDefault="00756833" w:rsidP="00756833">
      <w:pPr>
        <w:pStyle w:val="a7"/>
        <w:spacing w:after="120" w:line="240" w:lineRule="auto"/>
        <w:ind w:left="1440" w:hanging="731"/>
        <w:jc w:val="both"/>
        <w:rPr>
          <w:rFonts w:ascii="Tahoma" w:hAnsi="Tahoma" w:cs="Tahoma"/>
          <w:sz w:val="20"/>
          <w:szCs w:val="20"/>
          <w:lang w:val="en-US"/>
        </w:rPr>
      </w:pPr>
      <w:r w:rsidRPr="00756833">
        <w:rPr>
          <w:rFonts w:ascii="Tahoma" w:hAnsi="Tahoma" w:cs="Tahoma"/>
          <w:sz w:val="20"/>
          <w:szCs w:val="20"/>
          <w:lang w:val="en-US"/>
        </w:rPr>
        <w:t>3.1. as of 12:30 Moscow time on the current Trading day - in order to determine the settlement obligation (strike price) during the day's clearing session on the last Trading day;</w:t>
      </w:r>
    </w:p>
    <w:p w14:paraId="6EF55ECA" w14:textId="77777777" w:rsidR="006C259E" w:rsidRPr="00756833" w:rsidRDefault="006C259E" w:rsidP="00756833">
      <w:pPr>
        <w:pStyle w:val="a7"/>
        <w:spacing w:after="120" w:line="240" w:lineRule="auto"/>
        <w:ind w:left="1440" w:hanging="731"/>
        <w:jc w:val="both"/>
        <w:rPr>
          <w:rFonts w:ascii="Tahoma" w:hAnsi="Tahoma" w:cs="Tahoma"/>
          <w:sz w:val="20"/>
          <w:szCs w:val="20"/>
          <w:lang w:val="en-US"/>
        </w:rPr>
      </w:pPr>
    </w:p>
    <w:p w14:paraId="673EF742" w14:textId="1136C04B" w:rsidR="002E5C41" w:rsidRPr="00ED6DFB" w:rsidRDefault="002E5C41" w:rsidP="002E5C41">
      <w:pPr>
        <w:pStyle w:val="a7"/>
        <w:numPr>
          <w:ilvl w:val="0"/>
          <w:numId w:val="3"/>
        </w:numPr>
        <w:spacing w:after="120" w:line="240" w:lineRule="auto"/>
        <w:ind w:left="425" w:hanging="426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For futures</w:t>
      </w:r>
      <w:r w:rsidR="006301DC">
        <w:rPr>
          <w:rFonts w:ascii="Tahoma" w:hAnsi="Tahoma" w:cs="Tahoma"/>
          <w:sz w:val="20"/>
          <w:szCs w:val="20"/>
          <w:lang w:val="en-US"/>
        </w:rPr>
        <w:t xml:space="preserve">-style options on </w:t>
      </w:r>
      <w:r>
        <w:rPr>
          <w:rFonts w:ascii="Tahoma" w:hAnsi="Tahoma" w:cs="Tahoma"/>
          <w:sz w:val="20"/>
          <w:szCs w:val="20"/>
          <w:lang w:val="en-US"/>
        </w:rPr>
        <w:t>the following underlying assets:</w:t>
      </w:r>
    </w:p>
    <w:p w14:paraId="75A0907D" w14:textId="276788FC" w:rsidR="002E5C41" w:rsidRDefault="006301DC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on the </w:t>
      </w:r>
      <w:r w:rsidR="002E5C41">
        <w:rPr>
          <w:rFonts w:ascii="Tahoma" w:hAnsi="Tahoma" w:cs="Tahoma"/>
          <w:sz w:val="20"/>
          <w:szCs w:val="20"/>
          <w:lang w:val="en-US"/>
        </w:rPr>
        <w:t>RTS Index</w:t>
      </w:r>
      <w:r>
        <w:rPr>
          <w:rFonts w:ascii="Tahoma" w:hAnsi="Tahoma" w:cs="Tahoma"/>
          <w:sz w:val="20"/>
          <w:szCs w:val="20"/>
          <w:lang w:val="en-US"/>
        </w:rPr>
        <w:t>,</w:t>
      </w:r>
      <w:r w:rsidR="002E5C41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5EA9B4B6" w14:textId="4002335A" w:rsidR="002E5C41" w:rsidRDefault="006301DC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 on c</w:t>
      </w:r>
      <w:r w:rsidR="002E5C41">
        <w:rPr>
          <w:rFonts w:ascii="Tahoma" w:hAnsi="Tahoma" w:cs="Tahoma"/>
          <w:sz w:val="20"/>
          <w:szCs w:val="20"/>
          <w:lang w:val="en-US"/>
        </w:rPr>
        <w:t xml:space="preserve">urrency pairs with the US dollar as the </w:t>
      </w:r>
      <w:proofErr w:type="gramStart"/>
      <w:r w:rsidR="002E5C41">
        <w:rPr>
          <w:rFonts w:ascii="Tahoma" w:hAnsi="Tahoma" w:cs="Tahoma"/>
          <w:sz w:val="20"/>
          <w:szCs w:val="20"/>
          <w:lang w:val="en-US"/>
        </w:rPr>
        <w:t>terms</w:t>
      </w:r>
      <w:proofErr w:type="gramEnd"/>
      <w:r w:rsidR="002E5C41">
        <w:rPr>
          <w:rFonts w:ascii="Tahoma" w:hAnsi="Tahoma" w:cs="Tahoma"/>
          <w:sz w:val="20"/>
          <w:szCs w:val="20"/>
          <w:lang w:val="en-US"/>
        </w:rPr>
        <w:t xml:space="preserve"> currency,</w:t>
      </w:r>
    </w:p>
    <w:p w14:paraId="2F869857" w14:textId="389CC771" w:rsidR="002E5C41" w:rsidRDefault="006301DC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 on c</w:t>
      </w:r>
      <w:r w:rsidR="002E5C41">
        <w:rPr>
          <w:rFonts w:ascii="Tahoma" w:hAnsi="Tahoma" w:cs="Tahoma"/>
          <w:sz w:val="20"/>
          <w:szCs w:val="20"/>
          <w:lang w:val="en-US"/>
        </w:rPr>
        <w:t>urrency pairs with the US dollar as the base currency,</w:t>
      </w:r>
    </w:p>
    <w:p w14:paraId="3237F04D" w14:textId="77777777" w:rsidR="00AA66C2" w:rsidRDefault="006301DC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 on Brent oil</w:t>
      </w:r>
    </w:p>
    <w:p w14:paraId="598EFC7F" w14:textId="0411D00E" w:rsidR="002E5C41" w:rsidRDefault="00AA66C2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 on </w:t>
      </w:r>
      <w:r w:rsidRPr="00120432">
        <w:rPr>
          <w:rFonts w:ascii="Tahoma" w:hAnsi="Tahoma" w:cs="Tahoma"/>
          <w:sz w:val="20"/>
          <w:szCs w:val="20"/>
          <w:lang w:val="en-US"/>
        </w:rPr>
        <w:t>Light</w:t>
      </w:r>
      <w:r w:rsidRPr="00AA66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Sweet</w:t>
      </w:r>
      <w:r w:rsidRPr="00AA66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Crude</w:t>
      </w:r>
      <w:r w:rsidRPr="00AA66C2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20432">
        <w:rPr>
          <w:rFonts w:ascii="Tahoma" w:hAnsi="Tahoma" w:cs="Tahoma"/>
          <w:sz w:val="20"/>
          <w:szCs w:val="20"/>
          <w:lang w:val="en-US"/>
        </w:rPr>
        <w:t>Oil</w:t>
      </w:r>
    </w:p>
    <w:p w14:paraId="5D798B7F" w14:textId="29B0197D" w:rsidR="002E5C41" w:rsidRDefault="006301DC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on </w:t>
      </w:r>
      <w:r w:rsidR="002E5C41">
        <w:rPr>
          <w:rFonts w:ascii="Tahoma" w:hAnsi="Tahoma" w:cs="Tahoma"/>
          <w:sz w:val="20"/>
          <w:szCs w:val="20"/>
          <w:lang w:val="en-US"/>
        </w:rPr>
        <w:t>precious metals</w:t>
      </w:r>
    </w:p>
    <w:p w14:paraId="63CE8C47" w14:textId="4F4A9F35" w:rsidR="00AA66C2" w:rsidRDefault="00AA66C2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Futures on natural gas</w:t>
      </w:r>
    </w:p>
    <w:p w14:paraId="53A0D83B" w14:textId="77777777" w:rsidR="00D4046C" w:rsidRPr="00AA66C2" w:rsidRDefault="00D4046C" w:rsidP="00D4046C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Futures on </w:t>
      </w:r>
      <w:r w:rsidRPr="00B04BCC">
        <w:rPr>
          <w:rFonts w:ascii="Tahoma" w:hAnsi="Tahoma" w:cs="Tahoma"/>
          <w:sz w:val="20"/>
          <w:szCs w:val="20"/>
          <w:lang w:val="en-US"/>
        </w:rPr>
        <w:t>SPDR S&amp;P 500 ETF Trust</w:t>
      </w:r>
    </w:p>
    <w:p w14:paraId="7CCA83F9" w14:textId="5C94345C" w:rsidR="00D4046C" w:rsidRPr="00D4046C" w:rsidRDefault="00D4046C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1AE96E8A" w14:textId="77777777" w:rsidR="002E5C41" w:rsidRDefault="002E5C41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31BD2E5D" w14:textId="77777777" w:rsidR="006301DC" w:rsidRDefault="006301DC" w:rsidP="006301DC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the value of the USD/RUB rate determined </w:t>
      </w:r>
    </w:p>
    <w:p w14:paraId="77F9215F" w14:textId="77777777" w:rsidR="002E5C41" w:rsidRDefault="002E5C41" w:rsidP="002E5C41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2B82252F" w14:textId="77777777" w:rsidR="002E5C41" w:rsidRDefault="002E5C41" w:rsidP="002E5C41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as of </w:t>
      </w:r>
      <w:r w:rsidRPr="008E0A45">
        <w:rPr>
          <w:rFonts w:ascii="Tahoma" w:hAnsi="Tahoma" w:cs="Tahoma"/>
          <w:sz w:val="20"/>
          <w:szCs w:val="20"/>
          <w:lang w:val="en-US"/>
        </w:rPr>
        <w:t xml:space="preserve">13:45 </w:t>
      </w:r>
      <w:r>
        <w:rPr>
          <w:rFonts w:ascii="Tahoma" w:hAnsi="Tahoma" w:cs="Tahoma"/>
          <w:sz w:val="20"/>
          <w:szCs w:val="20"/>
          <w:lang w:val="en-US"/>
        </w:rPr>
        <w:t xml:space="preserve">MSK on the current trading day should be used to set variation margin, tick value and </w:t>
      </w:r>
      <w:r w:rsidRPr="004F00A8">
        <w:rPr>
          <w:rFonts w:ascii="Tahoma" w:hAnsi="Tahoma" w:cs="Tahoma"/>
          <w:sz w:val="20"/>
          <w:szCs w:val="20"/>
          <w:lang w:val="en-US"/>
        </w:rPr>
        <w:t>settlement price</w:t>
      </w:r>
      <w:r>
        <w:rPr>
          <w:rFonts w:ascii="Tahoma" w:hAnsi="Tahoma" w:cs="Tahoma"/>
          <w:sz w:val="20"/>
          <w:szCs w:val="20"/>
          <w:lang w:val="en-US"/>
        </w:rPr>
        <w:t xml:space="preserve"> during the interim clearing session on the current trading day; or</w:t>
      </w:r>
    </w:p>
    <w:p w14:paraId="3AD956AA" w14:textId="52A82CEA" w:rsidR="002E5C41" w:rsidRDefault="002E5C41" w:rsidP="002E5C41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as of 18:</w:t>
      </w:r>
      <w:r w:rsidR="006C259E" w:rsidRPr="006C259E">
        <w:rPr>
          <w:rFonts w:ascii="Tahoma" w:hAnsi="Tahoma" w:cs="Tahoma"/>
          <w:sz w:val="20"/>
          <w:szCs w:val="20"/>
          <w:lang w:val="en-US"/>
        </w:rPr>
        <w:t>44</w:t>
      </w:r>
      <w:r>
        <w:rPr>
          <w:rFonts w:ascii="Tahoma" w:hAnsi="Tahoma" w:cs="Tahoma"/>
          <w:sz w:val="20"/>
          <w:szCs w:val="20"/>
          <w:lang w:val="en-US"/>
        </w:rPr>
        <w:t xml:space="preserve"> MSK on the current trading day should be used to set variation margin, tick value and </w:t>
      </w:r>
      <w:r w:rsidRPr="004F00A8">
        <w:rPr>
          <w:rFonts w:ascii="Tahoma" w:hAnsi="Tahoma" w:cs="Tahoma"/>
          <w:sz w:val="20"/>
          <w:szCs w:val="20"/>
          <w:lang w:val="en-US"/>
        </w:rPr>
        <w:t>settlement price</w:t>
      </w:r>
      <w:r>
        <w:rPr>
          <w:rFonts w:ascii="Tahoma" w:hAnsi="Tahoma" w:cs="Tahoma"/>
          <w:sz w:val="20"/>
          <w:szCs w:val="20"/>
          <w:lang w:val="en-US"/>
        </w:rPr>
        <w:t xml:space="preserve"> during the evening clearing session after the end of the current trading day.</w:t>
      </w:r>
    </w:p>
    <w:p w14:paraId="41DC650C" w14:textId="77777777" w:rsidR="00E81DE6" w:rsidRPr="005E4E46" w:rsidRDefault="00E81DE6" w:rsidP="00E81DE6">
      <w:pPr>
        <w:pStyle w:val="a7"/>
        <w:spacing w:after="0" w:line="240" w:lineRule="auto"/>
        <w:ind w:left="993"/>
        <w:jc w:val="both"/>
        <w:rPr>
          <w:rFonts w:ascii="Tahoma" w:hAnsi="Tahoma" w:cs="Tahoma"/>
          <w:sz w:val="20"/>
          <w:szCs w:val="20"/>
          <w:lang w:val="en-US"/>
        </w:rPr>
      </w:pPr>
    </w:p>
    <w:p w14:paraId="3F1D6177" w14:textId="67687885" w:rsidR="00E81DE6" w:rsidRPr="006301DC" w:rsidRDefault="006301DC" w:rsidP="00BA2C16">
      <w:pPr>
        <w:pStyle w:val="a7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  <w:lang w:val="en-US"/>
        </w:rPr>
      </w:pPr>
      <w:r w:rsidRPr="006301DC">
        <w:rPr>
          <w:rFonts w:ascii="Tahoma" w:hAnsi="Tahoma" w:cs="Tahoma"/>
          <w:sz w:val="20"/>
          <w:szCs w:val="20"/>
          <w:lang w:val="en-US"/>
        </w:rPr>
        <w:t xml:space="preserve">For futures contracts on international stocks traded on </w:t>
      </w:r>
      <w:r w:rsidR="00E81DE6" w:rsidRPr="006301DC">
        <w:rPr>
          <w:rFonts w:ascii="Tahoma" w:hAnsi="Tahoma" w:cs="Tahoma"/>
          <w:sz w:val="20"/>
          <w:szCs w:val="20"/>
          <w:lang w:val="en-US"/>
        </w:rPr>
        <w:t xml:space="preserve">Frankfurt Stock Exchange, </w:t>
      </w:r>
    </w:p>
    <w:p w14:paraId="6530DF7B" w14:textId="77777777" w:rsidR="00E81DE6" w:rsidRPr="006301DC" w:rsidRDefault="00E81DE6" w:rsidP="00E81DE6">
      <w:pPr>
        <w:pStyle w:val="a7"/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20"/>
          <w:szCs w:val="20"/>
          <w:lang w:val="en-US"/>
        </w:rPr>
      </w:pPr>
    </w:p>
    <w:p w14:paraId="54B02DEA" w14:textId="610CBBA6" w:rsidR="006301DC" w:rsidRDefault="006301DC" w:rsidP="006301DC">
      <w:pPr>
        <w:pStyle w:val="HTML"/>
        <w:ind w:left="426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the value of the Euro</w:t>
      </w:r>
      <w:r w:rsidRPr="002E5C41">
        <w:rPr>
          <w:rFonts w:ascii="Tahoma" w:hAnsi="Tahoma" w:cs="Tahoma"/>
          <w:lang w:val="en-US"/>
        </w:rPr>
        <w:t>/</w:t>
      </w:r>
      <w:r>
        <w:rPr>
          <w:rFonts w:ascii="Tahoma" w:hAnsi="Tahoma" w:cs="Tahoma"/>
          <w:lang w:val="en-US"/>
        </w:rPr>
        <w:t xml:space="preserve">Russian </w:t>
      </w:r>
      <w:proofErr w:type="spellStart"/>
      <w:r>
        <w:rPr>
          <w:rFonts w:ascii="Tahoma" w:hAnsi="Tahoma" w:cs="Tahoma"/>
          <w:lang w:val="en-US"/>
        </w:rPr>
        <w:t>rouble</w:t>
      </w:r>
      <w:proofErr w:type="spellEnd"/>
      <w:r w:rsidRPr="002E5C41">
        <w:rPr>
          <w:rFonts w:ascii="Tahoma" w:hAnsi="Tahoma" w:cs="Tahoma"/>
          <w:lang w:val="en-US"/>
        </w:rPr>
        <w:t xml:space="preserve"> exchange rate </w:t>
      </w:r>
      <w:r>
        <w:rPr>
          <w:rFonts w:ascii="Tahoma" w:hAnsi="Tahoma" w:cs="Tahoma"/>
          <w:lang w:val="en-US"/>
        </w:rPr>
        <w:t xml:space="preserve">(the “EUR/RUB Rate”) (as determined in accordance with the Moscow Exchange Indicative FX Rate Methodology published on the Exchange’s website) </w:t>
      </w:r>
    </w:p>
    <w:p w14:paraId="05DE486C" w14:textId="77777777" w:rsidR="006301DC" w:rsidRDefault="006301DC" w:rsidP="006301DC">
      <w:pPr>
        <w:pStyle w:val="a7"/>
        <w:spacing w:after="120" w:line="240" w:lineRule="auto"/>
        <w:ind w:left="425"/>
        <w:jc w:val="both"/>
        <w:rPr>
          <w:rFonts w:ascii="Tahoma" w:hAnsi="Tahoma" w:cs="Tahoma"/>
          <w:sz w:val="20"/>
          <w:szCs w:val="20"/>
          <w:lang w:val="en-US"/>
        </w:rPr>
      </w:pPr>
    </w:p>
    <w:p w14:paraId="3B8D059E" w14:textId="77777777" w:rsidR="006301DC" w:rsidRDefault="006301DC" w:rsidP="006301DC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as of </w:t>
      </w:r>
      <w:r w:rsidRPr="008E0A45">
        <w:rPr>
          <w:rFonts w:ascii="Tahoma" w:hAnsi="Tahoma" w:cs="Tahoma"/>
          <w:sz w:val="20"/>
          <w:szCs w:val="20"/>
          <w:lang w:val="en-US"/>
        </w:rPr>
        <w:t xml:space="preserve">13:45 </w:t>
      </w:r>
      <w:r>
        <w:rPr>
          <w:rFonts w:ascii="Tahoma" w:hAnsi="Tahoma" w:cs="Tahoma"/>
          <w:sz w:val="20"/>
          <w:szCs w:val="20"/>
          <w:lang w:val="en-US"/>
        </w:rPr>
        <w:t xml:space="preserve">MSK on the current trading day should be used to set variation margin, tick value and </w:t>
      </w:r>
      <w:r w:rsidRPr="004F00A8">
        <w:rPr>
          <w:rFonts w:ascii="Tahoma" w:hAnsi="Tahoma" w:cs="Tahoma"/>
          <w:sz w:val="20"/>
          <w:szCs w:val="20"/>
          <w:lang w:val="en-US"/>
        </w:rPr>
        <w:t>settlement price</w:t>
      </w:r>
      <w:r>
        <w:rPr>
          <w:rFonts w:ascii="Tahoma" w:hAnsi="Tahoma" w:cs="Tahoma"/>
          <w:sz w:val="20"/>
          <w:szCs w:val="20"/>
          <w:lang w:val="en-US"/>
        </w:rPr>
        <w:t xml:space="preserve"> during the interim clearing session on the current trading day; or</w:t>
      </w:r>
    </w:p>
    <w:p w14:paraId="2C1D4296" w14:textId="4B067898" w:rsidR="006301DC" w:rsidRDefault="006301DC" w:rsidP="006301DC">
      <w:pPr>
        <w:pStyle w:val="a7"/>
        <w:numPr>
          <w:ilvl w:val="1"/>
          <w:numId w:val="3"/>
        </w:numPr>
        <w:spacing w:after="120" w:line="240" w:lineRule="auto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as of 18:</w:t>
      </w:r>
      <w:r w:rsidR="006C259E" w:rsidRPr="006C259E">
        <w:rPr>
          <w:rFonts w:ascii="Tahoma" w:hAnsi="Tahoma" w:cs="Tahoma"/>
          <w:sz w:val="20"/>
          <w:szCs w:val="20"/>
          <w:lang w:val="en-US"/>
        </w:rPr>
        <w:t>44</w:t>
      </w:r>
      <w:r>
        <w:rPr>
          <w:rFonts w:ascii="Tahoma" w:hAnsi="Tahoma" w:cs="Tahoma"/>
          <w:sz w:val="20"/>
          <w:szCs w:val="20"/>
          <w:lang w:val="en-US"/>
        </w:rPr>
        <w:t xml:space="preserve"> MSK on the current trading day should be used to set variation margin, tick value and </w:t>
      </w:r>
      <w:r w:rsidRPr="004F00A8">
        <w:rPr>
          <w:rFonts w:ascii="Tahoma" w:hAnsi="Tahoma" w:cs="Tahoma"/>
          <w:sz w:val="20"/>
          <w:szCs w:val="20"/>
          <w:lang w:val="en-US"/>
        </w:rPr>
        <w:t>settlement price</w:t>
      </w:r>
      <w:r>
        <w:rPr>
          <w:rFonts w:ascii="Tahoma" w:hAnsi="Tahoma" w:cs="Tahoma"/>
          <w:sz w:val="20"/>
          <w:szCs w:val="20"/>
          <w:lang w:val="en-US"/>
        </w:rPr>
        <w:t xml:space="preserve"> during the evening clearing session after the end of the current trading day.</w:t>
      </w:r>
    </w:p>
    <w:p w14:paraId="1070DBE2" w14:textId="77777777" w:rsidR="006301DC" w:rsidRPr="006301DC" w:rsidRDefault="006301DC" w:rsidP="00E81DE6">
      <w:pPr>
        <w:pStyle w:val="a7"/>
        <w:tabs>
          <w:tab w:val="left" w:pos="426"/>
        </w:tabs>
        <w:spacing w:after="0" w:line="240" w:lineRule="auto"/>
        <w:ind w:left="426"/>
        <w:jc w:val="both"/>
        <w:rPr>
          <w:rFonts w:ascii="Tahoma" w:hAnsi="Tahoma" w:cs="Tahoma"/>
          <w:sz w:val="20"/>
          <w:szCs w:val="20"/>
          <w:lang w:val="en-US"/>
        </w:rPr>
      </w:pPr>
    </w:p>
    <w:p w14:paraId="4087C3AB" w14:textId="0B0964C5" w:rsidR="006301DC" w:rsidRPr="006301DC" w:rsidRDefault="006301DC" w:rsidP="00E81DE6">
      <w:pPr>
        <w:pStyle w:val="a7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The USD/RUB and EUR/RUB exchange rates determined as of 13:45 MSK on the current trading day are also used to set the tick value</w:t>
      </w:r>
      <w:r w:rsidR="00FF5C53">
        <w:rPr>
          <w:rFonts w:ascii="Tahoma" w:hAnsi="Tahoma" w:cs="Tahoma"/>
          <w:sz w:val="20"/>
          <w:szCs w:val="20"/>
          <w:lang w:val="en-US"/>
        </w:rPr>
        <w:t xml:space="preserve"> if the relevant derivative contract is executed from 14:00:00 through 18:44:59 MSK on the current trading day 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2E2EA703" w14:textId="77777777" w:rsidR="006301DC" w:rsidRPr="006301DC" w:rsidRDefault="006301DC" w:rsidP="006301DC">
      <w:pPr>
        <w:pStyle w:val="a7"/>
        <w:tabs>
          <w:tab w:val="left" w:pos="426"/>
        </w:tabs>
        <w:spacing w:after="120" w:line="240" w:lineRule="auto"/>
        <w:ind w:left="426"/>
        <w:jc w:val="both"/>
        <w:rPr>
          <w:rFonts w:ascii="Tahoma" w:hAnsi="Tahoma" w:cs="Tahoma"/>
          <w:sz w:val="20"/>
          <w:szCs w:val="20"/>
          <w:lang w:val="en-US"/>
        </w:rPr>
      </w:pPr>
    </w:p>
    <w:p w14:paraId="37541D7C" w14:textId="1C7791EA" w:rsidR="00FF5C53" w:rsidRPr="006301DC" w:rsidRDefault="00FF5C53" w:rsidP="00FF5C53">
      <w:pPr>
        <w:pStyle w:val="a7"/>
        <w:numPr>
          <w:ilvl w:val="0"/>
          <w:numId w:val="3"/>
        </w:numPr>
        <w:tabs>
          <w:tab w:val="left" w:pos="426"/>
        </w:tabs>
        <w:spacing w:after="120" w:line="240" w:lineRule="auto"/>
        <w:ind w:left="426" w:hanging="426"/>
        <w:jc w:val="both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The USD/RUB and EUR/RUB exchange rates determined as of 18:</w:t>
      </w:r>
      <w:r w:rsidR="006C259E" w:rsidRPr="006C259E">
        <w:rPr>
          <w:rFonts w:ascii="Tahoma" w:hAnsi="Tahoma" w:cs="Tahoma"/>
          <w:sz w:val="20"/>
          <w:szCs w:val="20"/>
          <w:lang w:val="en-US"/>
        </w:rPr>
        <w:t>44</w:t>
      </w:r>
      <w:r>
        <w:rPr>
          <w:rFonts w:ascii="Tahoma" w:hAnsi="Tahoma" w:cs="Tahoma"/>
          <w:sz w:val="20"/>
          <w:szCs w:val="20"/>
          <w:lang w:val="en-US"/>
        </w:rPr>
        <w:t xml:space="preserve"> MSK on the current trading day are also used to set the tick value if the relevant derivative contract is executed from 18:45:00 MSK on the current trading day through 13:59:59 MSK on the next trading day.   </w:t>
      </w:r>
    </w:p>
    <w:p w14:paraId="5FAD261A" w14:textId="77777777" w:rsidR="00C7509E" w:rsidRPr="00AA66C2" w:rsidRDefault="00C7509E" w:rsidP="00E81DE6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en-US"/>
        </w:rPr>
      </w:pPr>
    </w:p>
    <w:sectPr w:rsidR="00C7509E" w:rsidRPr="00AA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D3D39"/>
    <w:multiLevelType w:val="multilevel"/>
    <w:tmpl w:val="0419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1" w15:restartNumberingAfterBreak="0">
    <w:nsid w:val="3314431C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abstractNum w:abstractNumId="2" w15:restartNumberingAfterBreak="0">
    <w:nsid w:val="3A116BBF"/>
    <w:multiLevelType w:val="multilevel"/>
    <w:tmpl w:val="A8EA8FC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EED"/>
    <w:rsid w:val="00002C51"/>
    <w:rsid w:val="00090679"/>
    <w:rsid w:val="000B6A84"/>
    <w:rsid w:val="000E6E76"/>
    <w:rsid w:val="001E0E2A"/>
    <w:rsid w:val="001E41B9"/>
    <w:rsid w:val="002068C7"/>
    <w:rsid w:val="00220E81"/>
    <w:rsid w:val="002E5C41"/>
    <w:rsid w:val="00356BB9"/>
    <w:rsid w:val="00363AF1"/>
    <w:rsid w:val="004F00A8"/>
    <w:rsid w:val="00555078"/>
    <w:rsid w:val="00560EEA"/>
    <w:rsid w:val="00585937"/>
    <w:rsid w:val="00586051"/>
    <w:rsid w:val="005E4E46"/>
    <w:rsid w:val="006301DC"/>
    <w:rsid w:val="006C259E"/>
    <w:rsid w:val="006E544A"/>
    <w:rsid w:val="00756833"/>
    <w:rsid w:val="007A2D39"/>
    <w:rsid w:val="007A3F1D"/>
    <w:rsid w:val="007A6663"/>
    <w:rsid w:val="007F1210"/>
    <w:rsid w:val="008155AE"/>
    <w:rsid w:val="00817ADD"/>
    <w:rsid w:val="00850B22"/>
    <w:rsid w:val="00854EED"/>
    <w:rsid w:val="00866115"/>
    <w:rsid w:val="008E0A45"/>
    <w:rsid w:val="00927B1E"/>
    <w:rsid w:val="00A168C0"/>
    <w:rsid w:val="00A233E7"/>
    <w:rsid w:val="00AA66C2"/>
    <w:rsid w:val="00B04BCC"/>
    <w:rsid w:val="00B4797F"/>
    <w:rsid w:val="00B50801"/>
    <w:rsid w:val="00B6130E"/>
    <w:rsid w:val="00B86510"/>
    <w:rsid w:val="00C00B41"/>
    <w:rsid w:val="00C24750"/>
    <w:rsid w:val="00C7509E"/>
    <w:rsid w:val="00D4046C"/>
    <w:rsid w:val="00D443F6"/>
    <w:rsid w:val="00D66B6A"/>
    <w:rsid w:val="00DB6931"/>
    <w:rsid w:val="00DE4C26"/>
    <w:rsid w:val="00DF7983"/>
    <w:rsid w:val="00E145D0"/>
    <w:rsid w:val="00E74DF3"/>
    <w:rsid w:val="00E81DE6"/>
    <w:rsid w:val="00ED6DFB"/>
    <w:rsid w:val="00EE7731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6018"/>
  <w15:docId w15:val="{FB0CBC1A-7133-4F80-BF5E-D7FE35480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Подпункт спецификации"/>
    <w:basedOn w:val="a5"/>
    <w:rsid w:val="001E0E2A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1E0E2A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1">
    <w:name w:val="Подпункт спецификации 1"/>
    <w:basedOn w:val="a0"/>
    <w:rsid w:val="001E0E2A"/>
    <w:pPr>
      <w:numPr>
        <w:ilvl w:val="2"/>
      </w:numPr>
    </w:pPr>
  </w:style>
  <w:style w:type="paragraph" w:styleId="a5">
    <w:name w:val="Body Text Indent"/>
    <w:basedOn w:val="a1"/>
    <w:link w:val="a6"/>
    <w:uiPriority w:val="99"/>
    <w:semiHidden/>
    <w:unhideWhenUsed/>
    <w:rsid w:val="001E0E2A"/>
    <w:pPr>
      <w:spacing w:after="120"/>
      <w:ind w:left="283"/>
    </w:pPr>
  </w:style>
  <w:style w:type="character" w:customStyle="1" w:styleId="a6">
    <w:name w:val="Основной текст с отступом Знак"/>
    <w:basedOn w:val="a2"/>
    <w:link w:val="a5"/>
    <w:uiPriority w:val="99"/>
    <w:semiHidden/>
    <w:rsid w:val="001E0E2A"/>
  </w:style>
  <w:style w:type="paragraph" w:styleId="a7">
    <w:name w:val="List Paragraph"/>
    <w:basedOn w:val="a1"/>
    <w:uiPriority w:val="34"/>
    <w:qFormat/>
    <w:rsid w:val="00E74DF3"/>
    <w:pPr>
      <w:ind w:left="720"/>
      <w:contextualSpacing/>
    </w:pPr>
  </w:style>
  <w:style w:type="character" w:styleId="a8">
    <w:name w:val="annotation reference"/>
    <w:basedOn w:val="a2"/>
    <w:uiPriority w:val="99"/>
    <w:semiHidden/>
    <w:unhideWhenUsed/>
    <w:rsid w:val="007A6663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7A6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7A6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A6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A6663"/>
    <w:rPr>
      <w:b/>
      <w:bCs/>
      <w:sz w:val="20"/>
      <w:szCs w:val="20"/>
    </w:rPr>
  </w:style>
  <w:style w:type="paragraph" w:styleId="ad">
    <w:name w:val="Balloon Text"/>
    <w:basedOn w:val="a1"/>
    <w:link w:val="ae"/>
    <w:uiPriority w:val="99"/>
    <w:semiHidden/>
    <w:unhideWhenUsed/>
    <w:rsid w:val="007A6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7A6663"/>
    <w:rPr>
      <w:rFonts w:ascii="Tahoma" w:hAnsi="Tahoma" w:cs="Tahoma"/>
      <w:sz w:val="16"/>
      <w:szCs w:val="16"/>
    </w:rPr>
  </w:style>
  <w:style w:type="paragraph" w:styleId="HTML">
    <w:name w:val="HTML Preformatted"/>
    <w:basedOn w:val="a1"/>
    <w:link w:val="HTML0"/>
    <w:uiPriority w:val="99"/>
    <w:unhideWhenUsed/>
    <w:rsid w:val="002E5C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2E5C4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Евстратова Ульяна Александровна</dc:creator>
  <cp:lastModifiedBy>Бандакова Екатерина Игоревна</cp:lastModifiedBy>
  <cp:revision>2</cp:revision>
  <dcterms:created xsi:type="dcterms:W3CDTF">2021-12-20T08:55:00Z</dcterms:created>
  <dcterms:modified xsi:type="dcterms:W3CDTF">2021-12-20T08:55:00Z</dcterms:modified>
</cp:coreProperties>
</file>