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FD53" w14:textId="7D4F0DC4" w:rsidR="00854EED" w:rsidRPr="005A62F7"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3036CD68" w14:textId="7B2CBE75" w:rsidR="00CA294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The USD/RUB FX Rate determined in accordance with the Indicative Exchange Rates Methodology approved by the Exchange and published on the Exchange website shall be used for</w:t>
      </w:r>
      <w:r w:rsidR="00CA294C">
        <w:rPr>
          <w:rFonts w:ascii="Tahoma" w:hAnsi="Tahoma" w:cs="Tahoma"/>
          <w:sz w:val="20"/>
          <w:szCs w:val="20"/>
        </w:rPr>
        <w:t>:</w:t>
      </w:r>
    </w:p>
    <w:p w14:paraId="5AEBF6E7"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RTS Index Futures, </w:t>
      </w:r>
    </w:p>
    <w:p w14:paraId="28BAC7BD"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Russian Market Volatility Futures, </w:t>
      </w:r>
    </w:p>
    <w:p w14:paraId="6937B455"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US Dollar Exchange Rate Futures, </w:t>
      </w:r>
    </w:p>
    <w:p w14:paraId="3776BE14"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Light Sweet Crude Oil Futures, </w:t>
      </w:r>
    </w:p>
    <w:p w14:paraId="5E16D9FC"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Precious Metals Futures, </w:t>
      </w:r>
    </w:p>
    <w:p w14:paraId="5DA0C358"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Non-ferrous and Industrial Metals Futures, </w:t>
      </w:r>
    </w:p>
    <w:p w14:paraId="03439E90" w14:textId="77777777" w:rsidR="00CA294C" w:rsidRDefault="00DE4C26" w:rsidP="00CA294C">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Copper Futures, </w:t>
      </w:r>
    </w:p>
    <w:p w14:paraId="450F7024" w14:textId="356870D8" w:rsidR="00CA294C" w:rsidRDefault="00CA294C" w:rsidP="00CA294C">
      <w:pPr>
        <w:pStyle w:val="a7"/>
        <w:numPr>
          <w:ilvl w:val="0"/>
          <w:numId w:val="6"/>
        </w:numPr>
        <w:spacing w:after="120" w:line="240" w:lineRule="auto"/>
        <w:ind w:left="1134" w:hanging="283"/>
        <w:jc w:val="both"/>
        <w:rPr>
          <w:rFonts w:ascii="Tahoma" w:hAnsi="Tahoma" w:cs="Tahoma"/>
          <w:sz w:val="20"/>
          <w:szCs w:val="20"/>
        </w:rPr>
      </w:pPr>
      <w:r w:rsidRPr="00CA294C">
        <w:rPr>
          <w:rFonts w:ascii="Tahoma" w:hAnsi="Tahoma" w:cs="Tahoma"/>
          <w:sz w:val="20"/>
          <w:szCs w:val="20"/>
        </w:rPr>
        <w:t>foreign securities</w:t>
      </w:r>
      <w:r>
        <w:rPr>
          <w:rFonts w:ascii="Tahoma" w:hAnsi="Tahoma" w:cs="Tahoma"/>
          <w:sz w:val="20"/>
          <w:szCs w:val="20"/>
        </w:rPr>
        <w:t>,</w:t>
      </w:r>
    </w:p>
    <w:p w14:paraId="6939D5DA" w14:textId="77777777" w:rsidR="00CA294C" w:rsidRDefault="00DE4C26" w:rsidP="00AA0FE6">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RTS Index (mini) Futures, </w:t>
      </w:r>
      <w:bookmarkStart w:id="1" w:name="_Hlk125542577"/>
    </w:p>
    <w:p w14:paraId="605C0A78" w14:textId="42A46529" w:rsidR="00AA0FE6" w:rsidRDefault="00DE4C26" w:rsidP="00AA0FE6">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Futures-Style Option on</w:t>
      </w:r>
      <w:r w:rsidR="00AA0FE6">
        <w:rPr>
          <w:rFonts w:ascii="Tahoma" w:hAnsi="Tahoma" w:cs="Tahoma"/>
          <w:sz w:val="20"/>
          <w:szCs w:val="20"/>
        </w:rPr>
        <w:t xml:space="preserve"> </w:t>
      </w:r>
      <w:r w:rsidRPr="00E0049C">
        <w:rPr>
          <w:rFonts w:ascii="Tahoma" w:hAnsi="Tahoma" w:cs="Tahoma"/>
          <w:sz w:val="20"/>
          <w:szCs w:val="20"/>
        </w:rPr>
        <w:t xml:space="preserve">RTS Index Futures, </w:t>
      </w:r>
    </w:p>
    <w:p w14:paraId="1E96E0D4" w14:textId="77777777" w:rsidR="00AA0FE6" w:rsidRDefault="00DE4C26" w:rsidP="00AA0FE6">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Futures-Style Option on US Dollar Exchange Rate Futures, </w:t>
      </w:r>
    </w:p>
    <w:p w14:paraId="1F992128" w14:textId="75471ED3" w:rsidR="00AA0FE6" w:rsidRDefault="00DE4C26" w:rsidP="00AA0FE6">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Futures-Style Option on </w:t>
      </w:r>
      <w:r w:rsidR="00AA0FE6" w:rsidRPr="00AA0FE6">
        <w:rPr>
          <w:rFonts w:ascii="Tahoma" w:hAnsi="Tahoma" w:cs="Tahoma"/>
          <w:sz w:val="20"/>
          <w:szCs w:val="20"/>
        </w:rPr>
        <w:t>foreign securities</w:t>
      </w:r>
      <w:r w:rsidRPr="00E0049C">
        <w:rPr>
          <w:rFonts w:ascii="Tahoma" w:hAnsi="Tahoma" w:cs="Tahoma"/>
          <w:sz w:val="20"/>
          <w:szCs w:val="20"/>
        </w:rPr>
        <w:t xml:space="preserve">, </w:t>
      </w:r>
    </w:p>
    <w:p w14:paraId="37CF585E" w14:textId="77777777" w:rsidR="00AA0FE6" w:rsidRDefault="00DE4C26" w:rsidP="00AA0FE6">
      <w:pPr>
        <w:pStyle w:val="a7"/>
        <w:numPr>
          <w:ilvl w:val="0"/>
          <w:numId w:val="6"/>
        </w:numPr>
        <w:spacing w:after="120" w:line="240" w:lineRule="auto"/>
        <w:ind w:left="1134" w:hanging="283"/>
        <w:jc w:val="both"/>
        <w:rPr>
          <w:rFonts w:ascii="Tahoma" w:hAnsi="Tahoma" w:cs="Tahoma"/>
          <w:sz w:val="20"/>
          <w:szCs w:val="20"/>
        </w:rPr>
      </w:pPr>
      <w:r w:rsidRPr="00E0049C">
        <w:rPr>
          <w:rFonts w:ascii="Tahoma" w:hAnsi="Tahoma" w:cs="Tahoma"/>
          <w:sz w:val="20"/>
          <w:szCs w:val="20"/>
        </w:rPr>
        <w:t xml:space="preserve">Futures-Style Option on Light Sweet Crude Oil Futures, </w:t>
      </w:r>
    </w:p>
    <w:p w14:paraId="05ADB39A" w14:textId="66FC778B" w:rsidR="00AA0FE6" w:rsidRPr="00AA0FE6" w:rsidRDefault="00DE4C26" w:rsidP="00AA0FE6">
      <w:pPr>
        <w:pStyle w:val="a7"/>
        <w:numPr>
          <w:ilvl w:val="0"/>
          <w:numId w:val="6"/>
        </w:numPr>
        <w:spacing w:after="120" w:line="240" w:lineRule="auto"/>
        <w:ind w:left="1134" w:hanging="283"/>
        <w:jc w:val="both"/>
        <w:rPr>
          <w:rFonts w:ascii="Tahoma" w:hAnsi="Tahoma" w:cs="Tahoma"/>
          <w:sz w:val="20"/>
          <w:szCs w:val="20"/>
        </w:rPr>
      </w:pPr>
      <w:r w:rsidRPr="00AA0FE6">
        <w:rPr>
          <w:rFonts w:ascii="Tahoma" w:hAnsi="Tahoma" w:cs="Tahoma"/>
          <w:sz w:val="20"/>
          <w:szCs w:val="20"/>
        </w:rPr>
        <w:t>Futures-Style Option on Precious Metal Futures</w:t>
      </w:r>
      <w:r w:rsidR="00AA0FE6" w:rsidRPr="00AA0FE6">
        <w:rPr>
          <w:rFonts w:ascii="Tahoma" w:hAnsi="Tahoma" w:cs="Tahoma"/>
          <w:sz w:val="20"/>
          <w:szCs w:val="20"/>
        </w:rPr>
        <w:t>.</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82AF7D9" w:rsidR="00DE7C40"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1C152D90" w14:textId="77777777" w:rsidR="00AA0FE6" w:rsidRPr="00AA0FE6" w:rsidRDefault="00AA0FE6" w:rsidP="00AA0FE6">
      <w:pPr>
        <w:pStyle w:val="a7"/>
        <w:rPr>
          <w:rFonts w:ascii="Tahoma" w:hAnsi="Tahoma" w:cs="Tahoma"/>
          <w:sz w:val="20"/>
          <w:szCs w:val="20"/>
        </w:rPr>
      </w:pPr>
    </w:p>
    <w:p w14:paraId="04C156C8" w14:textId="46FF8144" w:rsidR="00AA0FE6" w:rsidRPr="00E0049C" w:rsidRDefault="00AA0FE6" w:rsidP="00AA0FE6">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rPr>
        <w:t>USD</w:t>
      </w:r>
      <w:r w:rsidRPr="00E0049C">
        <w:rPr>
          <w:rFonts w:ascii="Tahoma" w:hAnsi="Tahoma" w:cs="Tahoma"/>
          <w:sz w:val="20"/>
          <w:szCs w:val="20"/>
        </w:rPr>
        <w:t>/CHF FX Futures and Futures-Style Options on the USD/CHF FX Futures, the CHF/RUB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27A44A2C" w14:textId="1AC11FB4" w:rsidR="00183F25"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7DEA03CB" w14:textId="77777777" w:rsidR="00AA0FE6" w:rsidRPr="00E0049C" w:rsidRDefault="00AA0FE6" w:rsidP="00AA0FE6">
      <w:pPr>
        <w:pStyle w:val="a7"/>
        <w:spacing w:after="0" w:line="240" w:lineRule="auto"/>
        <w:ind w:left="709"/>
        <w:jc w:val="both"/>
        <w:rPr>
          <w:rFonts w:ascii="Tahoma" w:hAnsi="Tahoma" w:cs="Tahoma"/>
          <w:sz w:val="20"/>
          <w:szCs w:val="20"/>
        </w:rPr>
      </w:pPr>
    </w:p>
    <w:p w14:paraId="7177C4AD" w14:textId="5FE6DA81" w:rsidR="00AA0FE6" w:rsidRDefault="00AA0FE6" w:rsidP="00AA0FE6">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lang w:val="en-US"/>
        </w:rPr>
        <w:t>USD</w:t>
      </w:r>
      <w:r w:rsidRPr="00E0049C">
        <w:rPr>
          <w:rFonts w:ascii="Tahoma" w:hAnsi="Tahoma" w:cs="Tahoma"/>
          <w:sz w:val="20"/>
          <w:szCs w:val="20"/>
        </w:rPr>
        <w:t>/CNY FX Future</w:t>
      </w:r>
      <w:r>
        <w:rPr>
          <w:rFonts w:ascii="Tahoma" w:hAnsi="Tahoma" w:cs="Tahoma"/>
          <w:sz w:val="20"/>
          <w:szCs w:val="20"/>
        </w:rPr>
        <w:t>s, Index MOEXCNY</w:t>
      </w:r>
      <w:r w:rsidRPr="00E0049C">
        <w:rPr>
          <w:rFonts w:ascii="Tahoma" w:hAnsi="Tahoma" w:cs="Tahoma"/>
          <w:sz w:val="20"/>
          <w:szCs w:val="20"/>
        </w:rPr>
        <w:t xml:space="preserve"> and Futures-Style Options on the USD/CNY FX Futures, the CNY/RUB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58238465" w14:textId="1C2CC732" w:rsidR="00AA0FE6" w:rsidRDefault="00AA0FE6" w:rsidP="00AA0FE6">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w:t>
      </w:r>
      <w:r>
        <w:rPr>
          <w:rFonts w:ascii="Tahoma" w:hAnsi="Tahoma" w:cs="Tahoma"/>
          <w:sz w:val="20"/>
          <w:szCs w:val="20"/>
        </w:rPr>
        <w:t>USD</w:t>
      </w:r>
      <w:r w:rsidRPr="00E0049C">
        <w:rPr>
          <w:rFonts w:ascii="Tahoma" w:hAnsi="Tahoma" w:cs="Tahoma"/>
          <w:sz w:val="20"/>
          <w:szCs w:val="20"/>
        </w:rPr>
        <w:t>/</w:t>
      </w:r>
      <w:r>
        <w:rPr>
          <w:rFonts w:ascii="Tahoma" w:hAnsi="Tahoma" w:cs="Tahoma"/>
          <w:sz w:val="20"/>
          <w:szCs w:val="20"/>
        </w:rPr>
        <w:t>KZT</w:t>
      </w:r>
      <w:r w:rsidRPr="00E0049C">
        <w:rPr>
          <w:rFonts w:ascii="Tahoma" w:hAnsi="Tahoma" w:cs="Tahoma"/>
          <w:sz w:val="20"/>
          <w:szCs w:val="20"/>
        </w:rPr>
        <w:t xml:space="preserve"> FX Futures and Futures-Style Options on the USD/</w:t>
      </w:r>
      <w:r>
        <w:rPr>
          <w:rFonts w:ascii="Tahoma" w:hAnsi="Tahoma" w:cs="Tahoma"/>
          <w:sz w:val="20"/>
          <w:szCs w:val="20"/>
        </w:rPr>
        <w:t>KZT</w:t>
      </w:r>
      <w:r w:rsidRPr="00E0049C">
        <w:rPr>
          <w:rFonts w:ascii="Tahoma" w:hAnsi="Tahoma" w:cs="Tahoma"/>
          <w:sz w:val="20"/>
          <w:szCs w:val="20"/>
        </w:rPr>
        <w:t xml:space="preserve"> FX Futures, the </w:t>
      </w:r>
      <w:r>
        <w:rPr>
          <w:rFonts w:ascii="Tahoma" w:hAnsi="Tahoma" w:cs="Tahoma"/>
          <w:sz w:val="20"/>
          <w:szCs w:val="20"/>
        </w:rPr>
        <w:t>KZT</w:t>
      </w:r>
      <w:r w:rsidRPr="00E0049C">
        <w:rPr>
          <w:rFonts w:ascii="Tahoma" w:hAnsi="Tahoma" w:cs="Tahoma"/>
          <w:sz w:val="20"/>
          <w:szCs w:val="20"/>
        </w:rPr>
        <w:t>/RUB FX Rate determined in accordance with the Moscow Exchange Indicative Exchange Rates Methodology approved by the Exchange and published on the Exchange website shall be used</w:t>
      </w:r>
      <w:r>
        <w:rPr>
          <w:rFonts w:ascii="Tahoma" w:hAnsi="Tahoma" w:cs="Tahoma"/>
          <w:sz w:val="20"/>
          <w:szCs w:val="20"/>
        </w:rPr>
        <w:t>.</w:t>
      </w:r>
    </w:p>
    <w:p w14:paraId="7CE29750" w14:textId="77777777" w:rsidR="00AA0FE6" w:rsidRPr="00E0049C" w:rsidRDefault="00AA0FE6" w:rsidP="00AA0FE6">
      <w:pPr>
        <w:pStyle w:val="a7"/>
        <w:spacing w:after="0" w:line="240" w:lineRule="auto"/>
        <w:ind w:left="709"/>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6F908F2B" w:rsidR="00332153"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USD/JPY FX Futures and Futures-Style Options on the USD/JPY FX Futures, </w:t>
      </w:r>
      <w:r w:rsidR="00D86F73">
        <w:rPr>
          <w:rFonts w:ascii="Tahoma" w:hAnsi="Tahoma" w:cs="Tahoma"/>
          <w:sz w:val="20"/>
          <w:szCs w:val="20"/>
          <w:lang w:val="en-US"/>
        </w:rPr>
        <w:t xml:space="preserve">Futures on </w:t>
      </w:r>
      <w:r w:rsidR="00D86F73" w:rsidRPr="00994FD7">
        <w:rPr>
          <w:rFonts w:ascii="Tahoma" w:hAnsi="Tahoma" w:cs="Tahoma"/>
          <w:sz w:val="20"/>
          <w:szCs w:val="20"/>
        </w:rPr>
        <w:t>iShares Core Nikkei 225 ETF</w:t>
      </w:r>
      <w:r w:rsidR="00D86F73">
        <w:rPr>
          <w:rFonts w:ascii="Tahoma" w:hAnsi="Tahoma" w:cs="Tahoma"/>
          <w:sz w:val="20"/>
          <w:szCs w:val="20"/>
        </w:rPr>
        <w:t xml:space="preserve">, Futures-Style Options on </w:t>
      </w:r>
      <w:r w:rsidR="00D86F73" w:rsidRPr="00994FD7">
        <w:rPr>
          <w:rFonts w:ascii="Tahoma" w:hAnsi="Tahoma" w:cs="Tahoma"/>
          <w:sz w:val="20"/>
          <w:szCs w:val="20"/>
        </w:rPr>
        <w:t>iShares Core Nikkei 225 ETF</w:t>
      </w:r>
      <w:r w:rsidR="00D86F73">
        <w:rPr>
          <w:rFonts w:ascii="Tahoma" w:hAnsi="Tahoma" w:cs="Tahoma"/>
          <w:sz w:val="20"/>
          <w:szCs w:val="20"/>
        </w:rPr>
        <w:t>,</w:t>
      </w:r>
      <w:r w:rsidR="00D86F73" w:rsidRPr="00964087">
        <w:rPr>
          <w:rFonts w:ascii="Tahoma" w:hAnsi="Tahoma" w:cs="Tahoma"/>
          <w:sz w:val="20"/>
          <w:szCs w:val="20"/>
        </w:rPr>
        <w:t xml:space="preserve"> </w:t>
      </w:r>
      <w:r w:rsidRPr="00E0049C">
        <w:rPr>
          <w:rFonts w:ascii="Tahoma" w:hAnsi="Tahoma" w:cs="Tahoma"/>
          <w:sz w:val="20"/>
          <w:szCs w:val="20"/>
        </w:rPr>
        <w:t>the JPY/RUB FX Rate determined in accordance with the Moscow Exchange Indicative Exchange Rates Methodology as published on the Exchange website shall be used.</w:t>
      </w:r>
    </w:p>
    <w:p w14:paraId="52EB544E" w14:textId="77777777" w:rsidR="005105BE" w:rsidRPr="005105BE" w:rsidRDefault="005105BE" w:rsidP="005105BE">
      <w:pPr>
        <w:pStyle w:val="a7"/>
        <w:rPr>
          <w:rFonts w:ascii="Tahoma" w:hAnsi="Tahoma" w:cs="Tahoma"/>
          <w:sz w:val="20"/>
          <w:szCs w:val="20"/>
        </w:rPr>
      </w:pPr>
    </w:p>
    <w:p w14:paraId="17D14907" w14:textId="19BEDBA7" w:rsidR="005105BE" w:rsidRPr="00E0049C" w:rsidRDefault="005105BE"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Raw Sugar Futures, the USD/RUB FX Rate determined in accordance with the Moscow Exchange Fixing Methodology approved by the Exchange and published on the Exchange website as of 12:30 MSK of the current Trading Day shall be used to determine the settlement obligation (the expiration settlement price) during the intraday clearing session on the last Trading Day</w:t>
      </w:r>
      <w:r>
        <w:rPr>
          <w:rFonts w:ascii="Tahoma" w:hAnsi="Tahoma" w:cs="Tahoma"/>
          <w:sz w:val="20"/>
          <w:szCs w:val="20"/>
        </w:rPr>
        <w:t>.</w:t>
      </w:r>
    </w:p>
    <w:p w14:paraId="60FE881B" w14:textId="77777777" w:rsidR="00964087" w:rsidRPr="00E0049C" w:rsidRDefault="00964087" w:rsidP="004704B1">
      <w:pPr>
        <w:pStyle w:val="a7"/>
        <w:rPr>
          <w:rFonts w:ascii="Tahoma" w:hAnsi="Tahoma" w:cs="Tahoma"/>
          <w:sz w:val="20"/>
          <w:szCs w:val="20"/>
        </w:rPr>
      </w:pPr>
    </w:p>
    <w:p w14:paraId="6AD05244" w14:textId="0B5E3213"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736EBBCD"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F249BF">
        <w:rPr>
          <w:rFonts w:ascii="Tahoma" w:hAnsi="Tahoma" w:cs="Tahoma"/>
          <w:sz w:val="20"/>
          <w:szCs w:val="20"/>
        </w:rPr>
        <w:t>2</w:t>
      </w:r>
      <w:r w:rsidRPr="00E0049C">
        <w:rPr>
          <w:rFonts w:ascii="Tahoma" w:hAnsi="Tahoma" w:cs="Tahoma"/>
          <w:sz w:val="20"/>
          <w:szCs w:val="20"/>
        </w:rPr>
        <w:t>.1, the exchange rates determined as of 13:45 Moscow time of the current Trading Day shall also be used to determine the value of the minimum price fluctuation for Derivatives Contract concluded between 1</w:t>
      </w:r>
      <w:r w:rsidR="00F249BF">
        <w:rPr>
          <w:rFonts w:ascii="Tahoma" w:hAnsi="Tahoma" w:cs="Tahoma"/>
          <w:sz w:val="20"/>
          <w:szCs w:val="20"/>
        </w:rPr>
        <w:t>4</w:t>
      </w:r>
      <w:r w:rsidRPr="00E0049C">
        <w:rPr>
          <w:rFonts w:ascii="Tahoma" w:hAnsi="Tahoma" w:cs="Tahoma"/>
          <w:sz w:val="20"/>
          <w:szCs w:val="20"/>
        </w:rPr>
        <w:t>:00:00 and 18:4</w:t>
      </w:r>
      <w:r w:rsidR="00F249BF">
        <w:rPr>
          <w:rFonts w:ascii="Tahoma" w:hAnsi="Tahoma" w:cs="Tahoma"/>
          <w:sz w:val="20"/>
          <w:szCs w:val="20"/>
        </w:rPr>
        <w:t>9</w:t>
      </w:r>
      <w:r w:rsidRPr="00E0049C">
        <w:rPr>
          <w:rFonts w:ascii="Tahoma" w:hAnsi="Tahoma" w:cs="Tahoma"/>
          <w:sz w:val="20"/>
          <w:szCs w:val="20"/>
        </w:rPr>
        <w:t xml:space="preserve">:59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66E232DF"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w:t>
      </w:r>
      <w:r w:rsidR="00F249BF">
        <w:rPr>
          <w:rFonts w:ascii="Tahoma" w:hAnsi="Tahoma" w:cs="Tahoma"/>
          <w:sz w:val="20"/>
          <w:szCs w:val="20"/>
        </w:rPr>
        <w:t>2</w:t>
      </w:r>
      <w:r w:rsidRPr="00E0049C">
        <w:rPr>
          <w:rFonts w:ascii="Tahoma" w:hAnsi="Tahoma" w:cs="Tahoma"/>
          <w:sz w:val="20"/>
          <w:szCs w:val="20"/>
        </w:rPr>
        <w:t>.2</w:t>
      </w:r>
      <w:bookmarkStart w:id="2" w:name="_GoBack"/>
      <w:bookmarkEnd w:id="2"/>
      <w:r w:rsidRPr="00E0049C">
        <w:rPr>
          <w:rFonts w:ascii="Tahoma" w:hAnsi="Tahoma" w:cs="Tahoma"/>
          <w:sz w:val="20"/>
          <w:szCs w:val="20"/>
        </w:rPr>
        <w:t>, the exchange rates determined as of 18:49 Moscow time of the current Trading Day shall also be used to determine the value of the minimum price fluctuation for Derivatives Contract concluded between 18:</w:t>
      </w:r>
      <w:r w:rsidR="00F249BF">
        <w:rPr>
          <w:rFonts w:ascii="Tahoma" w:hAnsi="Tahoma" w:cs="Tahoma"/>
          <w:sz w:val="20"/>
          <w:szCs w:val="20"/>
        </w:rPr>
        <w:t>50</w:t>
      </w:r>
      <w:r w:rsidRPr="00E0049C">
        <w:rPr>
          <w:rFonts w:ascii="Tahoma" w:hAnsi="Tahoma" w:cs="Tahoma"/>
          <w:sz w:val="20"/>
          <w:szCs w:val="20"/>
        </w:rPr>
        <w:t>:00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B2E"/>
    <w:multiLevelType w:val="hybridMultilevel"/>
    <w:tmpl w:val="7E9CCD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0A5E"/>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9653C"/>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105BE"/>
    <w:rsid w:val="00523F5D"/>
    <w:rsid w:val="005274AC"/>
    <w:rsid w:val="00540F24"/>
    <w:rsid w:val="00566B31"/>
    <w:rsid w:val="00566FCD"/>
    <w:rsid w:val="005926AD"/>
    <w:rsid w:val="005A1CD3"/>
    <w:rsid w:val="005A1D19"/>
    <w:rsid w:val="005A62F7"/>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91169"/>
    <w:rsid w:val="009E3BF9"/>
    <w:rsid w:val="009F1F4E"/>
    <w:rsid w:val="00A06E4F"/>
    <w:rsid w:val="00A11EBC"/>
    <w:rsid w:val="00A361A7"/>
    <w:rsid w:val="00A44918"/>
    <w:rsid w:val="00A44F78"/>
    <w:rsid w:val="00A46A7A"/>
    <w:rsid w:val="00A471CE"/>
    <w:rsid w:val="00A82CFA"/>
    <w:rsid w:val="00A97D6A"/>
    <w:rsid w:val="00AA0241"/>
    <w:rsid w:val="00AA0FE6"/>
    <w:rsid w:val="00AA11F0"/>
    <w:rsid w:val="00AA2D0E"/>
    <w:rsid w:val="00AB27BA"/>
    <w:rsid w:val="00AC606A"/>
    <w:rsid w:val="00AE3DCF"/>
    <w:rsid w:val="00B40357"/>
    <w:rsid w:val="00B4797F"/>
    <w:rsid w:val="00B6130E"/>
    <w:rsid w:val="00B66524"/>
    <w:rsid w:val="00B8204F"/>
    <w:rsid w:val="00B86510"/>
    <w:rsid w:val="00B90C62"/>
    <w:rsid w:val="00B919C4"/>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294C"/>
    <w:rsid w:val="00CA5607"/>
    <w:rsid w:val="00CB3A07"/>
    <w:rsid w:val="00CE0C65"/>
    <w:rsid w:val="00CF45DB"/>
    <w:rsid w:val="00CF5AE7"/>
    <w:rsid w:val="00D3221C"/>
    <w:rsid w:val="00D3375B"/>
    <w:rsid w:val="00D5703F"/>
    <w:rsid w:val="00D62644"/>
    <w:rsid w:val="00D74B0C"/>
    <w:rsid w:val="00D83312"/>
    <w:rsid w:val="00D86F73"/>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9BF"/>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F813A-D9C6-4318-A6CA-5167A4BA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3</cp:revision>
  <cp:lastPrinted>2021-01-14T09:31:00Z</cp:lastPrinted>
  <dcterms:created xsi:type="dcterms:W3CDTF">2024-12-12T14:20:00Z</dcterms:created>
  <dcterms:modified xsi:type="dcterms:W3CDTF">2024-12-16T12:51:00Z</dcterms:modified>
</cp:coreProperties>
</file>