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62B644C5" w:rsidR="00CB3618" w:rsidRPr="00476641" w:rsidRDefault="00CB3618" w:rsidP="00AF0ADF">
      <w:pPr>
        <w:spacing w:afterLines="60" w:after="144"/>
        <w:ind w:left="9781"/>
        <w:rPr>
          <w:bCs/>
        </w:rPr>
      </w:pPr>
      <w:r w:rsidRPr="00476641">
        <w:rPr>
          <w:bCs/>
        </w:rPr>
        <w:t>(Протокол №</w:t>
      </w:r>
      <w:r w:rsidR="00476641" w:rsidRPr="00476641">
        <w:rPr>
          <w:bCs/>
          <w:lang w:val="en-US"/>
        </w:rPr>
        <w:t>3</w:t>
      </w:r>
      <w:r w:rsidRPr="00476641">
        <w:rPr>
          <w:bCs/>
        </w:rPr>
        <w:t xml:space="preserve"> от </w:t>
      </w:r>
      <w:r w:rsidR="00476641" w:rsidRPr="00476641">
        <w:rPr>
          <w:bCs/>
          <w:lang w:val="en-US"/>
        </w:rPr>
        <w:t xml:space="preserve">19 </w:t>
      </w:r>
      <w:r w:rsidR="00476641" w:rsidRPr="00476641">
        <w:rPr>
          <w:bCs/>
        </w:rPr>
        <w:t xml:space="preserve">января </w:t>
      </w:r>
      <w:r w:rsidRPr="00476641">
        <w:rPr>
          <w:bCs/>
        </w:rPr>
        <w:t>201</w:t>
      </w:r>
      <w:r w:rsidR="00476641" w:rsidRPr="00476641">
        <w:rPr>
          <w:bCs/>
        </w:rPr>
        <w:t>8</w:t>
      </w:r>
      <w:r w:rsidRPr="00476641">
        <w:rPr>
          <w:bCs/>
        </w:rPr>
        <w:t xml:space="preserve"> г.)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548B24C2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 фикс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>на валют</w:t>
      </w:r>
      <w:bookmarkStart w:id="0" w:name="_GoBack"/>
      <w:bookmarkEnd w:id="0"/>
      <w:r w:rsidRPr="008323E3">
        <w:rPr>
          <w:b/>
          <w:bCs/>
          <w:color w:val="000000"/>
          <w:sz w:val="28"/>
          <w:szCs w:val="28"/>
        </w:rPr>
        <w:t xml:space="preserve">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proofErr w:type="gramStart"/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  <w:proofErr w:type="gramEnd"/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30FB9FB6" w:rsidR="002128C4" w:rsidRPr="00457C97" w:rsidRDefault="002128C4" w:rsidP="00F35CEF">
            <w:pPr>
              <w:jc w:val="center"/>
            </w:pPr>
            <w:r w:rsidRPr="00457C97">
              <w:t>для внесистемных сделок</w:t>
            </w:r>
            <w:r w:rsidR="00202DE3"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2325BAD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10F3F862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4B164073" w14:textId="77777777" w:rsidR="00B358C6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  <w:p w14:paraId="6609BA17" w14:textId="77777777" w:rsidR="009301D5" w:rsidRPr="00457C97" w:rsidRDefault="009301D5" w:rsidP="00B358C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2D2A9600" w14:textId="77777777" w:rsidR="00B358C6" w:rsidRPr="00457C97" w:rsidRDefault="00B358C6" w:rsidP="00B358C6">
            <w:pPr>
              <w:jc w:val="center"/>
            </w:pPr>
            <w:r w:rsidRPr="00457C97">
              <w:t>0,0025 руб. (за 100 казахстанских тенге),</w:t>
            </w:r>
          </w:p>
          <w:p w14:paraId="55C9500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EF5915" w:rsidRPr="00457C97" w14:paraId="4D16E9F6" w14:textId="77777777" w:rsidTr="002128C4">
        <w:tc>
          <w:tcPr>
            <w:tcW w:w="567" w:type="dxa"/>
            <w:vAlign w:val="center"/>
          </w:tcPr>
          <w:p w14:paraId="2B49D2A4" w14:textId="77777777" w:rsidR="00EF5915" w:rsidRPr="00457C97" w:rsidRDefault="00EF5915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A22AAC1" w14:textId="0EFF7486" w:rsidR="00EF5915" w:rsidRPr="009762E7" w:rsidRDefault="00EF5915" w:rsidP="00B358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TRYRUB_TOD</w:t>
            </w:r>
          </w:p>
        </w:tc>
        <w:tc>
          <w:tcPr>
            <w:tcW w:w="1134" w:type="dxa"/>
            <w:vAlign w:val="center"/>
          </w:tcPr>
          <w:p w14:paraId="2EFD8B66" w14:textId="792600E8" w:rsidR="00EF5915" w:rsidRPr="00457C97" w:rsidRDefault="00EF5915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4FD9A75D" w14:textId="41FDC861" w:rsidR="00EF5915" w:rsidRPr="00457C97" w:rsidRDefault="00EF5915" w:rsidP="00B358C6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6BF6766C" w14:textId="3FFD1412" w:rsidR="00EF5915" w:rsidRPr="00457C97" w:rsidRDefault="00EF5915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44992673" w14:textId="77777777" w:rsidR="00EF5915" w:rsidRDefault="00EF5915" w:rsidP="00B358C6">
            <w:pPr>
              <w:jc w:val="center"/>
            </w:pPr>
            <w:r>
              <w:t xml:space="preserve">1000 турецких лир, </w:t>
            </w:r>
          </w:p>
          <w:p w14:paraId="6929ECB1" w14:textId="4264D7DA" w:rsidR="00EF5915" w:rsidRPr="00457C97" w:rsidRDefault="00EF5915" w:rsidP="00B358C6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086A2C07" w14:textId="24172831" w:rsidR="00EF5915" w:rsidRPr="00457C97" w:rsidRDefault="00EF5915" w:rsidP="00B358C6">
            <w:pPr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6C27C755" w14:textId="276D96BA" w:rsidR="00EF5915" w:rsidRPr="00457C97" w:rsidRDefault="00EF5915" w:rsidP="00B358C6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77777777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457C97" w14:paraId="196E1130" w14:textId="77777777" w:rsidTr="00CA435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proofErr w:type="gramStart"/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  <w:proofErr w:type="gramEnd"/>
          </w:p>
        </w:tc>
      </w:tr>
      <w:tr w:rsidR="00B246B0" w:rsidRPr="00457C97" w14:paraId="250C1864" w14:textId="77777777" w:rsidTr="00CA435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693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D16062" w:rsidRPr="00457C97" w14:paraId="139EB08B" w14:textId="77777777" w:rsidTr="00CA435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7BB2027A" w14:textId="77777777" w:rsidTr="00CA435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701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59EFE994" w14:textId="77777777" w:rsidTr="00CA435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27B4F02A" w14:textId="77777777" w:rsidTr="00CA435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D16062" w:rsidRPr="00457C97" w14:paraId="298E1A0C" w14:textId="77777777" w:rsidTr="00CA435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D16062" w:rsidRPr="00457C97" w14:paraId="1A9F940F" w14:textId="77777777" w:rsidTr="00CA435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701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693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FB34C07" w14:textId="77777777" w:rsidR="00D16062" w:rsidRDefault="00D16062" w:rsidP="00F5714B">
            <w:pPr>
              <w:jc w:val="center"/>
            </w:pPr>
            <w:r w:rsidRPr="00457C97">
              <w:t>для внесистемных сделок – 1 евро</w:t>
            </w:r>
          </w:p>
          <w:p w14:paraId="260B9772" w14:textId="77777777" w:rsidR="009301D5" w:rsidRPr="00457C97" w:rsidRDefault="009301D5" w:rsidP="00F5714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418" w:type="dxa"/>
            <w:vAlign w:val="center"/>
          </w:tcPr>
          <w:p w14:paraId="79E5D53C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доллар США</w:t>
            </w:r>
          </w:p>
        </w:tc>
        <w:tc>
          <w:tcPr>
            <w:tcW w:w="1559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59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D16062" w:rsidRPr="00457C97" w14:paraId="452F8222" w14:textId="77777777" w:rsidTr="00CA435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701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3182FFE" w14:textId="77777777" w:rsidTr="00CA435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701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0B15C379" w14:textId="77777777" w:rsidTr="00CA435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2379A5F8" w14:textId="77777777" w:rsidTr="00CA435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701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6E71E240" w14:textId="77777777" w:rsidTr="00CA435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701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418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59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7DD23A43" w14:textId="77777777" w:rsidTr="00CA435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701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B7A140E" w14:textId="54934BB6" w:rsidR="00137011" w:rsidRPr="00457C97" w:rsidRDefault="00137011" w:rsidP="00137011">
            <w:pPr>
              <w:jc w:val="center"/>
            </w:pPr>
            <w:r w:rsidRPr="00457C97">
              <w:t>100 000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15CBF646" w14:textId="77777777" w:rsidTr="00CA4355">
        <w:tc>
          <w:tcPr>
            <w:tcW w:w="567" w:type="dxa"/>
            <w:vAlign w:val="center"/>
          </w:tcPr>
          <w:p w14:paraId="05122324" w14:textId="5521A04E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36EBCA5E" w14:textId="77777777" w:rsidTr="00CA435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701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137011" w:rsidRPr="00457C97" w14:paraId="34591851" w14:textId="77777777" w:rsidTr="00CA435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137011" w:rsidRPr="00457C97" w14:paraId="4C683E09" w14:textId="77777777" w:rsidTr="00CA435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701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693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418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59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3F5F" w14:textId="77777777" w:rsidR="00EF5915" w:rsidRDefault="00EF5915" w:rsidP="002F7E61">
      <w:r>
        <w:separator/>
      </w:r>
    </w:p>
  </w:endnote>
  <w:endnote w:type="continuationSeparator" w:id="0">
    <w:p w14:paraId="701039BE" w14:textId="77777777" w:rsidR="00EF5915" w:rsidRDefault="00EF5915" w:rsidP="002F7E61">
      <w:r>
        <w:continuationSeparator/>
      </w:r>
    </w:p>
  </w:endnote>
  <w:endnote w:type="continuationNotice" w:id="1">
    <w:p w14:paraId="7AD8D9EA" w14:textId="77777777" w:rsidR="00EF5915" w:rsidRDefault="00EF5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4EBB" w14:textId="77777777" w:rsidR="00EF5915" w:rsidRDefault="00EF591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EF5915" w:rsidRDefault="00EF5915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77777777" w:rsidR="00EF5915" w:rsidRDefault="00EF591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41">
          <w:rPr>
            <w:noProof/>
          </w:rPr>
          <w:t>8</w:t>
        </w:r>
        <w:r>
          <w:fldChar w:fldCharType="end"/>
        </w:r>
      </w:p>
    </w:sdtContent>
  </w:sdt>
  <w:p w14:paraId="53213378" w14:textId="77777777" w:rsidR="00EF5915" w:rsidRDefault="00EF5915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77B" w14:textId="77777777" w:rsidR="00EF5915" w:rsidRDefault="00EF5915" w:rsidP="002F7E61">
      <w:r>
        <w:separator/>
      </w:r>
    </w:p>
  </w:footnote>
  <w:footnote w:type="continuationSeparator" w:id="0">
    <w:p w14:paraId="6DA294CB" w14:textId="77777777" w:rsidR="00EF5915" w:rsidRDefault="00EF5915" w:rsidP="002F7E61">
      <w:r>
        <w:continuationSeparator/>
      </w:r>
    </w:p>
  </w:footnote>
  <w:footnote w:type="continuationNotice" w:id="1">
    <w:p w14:paraId="14CA6EE3" w14:textId="77777777" w:rsidR="00EF5915" w:rsidRDefault="00EF59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2DE3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17B0"/>
    <w:rsid w:val="00223499"/>
    <w:rsid w:val="002236C0"/>
    <w:rsid w:val="00227BF1"/>
    <w:rsid w:val="0023622A"/>
    <w:rsid w:val="002407A3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6B61"/>
    <w:rsid w:val="003502CC"/>
    <w:rsid w:val="0035128F"/>
    <w:rsid w:val="003524B1"/>
    <w:rsid w:val="003609F2"/>
    <w:rsid w:val="003638A1"/>
    <w:rsid w:val="00367E97"/>
    <w:rsid w:val="003708FF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577FE"/>
    <w:rsid w:val="0056049C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56E61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702F"/>
    <w:rsid w:val="00691774"/>
    <w:rsid w:val="00691C54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58B8"/>
    <w:rsid w:val="00905D17"/>
    <w:rsid w:val="009108E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762E7"/>
    <w:rsid w:val="009810B6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13C45"/>
    <w:rsid w:val="00B1452E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225D"/>
    <w:rsid w:val="00C83395"/>
    <w:rsid w:val="00C87864"/>
    <w:rsid w:val="00C927AA"/>
    <w:rsid w:val="00C947EA"/>
    <w:rsid w:val="00C96FC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06084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20439"/>
    <w:rsid w:val="00E22425"/>
    <w:rsid w:val="00E27D49"/>
    <w:rsid w:val="00E42E9F"/>
    <w:rsid w:val="00E47463"/>
    <w:rsid w:val="00E5770C"/>
    <w:rsid w:val="00E658CD"/>
    <w:rsid w:val="00E752F1"/>
    <w:rsid w:val="00E8005B"/>
    <w:rsid w:val="00E82957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EF5915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D0AA-D977-439D-AA56-5530CAA1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Плешкова Яна Михайловна</cp:lastModifiedBy>
  <cp:revision>5</cp:revision>
  <cp:lastPrinted>2017-06-07T08:12:00Z</cp:lastPrinted>
  <dcterms:created xsi:type="dcterms:W3CDTF">2018-01-10T08:58:00Z</dcterms:created>
  <dcterms:modified xsi:type="dcterms:W3CDTF">2018-01-22T12:50:00Z</dcterms:modified>
</cp:coreProperties>
</file>