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0B93" w14:textId="77777777" w:rsidR="008601D3" w:rsidRPr="008601D3" w:rsidRDefault="00382438" w:rsidP="00E11C2E">
      <w:pPr>
        <w:tabs>
          <w:tab w:val="left" w:pos="1021"/>
        </w:tabs>
        <w:spacing w:before="120"/>
        <w:ind w:left="5954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14:paraId="1040C100" w14:textId="77777777" w:rsidR="008601D3" w:rsidRPr="008601D3" w:rsidRDefault="008601D3" w:rsidP="00E11C2E">
      <w:pPr>
        <w:tabs>
          <w:tab w:val="left" w:pos="1021"/>
        </w:tabs>
        <w:ind w:left="5954"/>
        <w:rPr>
          <w:rFonts w:ascii="Tahoma" w:hAnsi="Tahoma" w:cs="Tahoma"/>
          <w:sz w:val="22"/>
          <w:szCs w:val="22"/>
        </w:rPr>
      </w:pPr>
    </w:p>
    <w:p w14:paraId="1F38D220" w14:textId="77777777" w:rsidR="00C82E54" w:rsidRPr="008601D3" w:rsidRDefault="00382438" w:rsidP="00E11C2E">
      <w:pPr>
        <w:ind w:left="5954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>Приказом ПАО Московская Биржа</w:t>
      </w:r>
    </w:p>
    <w:p w14:paraId="61E1E725" w14:textId="47A536CF" w:rsidR="00A20514" w:rsidRPr="00875603" w:rsidRDefault="00382438" w:rsidP="00A20514">
      <w:pPr>
        <w:ind w:left="5954"/>
        <w:jc w:val="both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07033E">
        <w:rPr>
          <w:rFonts w:ascii="Tahoma" w:hAnsi="Tahoma" w:cs="Tahoma"/>
          <w:sz w:val="22"/>
          <w:szCs w:val="22"/>
        </w:rPr>
        <w:t>25.07</w:t>
      </w:r>
      <w:r w:rsidR="0007033E" w:rsidRPr="008601D3">
        <w:rPr>
          <w:rFonts w:ascii="Tahoma" w:hAnsi="Tahoma" w:cs="Tahoma"/>
          <w:sz w:val="22"/>
          <w:szCs w:val="22"/>
        </w:rPr>
        <w:t>.</w:t>
      </w:r>
      <w:r w:rsidRPr="00E11C2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</w:t>
      </w:r>
      <w:r w:rsidR="007E4885">
        <w:rPr>
          <w:rFonts w:ascii="Tahoma" w:hAnsi="Tahoma" w:cs="Tahoma"/>
          <w:sz w:val="22"/>
          <w:szCs w:val="22"/>
        </w:rPr>
        <w:t>3</w:t>
      </w:r>
      <w:r w:rsidR="007E4885" w:rsidRPr="008601D3">
        <w:rPr>
          <w:rFonts w:ascii="Tahoma" w:hAnsi="Tahoma" w:cs="Tahoma"/>
          <w:sz w:val="22"/>
          <w:szCs w:val="22"/>
        </w:rPr>
        <w:t xml:space="preserve"> </w:t>
      </w:r>
      <w:r w:rsidRPr="008601D3">
        <w:rPr>
          <w:rFonts w:ascii="Tahoma" w:hAnsi="Tahoma" w:cs="Tahoma"/>
          <w:sz w:val="22"/>
          <w:szCs w:val="22"/>
        </w:rPr>
        <w:t xml:space="preserve">№ </w:t>
      </w:r>
      <w:r w:rsidR="007E4885" w:rsidRPr="007E4885">
        <w:rPr>
          <w:rFonts w:ascii="Tahoma" w:hAnsi="Tahoma" w:cs="Tahoma"/>
          <w:sz w:val="22"/>
          <w:szCs w:val="22"/>
        </w:rPr>
        <w:t>МБ-П-2023-</w:t>
      </w:r>
      <w:r w:rsidR="0007033E">
        <w:rPr>
          <w:rFonts w:ascii="Tahoma" w:hAnsi="Tahoma" w:cs="Tahoma"/>
          <w:sz w:val="22"/>
          <w:szCs w:val="22"/>
        </w:rPr>
        <w:t>1973</w:t>
      </w:r>
    </w:p>
    <w:p w14:paraId="326D6842" w14:textId="77777777" w:rsidR="005B32D8" w:rsidRPr="00875603" w:rsidRDefault="005B32D8" w:rsidP="00A8104E">
      <w:pPr>
        <w:jc w:val="center"/>
        <w:rPr>
          <w:rFonts w:ascii="Tahoma" w:hAnsi="Tahoma" w:cs="Tahoma"/>
          <w:sz w:val="22"/>
          <w:szCs w:val="22"/>
        </w:rPr>
      </w:pPr>
    </w:p>
    <w:p w14:paraId="2A458272" w14:textId="77777777" w:rsidR="00B95371" w:rsidRPr="008601D3" w:rsidRDefault="00B95371" w:rsidP="00A8104E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7AA1A6B" w14:textId="77777777" w:rsidR="00B95371" w:rsidRPr="008601D3" w:rsidRDefault="00B95371" w:rsidP="00A8104E">
      <w:pPr>
        <w:jc w:val="center"/>
        <w:rPr>
          <w:rFonts w:ascii="Tahoma" w:eastAsia="Calibri" w:hAnsi="Tahoma" w:cs="Tahoma"/>
          <w:sz w:val="22"/>
          <w:szCs w:val="22"/>
        </w:rPr>
      </w:pPr>
    </w:p>
    <w:p w14:paraId="63C44DE4" w14:textId="77777777" w:rsidR="005B32D8" w:rsidRPr="008601D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14:paraId="7CED078E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2C47C9B9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591290DA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384BE273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523B14CB" w14:textId="77777777"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F99805F" w14:textId="77777777"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EDE8111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390A7119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60A192BD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31874184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2CE92B2A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829A54E" w14:textId="77777777" w:rsidR="00851C82" w:rsidRPr="00DE229E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40B759E8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5500F870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2147D4C1" w14:textId="77777777"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5BB9B173" w14:textId="77777777"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7DD97199" w14:textId="6938A97B" w:rsidR="005B32D8" w:rsidRPr="00FD2855" w:rsidRDefault="00382438" w:rsidP="0097476A">
      <w:pPr>
        <w:spacing w:line="276" w:lineRule="auto"/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C27770">
        <w:rPr>
          <w:rFonts w:ascii="Tahoma" w:hAnsi="Tahoma" w:cs="Tahoma"/>
          <w:b/>
          <w:sz w:val="22"/>
          <w:szCs w:val="22"/>
        </w:rPr>
        <w:t>Перечень рейтинговых агентств и уров</w:t>
      </w:r>
      <w:r w:rsidRPr="00FD2855">
        <w:rPr>
          <w:rFonts w:ascii="Tahoma" w:hAnsi="Tahoma" w:cs="Tahoma"/>
          <w:b/>
          <w:sz w:val="22"/>
          <w:szCs w:val="22"/>
        </w:rPr>
        <w:t>ни кредитных рейтингов</w:t>
      </w:r>
      <w:r w:rsidRPr="00F775C7">
        <w:rPr>
          <w:rFonts w:ascii="Tahoma" w:hAnsi="Tahoma" w:cs="Tahoma"/>
          <w:b/>
          <w:sz w:val="22"/>
          <w:szCs w:val="22"/>
        </w:rPr>
        <w:t xml:space="preserve">, </w:t>
      </w:r>
      <w:r>
        <w:rPr>
          <w:rFonts w:ascii="Tahoma" w:hAnsi="Tahoma" w:cs="Tahoma"/>
          <w:b/>
          <w:sz w:val="22"/>
          <w:szCs w:val="22"/>
        </w:rPr>
        <w:br/>
      </w:r>
      <w:r w:rsidRPr="00F775C7">
        <w:rPr>
          <w:rFonts w:ascii="Tahoma" w:hAnsi="Tahoma" w:cs="Tahoma"/>
          <w:b/>
          <w:sz w:val="22"/>
          <w:szCs w:val="22"/>
        </w:rPr>
        <w:t xml:space="preserve">применяемых для целей включения и поддержания </w:t>
      </w:r>
      <w:r>
        <w:rPr>
          <w:rFonts w:ascii="Tahoma" w:hAnsi="Tahoma" w:cs="Tahoma"/>
          <w:b/>
          <w:sz w:val="22"/>
          <w:szCs w:val="22"/>
        </w:rPr>
        <w:t xml:space="preserve">облигаций </w:t>
      </w:r>
      <w:r>
        <w:rPr>
          <w:rFonts w:ascii="Tahoma" w:hAnsi="Tahoma" w:cs="Tahoma"/>
          <w:b/>
          <w:sz w:val="22"/>
          <w:szCs w:val="22"/>
        </w:rPr>
        <w:br/>
      </w:r>
      <w:r w:rsidRPr="00F775C7">
        <w:rPr>
          <w:rFonts w:ascii="Tahoma" w:hAnsi="Tahoma" w:cs="Tahoma"/>
          <w:b/>
          <w:sz w:val="22"/>
          <w:szCs w:val="22"/>
        </w:rPr>
        <w:t xml:space="preserve">в </w:t>
      </w:r>
      <w:r w:rsidRPr="0058255D">
        <w:rPr>
          <w:rFonts w:ascii="Tahoma" w:hAnsi="Tahoma" w:cs="Tahoma"/>
          <w:b/>
          <w:sz w:val="22"/>
          <w:szCs w:val="22"/>
        </w:rPr>
        <w:t>Котировальных списках Первого и Второго уровня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br/>
        <w:t>Списка ценных бумаг</w:t>
      </w:r>
      <w:r w:rsidR="00364109">
        <w:rPr>
          <w:rFonts w:ascii="Tahoma" w:hAnsi="Tahoma" w:cs="Tahoma"/>
          <w:b/>
          <w:sz w:val="22"/>
          <w:szCs w:val="22"/>
        </w:rPr>
        <w:t>,</w:t>
      </w:r>
      <w:r>
        <w:rPr>
          <w:rFonts w:ascii="Tahoma" w:hAnsi="Tahoma" w:cs="Tahoma"/>
          <w:b/>
          <w:sz w:val="22"/>
          <w:szCs w:val="22"/>
        </w:rPr>
        <w:t xml:space="preserve"> допущенных к торгам</w:t>
      </w:r>
    </w:p>
    <w:p w14:paraId="19E7FF35" w14:textId="77777777"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4365B35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645600FB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5270796B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FEEEEB7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C48AB16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1AD84535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5E3D067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FBEEA91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1A398CED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2CE0282E" w14:textId="77777777" w:rsidR="00851C82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2E723C83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6F883239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56FB9D3B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0DCBC943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5DF4C73C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128C35F8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27FF3786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0501CDA6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313B1519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42A537F9" w14:textId="551F33B4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290F555C" w14:textId="77777777" w:rsidR="00604AEE" w:rsidRDefault="00604AEE" w:rsidP="005B32D8">
      <w:pPr>
        <w:jc w:val="center"/>
        <w:rPr>
          <w:rFonts w:ascii="Tahoma" w:hAnsi="Tahoma" w:cs="Tahoma"/>
          <w:sz w:val="22"/>
          <w:szCs w:val="22"/>
        </w:rPr>
      </w:pPr>
    </w:p>
    <w:p w14:paraId="576127C5" w14:textId="77777777" w:rsidR="00DE229E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453F8203" w14:textId="77777777" w:rsidR="00DE229E" w:rsidRPr="00F775C7" w:rsidRDefault="00DE229E" w:rsidP="005B32D8">
      <w:pPr>
        <w:jc w:val="center"/>
        <w:rPr>
          <w:rFonts w:ascii="Tahoma" w:hAnsi="Tahoma" w:cs="Tahoma"/>
          <w:sz w:val="22"/>
          <w:szCs w:val="22"/>
        </w:rPr>
      </w:pPr>
    </w:p>
    <w:p w14:paraId="306B97F0" w14:textId="3BC24858" w:rsidR="00851C82" w:rsidRPr="001C0679" w:rsidRDefault="00382438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F775C7">
        <w:rPr>
          <w:rFonts w:ascii="Tahoma" w:hAnsi="Tahoma" w:cs="Tahoma"/>
          <w:b/>
          <w:sz w:val="22"/>
          <w:szCs w:val="22"/>
        </w:rPr>
        <w:t>20</w:t>
      </w:r>
      <w:r>
        <w:rPr>
          <w:rFonts w:ascii="Tahoma" w:hAnsi="Tahoma" w:cs="Tahoma"/>
          <w:b/>
          <w:sz w:val="22"/>
          <w:szCs w:val="22"/>
        </w:rPr>
        <w:t>2</w:t>
      </w:r>
      <w:r w:rsidR="00E04765">
        <w:rPr>
          <w:rFonts w:ascii="Tahoma" w:hAnsi="Tahoma" w:cs="Tahoma"/>
          <w:b/>
          <w:sz w:val="22"/>
          <w:szCs w:val="22"/>
        </w:rPr>
        <w:t>3</w:t>
      </w:r>
    </w:p>
    <w:p w14:paraId="56E118EC" w14:textId="77777777" w:rsidR="00B9016D" w:rsidRDefault="00382438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0C631C3" w14:textId="3A69A7B8" w:rsidR="00851C82" w:rsidRPr="00A8650A" w:rsidRDefault="00382438" w:rsidP="0097476A">
      <w:pPr>
        <w:pStyle w:val="a7"/>
        <w:numPr>
          <w:ilvl w:val="0"/>
          <w:numId w:val="1"/>
        </w:numPr>
        <w:shd w:val="clear" w:color="auto" w:fill="FFFFFF"/>
        <w:spacing w:before="120" w:line="276" w:lineRule="auto"/>
        <w:ind w:left="357" w:right="284" w:hanging="357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lastRenderedPageBreak/>
        <w:t xml:space="preserve">Перечень рейтинговых агентств и уровни кредитных рейтингов, применяемых для целей включения и поддержания </w:t>
      </w:r>
      <w:r>
        <w:rPr>
          <w:rFonts w:ascii="Tahoma" w:hAnsi="Tahoma" w:cs="Tahoma"/>
        </w:rPr>
        <w:t>облигаций</w:t>
      </w:r>
      <w:r w:rsidRPr="00A8650A">
        <w:rPr>
          <w:rFonts w:ascii="Tahoma" w:hAnsi="Tahoma" w:cs="Tahoma"/>
        </w:rPr>
        <w:t xml:space="preserve"> </w:t>
      </w:r>
      <w:r w:rsidRPr="00E7792D">
        <w:rPr>
          <w:rFonts w:ascii="Tahoma" w:hAnsi="Tahoma" w:cs="Tahoma"/>
        </w:rPr>
        <w:t>в Котировальных списках Первого и Второго уровня</w:t>
      </w:r>
      <w:r w:rsidRPr="00FD2855">
        <w:rPr>
          <w:rFonts w:ascii="Tahoma" w:hAnsi="Tahoma" w:cs="Tahoma"/>
        </w:rPr>
        <w:t xml:space="preserve"> </w:t>
      </w:r>
      <w:r w:rsidR="00364109">
        <w:rPr>
          <w:rFonts w:ascii="Tahoma" w:hAnsi="Tahoma" w:cs="Tahoma"/>
        </w:rPr>
        <w:t xml:space="preserve">Списка ценных бумаг, допущенных к торгам </w:t>
      </w:r>
      <w:r w:rsidRPr="00FD2855">
        <w:rPr>
          <w:rFonts w:ascii="Tahoma" w:hAnsi="Tahoma" w:cs="Tahoma"/>
        </w:rPr>
        <w:t>(далее – Перечень рейтингов), разработан в соответствии с Правилами листинга ПАО</w:t>
      </w:r>
      <w:r>
        <w:rPr>
          <w:rFonts w:ascii="Tahoma" w:hAnsi="Tahoma" w:cs="Tahoma"/>
        </w:rPr>
        <w:t> </w:t>
      </w:r>
      <w:r w:rsidRPr="00F775C7">
        <w:rPr>
          <w:rFonts w:ascii="Tahoma" w:hAnsi="Tahoma" w:cs="Tahoma"/>
        </w:rPr>
        <w:t xml:space="preserve">Московская Биржа (далее – Правила листинга),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14:paraId="7E6FFB19" w14:textId="77777777" w:rsidR="00851C82" w:rsidRPr="00A8650A" w:rsidRDefault="00382438" w:rsidP="0097476A">
      <w:pPr>
        <w:pStyle w:val="a7"/>
        <w:numPr>
          <w:ilvl w:val="0"/>
          <w:numId w:val="1"/>
        </w:numPr>
        <w:shd w:val="clear" w:color="auto" w:fill="FFFFFF"/>
        <w:spacing w:before="120" w:line="276" w:lineRule="auto"/>
        <w:ind w:left="357" w:right="284" w:hanging="357"/>
        <w:jc w:val="both"/>
        <w:rPr>
          <w:rFonts w:ascii="Tahoma" w:hAnsi="Tahoma" w:cs="Tahoma"/>
          <w:iCs/>
          <w:snapToGrid w:val="0"/>
        </w:rPr>
      </w:pPr>
      <w:r w:rsidRPr="00A8650A">
        <w:rPr>
          <w:rFonts w:ascii="Tahoma" w:hAnsi="Tahoma" w:cs="Tahoma"/>
        </w:rPr>
        <w:t>Все термины и понятия, используемые в настоящем Перечне рейтингов,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14:paraId="2900F8A0" w14:textId="77777777" w:rsidR="00851C82" w:rsidRDefault="00382438" w:rsidP="0097476A">
      <w:pPr>
        <w:pStyle w:val="a7"/>
        <w:numPr>
          <w:ilvl w:val="0"/>
          <w:numId w:val="1"/>
        </w:numPr>
        <w:shd w:val="clear" w:color="auto" w:fill="FFFFFF"/>
        <w:spacing w:before="120" w:line="276" w:lineRule="auto"/>
        <w:ind w:left="357" w:right="284" w:hanging="357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 xml:space="preserve">Перечень рейтинговых агентств и уровни кредитных рейтингов, применяемых для целей включения и поддержания соответствующих </w:t>
      </w:r>
      <w:r>
        <w:rPr>
          <w:rFonts w:ascii="Tahoma" w:hAnsi="Tahoma" w:cs="Tahoma"/>
        </w:rPr>
        <w:t>облигаций российских</w:t>
      </w:r>
      <w:r w:rsidRPr="00A8650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эмитентов </w:t>
      </w:r>
      <w:r w:rsidRPr="00A8650A">
        <w:rPr>
          <w:rFonts w:ascii="Tahoma" w:hAnsi="Tahoma" w:cs="Tahoma"/>
        </w:rPr>
        <w:t xml:space="preserve">в </w:t>
      </w:r>
      <w:r w:rsidRPr="00E7792D">
        <w:rPr>
          <w:rFonts w:ascii="Tahoma" w:hAnsi="Tahoma" w:cs="Tahoma"/>
        </w:rPr>
        <w:t>Котировальных списках Первого и Второго уровня</w:t>
      </w:r>
      <w:r>
        <w:rPr>
          <w:rFonts w:ascii="Tahoma" w:hAnsi="Tahoma" w:cs="Tahoma"/>
        </w:rPr>
        <w:t xml:space="preserve">, </w:t>
      </w:r>
      <w:r w:rsidRPr="00FD2855">
        <w:rPr>
          <w:rFonts w:ascii="Tahoma" w:hAnsi="Tahoma" w:cs="Tahoma"/>
        </w:rPr>
        <w:t>в соответствии с требованиями Правил листинга, установлены в Приложении 1 к Перечню рейтингов.</w:t>
      </w:r>
    </w:p>
    <w:p w14:paraId="254EE66C" w14:textId="77777777" w:rsidR="00F7534A" w:rsidRDefault="00382438" w:rsidP="0097476A">
      <w:pPr>
        <w:pStyle w:val="a7"/>
        <w:numPr>
          <w:ilvl w:val="0"/>
          <w:numId w:val="1"/>
        </w:numPr>
        <w:shd w:val="clear" w:color="auto" w:fill="FFFFFF"/>
        <w:spacing w:before="120" w:line="276" w:lineRule="auto"/>
        <w:ind w:left="357" w:right="284" w:hanging="357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 xml:space="preserve">Перечень рейтинговых агентств и уровни кредитных рейтингов, применяемых для целей включения и поддержания соответствующих </w:t>
      </w:r>
      <w:r>
        <w:rPr>
          <w:rFonts w:ascii="Tahoma" w:hAnsi="Tahoma" w:cs="Tahoma"/>
        </w:rPr>
        <w:t>облигаций иностранных</w:t>
      </w:r>
      <w:r w:rsidRPr="00A8650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эмитентов, в том числе международных финансовых организаций, а также в отношении рейтингов иностранных поручителей (гарантов) по выпускам облигаций российских и иностранных эмитентов, в </w:t>
      </w:r>
      <w:r w:rsidRPr="00E7792D">
        <w:rPr>
          <w:rFonts w:ascii="Tahoma" w:hAnsi="Tahoma" w:cs="Tahoma"/>
        </w:rPr>
        <w:t>Котировальных списках Первого и Второго уровня</w:t>
      </w:r>
      <w:r>
        <w:rPr>
          <w:rFonts w:ascii="Tahoma" w:hAnsi="Tahoma" w:cs="Tahoma"/>
        </w:rPr>
        <w:t xml:space="preserve"> </w:t>
      </w:r>
      <w:r w:rsidRPr="00FD2855">
        <w:rPr>
          <w:rFonts w:ascii="Tahoma" w:hAnsi="Tahoma" w:cs="Tahoma"/>
        </w:rPr>
        <w:t xml:space="preserve">в соответствии с требованиями Правил листинга, установлены в Приложении </w:t>
      </w:r>
      <w:r>
        <w:rPr>
          <w:rFonts w:ascii="Tahoma" w:hAnsi="Tahoma" w:cs="Tahoma"/>
        </w:rPr>
        <w:t>2</w:t>
      </w:r>
      <w:r w:rsidRPr="00FD2855">
        <w:rPr>
          <w:rFonts w:ascii="Tahoma" w:hAnsi="Tahoma" w:cs="Tahoma"/>
        </w:rPr>
        <w:t xml:space="preserve"> к Перечню рейтингов.</w:t>
      </w:r>
    </w:p>
    <w:p w14:paraId="5EEA7DF9" w14:textId="77777777" w:rsidR="00B9016D" w:rsidRDefault="00382438">
      <w:pPr>
        <w:widowControl/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4EF90E5" w14:textId="77777777" w:rsidR="00437CAF" w:rsidRPr="00B9016D" w:rsidRDefault="00382438" w:rsidP="00B9016D">
      <w:pPr>
        <w:tabs>
          <w:tab w:val="left" w:pos="0"/>
        </w:tabs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lastRenderedPageBreak/>
        <w:t>Приложение 1</w:t>
      </w:r>
    </w:p>
    <w:p w14:paraId="5596A06B" w14:textId="493F1937" w:rsidR="00CA7FF3" w:rsidRPr="00B9016D" w:rsidRDefault="00382438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t>к Перечню рейтингов, утвержденному приказом ПАО</w:t>
      </w:r>
      <w:r w:rsidR="00604AEE">
        <w:rPr>
          <w:rFonts w:ascii="Tahoma" w:hAnsi="Tahoma" w:cs="Tahoma"/>
          <w:sz w:val="20"/>
          <w:szCs w:val="22"/>
        </w:rPr>
        <w:t xml:space="preserve"> </w:t>
      </w:r>
      <w:r w:rsidRPr="00B9016D">
        <w:rPr>
          <w:rFonts w:ascii="Tahoma" w:hAnsi="Tahoma" w:cs="Tahoma"/>
          <w:sz w:val="20"/>
          <w:szCs w:val="22"/>
        </w:rPr>
        <w:t xml:space="preserve">Московская Биржа </w:t>
      </w:r>
    </w:p>
    <w:p w14:paraId="0808759A" w14:textId="3C5DED2F" w:rsidR="00B9016D" w:rsidRDefault="00382438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604AEE">
        <w:rPr>
          <w:rFonts w:ascii="Tahoma" w:hAnsi="Tahoma" w:cs="Tahoma"/>
          <w:sz w:val="20"/>
          <w:szCs w:val="22"/>
        </w:rPr>
        <w:t xml:space="preserve">от </w:t>
      </w:r>
      <w:r w:rsidR="0007033E">
        <w:rPr>
          <w:rFonts w:ascii="Tahoma" w:hAnsi="Tahoma" w:cs="Tahoma"/>
          <w:sz w:val="20"/>
          <w:szCs w:val="22"/>
        </w:rPr>
        <w:t>25</w:t>
      </w:r>
      <w:r w:rsidR="0007033E" w:rsidRPr="00604AEE">
        <w:rPr>
          <w:rFonts w:ascii="Tahoma" w:hAnsi="Tahoma" w:cs="Tahoma"/>
          <w:sz w:val="20"/>
          <w:szCs w:val="22"/>
        </w:rPr>
        <w:t>.</w:t>
      </w:r>
      <w:r w:rsidR="0007033E">
        <w:rPr>
          <w:rFonts w:ascii="Tahoma" w:hAnsi="Tahoma" w:cs="Tahoma"/>
          <w:sz w:val="20"/>
          <w:szCs w:val="22"/>
        </w:rPr>
        <w:t>07</w:t>
      </w:r>
      <w:r w:rsidR="0007033E" w:rsidRPr="00604AEE">
        <w:rPr>
          <w:rFonts w:ascii="Tahoma" w:hAnsi="Tahoma" w:cs="Tahoma"/>
          <w:sz w:val="20"/>
          <w:szCs w:val="22"/>
        </w:rPr>
        <w:t>.</w:t>
      </w:r>
      <w:r w:rsidRPr="00604AEE">
        <w:rPr>
          <w:rFonts w:ascii="Tahoma" w:hAnsi="Tahoma" w:cs="Tahoma"/>
          <w:sz w:val="20"/>
          <w:szCs w:val="22"/>
        </w:rPr>
        <w:t>2023 № МБ-П-2023</w:t>
      </w:r>
      <w:r w:rsidR="0007033E" w:rsidRPr="00604AEE">
        <w:rPr>
          <w:rFonts w:ascii="Tahoma" w:hAnsi="Tahoma" w:cs="Tahoma"/>
          <w:sz w:val="20"/>
          <w:szCs w:val="22"/>
        </w:rPr>
        <w:t>-</w:t>
      </w:r>
      <w:r w:rsidR="0007033E">
        <w:rPr>
          <w:rFonts w:ascii="Tahoma" w:hAnsi="Tahoma" w:cs="Tahoma"/>
          <w:sz w:val="20"/>
          <w:szCs w:val="22"/>
        </w:rPr>
        <w:t>1973</w:t>
      </w:r>
    </w:p>
    <w:p w14:paraId="479437F0" w14:textId="77777777" w:rsidR="005B5030" w:rsidRDefault="005B5030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1C32C55C" w14:textId="77777777" w:rsidR="005B5030" w:rsidRPr="00B9016D" w:rsidRDefault="005B5030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62CA25B9" w14:textId="77777777" w:rsidR="00724A0E" w:rsidRPr="00775857" w:rsidRDefault="00382438" w:rsidP="00BE3262">
      <w:pPr>
        <w:pStyle w:val="2"/>
        <w:tabs>
          <w:tab w:val="left" w:pos="0"/>
        </w:tabs>
        <w:spacing w:after="240"/>
        <w:ind w:firstLine="0"/>
        <w:jc w:val="center"/>
        <w:rPr>
          <w:rFonts w:ascii="Tahoma" w:hAnsi="Tahoma" w:cs="Tahoma"/>
          <w:sz w:val="20"/>
          <w:szCs w:val="22"/>
          <w:u w:val="none"/>
        </w:rPr>
      </w:pPr>
      <w:r w:rsidRPr="00B9016D">
        <w:rPr>
          <w:rFonts w:ascii="Tahoma" w:hAnsi="Tahoma" w:cs="Tahoma"/>
          <w:sz w:val="20"/>
          <w:szCs w:val="22"/>
          <w:u w:val="none"/>
        </w:rPr>
        <w:t xml:space="preserve">Перечень рейтинговых агентств и уровни кредитных рейтингов, </w:t>
      </w:r>
      <w:r>
        <w:rPr>
          <w:rFonts w:ascii="Tahoma" w:hAnsi="Tahoma" w:cs="Tahoma"/>
          <w:sz w:val="20"/>
          <w:szCs w:val="22"/>
          <w:u w:val="none"/>
        </w:rPr>
        <w:br/>
      </w:r>
      <w:r w:rsidRPr="00B9016D">
        <w:rPr>
          <w:rFonts w:ascii="Tahoma" w:hAnsi="Tahoma" w:cs="Tahoma"/>
          <w:sz w:val="20"/>
          <w:szCs w:val="22"/>
          <w:u w:val="none"/>
        </w:rPr>
        <w:t xml:space="preserve">применяемых для целей включения и поддержания облигаций </w:t>
      </w:r>
      <w:r>
        <w:rPr>
          <w:rFonts w:ascii="Tahoma" w:hAnsi="Tahoma" w:cs="Tahoma"/>
          <w:sz w:val="20"/>
          <w:szCs w:val="22"/>
          <w:u w:val="none"/>
        </w:rPr>
        <w:t xml:space="preserve">российских эмитентов </w:t>
      </w:r>
      <w:r>
        <w:rPr>
          <w:rFonts w:ascii="Tahoma" w:hAnsi="Tahoma" w:cs="Tahoma"/>
          <w:sz w:val="20"/>
          <w:szCs w:val="22"/>
          <w:u w:val="none"/>
        </w:rPr>
        <w:br/>
        <w:t xml:space="preserve">в </w:t>
      </w:r>
      <w:r w:rsidRPr="00775857">
        <w:rPr>
          <w:rFonts w:ascii="Tahoma" w:hAnsi="Tahoma" w:cs="Tahoma"/>
          <w:sz w:val="20"/>
          <w:szCs w:val="22"/>
          <w:u w:val="none"/>
        </w:rPr>
        <w:t>Котировальных списках Первого и Второго уровня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2551"/>
        <w:gridCol w:w="1701"/>
        <w:gridCol w:w="2127"/>
      </w:tblGrid>
      <w:tr w:rsidR="004F5D62" w14:paraId="0E6CC69A" w14:textId="77777777" w:rsidTr="00754C2C">
        <w:trPr>
          <w:trHeight w:val="339"/>
        </w:trPr>
        <w:tc>
          <w:tcPr>
            <w:tcW w:w="562" w:type="dxa"/>
            <w:vMerge w:val="restart"/>
          </w:tcPr>
          <w:p w14:paraId="0016191B" w14:textId="77777777" w:rsidR="00D702FB" w:rsidRPr="00754B90" w:rsidRDefault="00382438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№</w:t>
            </w:r>
          </w:p>
        </w:tc>
        <w:tc>
          <w:tcPr>
            <w:tcW w:w="3266" w:type="dxa"/>
            <w:vMerge w:val="restart"/>
          </w:tcPr>
          <w:p w14:paraId="6ACDCDB0" w14:textId="77777777" w:rsidR="00D702FB" w:rsidRPr="00754B90" w:rsidRDefault="00382438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Наименование рейтингового агентства</w:t>
            </w:r>
          </w:p>
        </w:tc>
        <w:tc>
          <w:tcPr>
            <w:tcW w:w="6379" w:type="dxa"/>
            <w:gridSpan w:val="3"/>
          </w:tcPr>
          <w:p w14:paraId="7458D192" w14:textId="77777777" w:rsidR="00D702FB" w:rsidRPr="00754B90" w:rsidRDefault="00382438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Уровень кредитного рейтинга</w:t>
            </w:r>
          </w:p>
        </w:tc>
      </w:tr>
      <w:tr w:rsidR="004F5D62" w14:paraId="485D3F74" w14:textId="77777777" w:rsidTr="00754C2C">
        <w:trPr>
          <w:trHeight w:val="705"/>
        </w:trPr>
        <w:tc>
          <w:tcPr>
            <w:tcW w:w="562" w:type="dxa"/>
            <w:vMerge/>
          </w:tcPr>
          <w:p w14:paraId="7E0BBF75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23BCF094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551" w:type="dxa"/>
          </w:tcPr>
          <w:p w14:paraId="22662806" w14:textId="77777777" w:rsidR="00D702FB" w:rsidRPr="00E85C55" w:rsidRDefault="00382438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применяемый уровень кредитного рейтинга за исключением (2), (3)</w:t>
            </w:r>
          </w:p>
        </w:tc>
        <w:tc>
          <w:tcPr>
            <w:tcW w:w="1701" w:type="dxa"/>
          </w:tcPr>
          <w:p w14:paraId="441A21E1" w14:textId="77777777" w:rsidR="00D702FB" w:rsidRPr="00754B90" w:rsidRDefault="00382438" w:rsidP="005441F7">
            <w:pPr>
              <w:tabs>
                <w:tab w:val="left" w:pos="0"/>
              </w:tabs>
              <w:ind w:right="142"/>
              <w:jc w:val="center"/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 эмитента-концессионера</w:t>
            </w:r>
          </w:p>
        </w:tc>
        <w:tc>
          <w:tcPr>
            <w:tcW w:w="2127" w:type="dxa"/>
          </w:tcPr>
          <w:p w14:paraId="39929B51" w14:textId="77777777" w:rsidR="00D702FB" w:rsidRPr="00754B90" w:rsidRDefault="00382438" w:rsidP="00D702F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облигации, условия эмиссии которых содержат дополнительные положения</w:t>
            </w:r>
            <w:r>
              <w:rPr>
                <w:rStyle w:val="ac"/>
                <w:rFonts w:ascii="Tahoma" w:eastAsia="Arial Unicode MS" w:hAnsi="Tahoma" w:cs="Tahoma"/>
                <w:b/>
                <w:bCs/>
                <w:color w:val="000000"/>
                <w:szCs w:val="24"/>
                <w:u w:color="000000"/>
                <w:bdr w:val="nil"/>
              </w:rPr>
              <w:footnoteReference w:id="1"/>
            </w:r>
            <w:r w:rsidRPr="00E63B9E">
              <w:rPr>
                <w:rFonts w:ascii="Tahoma" w:eastAsia="Arial Unicode MS" w:hAnsi="Tahoma" w:cs="Tahoma"/>
                <w:b/>
                <w:bCs/>
                <w:color w:val="000000"/>
                <w:sz w:val="16"/>
                <w:u w:color="000000"/>
                <w:bdr w:val="nil"/>
              </w:rPr>
              <w:t xml:space="preserve"> </w:t>
            </w:r>
          </w:p>
        </w:tc>
      </w:tr>
      <w:tr w:rsidR="004F5D62" w14:paraId="235E607A" w14:textId="77777777" w:rsidTr="00754C2C">
        <w:trPr>
          <w:trHeight w:val="146"/>
        </w:trPr>
        <w:tc>
          <w:tcPr>
            <w:tcW w:w="562" w:type="dxa"/>
            <w:vMerge/>
          </w:tcPr>
          <w:p w14:paraId="3C58147E" w14:textId="77777777" w:rsidR="00D702FB" w:rsidRPr="004D4E95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1A16E6F7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BA74640" w14:textId="77777777" w:rsidR="00D702FB" w:rsidRPr="00E85C55" w:rsidRDefault="00382438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(1)</w:t>
            </w:r>
          </w:p>
        </w:tc>
        <w:tc>
          <w:tcPr>
            <w:tcW w:w="1701" w:type="dxa"/>
            <w:vAlign w:val="center"/>
          </w:tcPr>
          <w:p w14:paraId="5B3F121D" w14:textId="77777777" w:rsidR="00D702FB" w:rsidRPr="00E85C55" w:rsidRDefault="00382438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(2)</w:t>
            </w:r>
          </w:p>
        </w:tc>
        <w:tc>
          <w:tcPr>
            <w:tcW w:w="2127" w:type="dxa"/>
            <w:vAlign w:val="center"/>
          </w:tcPr>
          <w:p w14:paraId="1DA6CEF5" w14:textId="77777777" w:rsidR="00D702FB" w:rsidRPr="00E85C55" w:rsidRDefault="00382438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(3)</w:t>
            </w:r>
          </w:p>
        </w:tc>
      </w:tr>
      <w:tr w:rsidR="004F5D62" w14:paraId="03EEC637" w14:textId="77777777" w:rsidTr="00754C2C">
        <w:trPr>
          <w:trHeight w:val="690"/>
        </w:trPr>
        <w:tc>
          <w:tcPr>
            <w:tcW w:w="562" w:type="dxa"/>
          </w:tcPr>
          <w:p w14:paraId="76A7E921" w14:textId="77777777" w:rsidR="00D702FB" w:rsidRPr="00754B90" w:rsidRDefault="00382438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1</w:t>
            </w:r>
            <w:r w:rsidRPr="00754B90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22A79BC3" w14:textId="77777777" w:rsidR="00D702FB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 xml:space="preserve">Аналитическое Кредитное Рейтинговое Агентство (Акционерное общество) </w:t>
            </w:r>
            <w:r>
              <w:rPr>
                <w:rFonts w:ascii="Tahoma" w:hAnsi="Tahoma" w:cs="Tahoma"/>
                <w:sz w:val="20"/>
              </w:rPr>
              <w:br/>
            </w:r>
            <w:r w:rsidRPr="00754B90">
              <w:rPr>
                <w:rFonts w:ascii="Tahoma" w:hAnsi="Tahoma" w:cs="Tahoma"/>
                <w:sz w:val="20"/>
              </w:rPr>
              <w:t>(АКРА (АО)</w:t>
            </w:r>
          </w:p>
        </w:tc>
        <w:tc>
          <w:tcPr>
            <w:tcW w:w="2551" w:type="dxa"/>
            <w:vAlign w:val="center"/>
          </w:tcPr>
          <w:p w14:paraId="130F5C96" w14:textId="77777777" w:rsidR="00D702FB" w:rsidRPr="00754B90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BBB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+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(RU)</w:t>
            </w:r>
          </w:p>
        </w:tc>
        <w:tc>
          <w:tcPr>
            <w:tcW w:w="1701" w:type="dxa"/>
            <w:vAlign w:val="center"/>
          </w:tcPr>
          <w:p w14:paraId="4F5FAAAD" w14:textId="77777777" w:rsidR="00D702FB" w:rsidRPr="00754B90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BB+(RU)</w:t>
            </w:r>
          </w:p>
        </w:tc>
        <w:tc>
          <w:tcPr>
            <w:tcW w:w="2127" w:type="dxa"/>
            <w:vAlign w:val="center"/>
          </w:tcPr>
          <w:p w14:paraId="242393EE" w14:textId="77777777" w:rsidR="00D702FB" w:rsidRPr="00754B90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A-(RU)</w:t>
            </w:r>
          </w:p>
        </w:tc>
      </w:tr>
      <w:tr w:rsidR="004F5D62" w14:paraId="51D0A6CA" w14:textId="77777777" w:rsidTr="00754C2C">
        <w:trPr>
          <w:trHeight w:val="744"/>
        </w:trPr>
        <w:tc>
          <w:tcPr>
            <w:tcW w:w="562" w:type="dxa"/>
          </w:tcPr>
          <w:p w14:paraId="7A36DAA8" w14:textId="77777777" w:rsidR="00D702FB" w:rsidRPr="00236447" w:rsidRDefault="00382438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3266" w:type="dxa"/>
          </w:tcPr>
          <w:p w14:paraId="256F6574" w14:textId="77777777" w:rsidR="00D702FB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Акционерное общество «Рейтинговое Агентство «Эксперт РА»</w:t>
            </w:r>
            <w:r w:rsidRPr="00754B90">
              <w:rPr>
                <w:rFonts w:ascii="Tahoma" w:eastAsiaTheme="minorHAnsi" w:hAnsi="Tahoma" w:cs="Tahoma"/>
                <w:sz w:val="20"/>
                <w:lang w:eastAsia="en-US"/>
              </w:rPr>
              <w:t xml:space="preserve"> (АО «Эксперт РА»)</w:t>
            </w:r>
          </w:p>
        </w:tc>
        <w:tc>
          <w:tcPr>
            <w:tcW w:w="2551" w:type="dxa"/>
            <w:vAlign w:val="center"/>
          </w:tcPr>
          <w:p w14:paraId="3D93E7E3" w14:textId="77777777" w:rsidR="00D702FB" w:rsidRPr="00754B90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ruBBB</w:t>
            </w:r>
            <w:r w:rsidRPr="003D7D9D">
              <w:rPr>
                <w:rFonts w:ascii="Tahoma" w:hAnsi="Tahoma" w:cs="Tahoma"/>
                <w:bCs/>
                <w:sz w:val="20"/>
              </w:rPr>
              <w:t>+</w:t>
            </w:r>
          </w:p>
        </w:tc>
        <w:tc>
          <w:tcPr>
            <w:tcW w:w="1701" w:type="dxa"/>
            <w:vAlign w:val="center"/>
          </w:tcPr>
          <w:p w14:paraId="6E33B3A6" w14:textId="77777777" w:rsidR="00D702FB" w:rsidRPr="00754B90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ruBB+</w:t>
            </w:r>
          </w:p>
        </w:tc>
        <w:tc>
          <w:tcPr>
            <w:tcW w:w="2127" w:type="dxa"/>
            <w:vAlign w:val="center"/>
          </w:tcPr>
          <w:p w14:paraId="507FCC62" w14:textId="77777777" w:rsidR="00D702FB" w:rsidRPr="00754B90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ruA-</w:t>
            </w:r>
          </w:p>
        </w:tc>
      </w:tr>
      <w:tr w:rsidR="004F5D62" w14:paraId="5A3BFB5B" w14:textId="77777777" w:rsidTr="00754C2C">
        <w:trPr>
          <w:trHeight w:val="744"/>
        </w:trPr>
        <w:tc>
          <w:tcPr>
            <w:tcW w:w="562" w:type="dxa"/>
          </w:tcPr>
          <w:p w14:paraId="4C9B6F65" w14:textId="77777777" w:rsidR="0035213A" w:rsidRDefault="00382438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3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020D51A2" w14:textId="77777777" w:rsidR="0035213A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A2437E">
              <w:rPr>
                <w:rFonts w:ascii="Tahoma" w:hAnsi="Tahoma" w:cs="Tahoma"/>
                <w:sz w:val="20"/>
              </w:rPr>
              <w:t>Общество с ограниченной ответственностью «Национальные Кредитные Рейтинги»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 w:rsidRPr="00A2437E">
              <w:rPr>
                <w:rFonts w:ascii="Tahoma" w:hAnsi="Tahoma" w:cs="Tahoma"/>
                <w:sz w:val="20"/>
              </w:rPr>
              <w:t>ООО «НКР»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Style w:val="ac"/>
                <w:rFonts w:ascii="Tahoma" w:hAnsi="Tahoma" w:cs="Tahoma"/>
                <w:sz w:val="20"/>
              </w:rPr>
              <w:footnoteReference w:id="2"/>
            </w:r>
          </w:p>
        </w:tc>
        <w:tc>
          <w:tcPr>
            <w:tcW w:w="2551" w:type="dxa"/>
            <w:vAlign w:val="center"/>
          </w:tcPr>
          <w:p w14:paraId="54016275" w14:textId="77777777" w:rsidR="0035213A" w:rsidRPr="00F417DA" w:rsidRDefault="00382438" w:rsidP="005B5030">
            <w:pPr>
              <w:widowControl/>
              <w:tabs>
                <w:tab w:val="left" w:pos="0"/>
              </w:tabs>
              <w:spacing w:line="276" w:lineRule="auto"/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BBB+.ru</w:t>
            </w:r>
          </w:p>
        </w:tc>
        <w:tc>
          <w:tcPr>
            <w:tcW w:w="1701" w:type="dxa"/>
            <w:vAlign w:val="center"/>
          </w:tcPr>
          <w:p w14:paraId="542AFB98" w14:textId="77777777" w:rsidR="0035213A" w:rsidRPr="006B7ECD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BB+.ru</w:t>
            </w:r>
          </w:p>
        </w:tc>
        <w:tc>
          <w:tcPr>
            <w:tcW w:w="2127" w:type="dxa"/>
            <w:vAlign w:val="center"/>
          </w:tcPr>
          <w:p w14:paraId="1002E5F1" w14:textId="77777777" w:rsidR="0035213A" w:rsidRPr="00F417DA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A-.ru</w:t>
            </w:r>
          </w:p>
        </w:tc>
      </w:tr>
      <w:tr w:rsidR="004F5D62" w14:paraId="14C11D2F" w14:textId="77777777" w:rsidTr="00754C2C">
        <w:trPr>
          <w:trHeight w:val="744"/>
        </w:trPr>
        <w:tc>
          <w:tcPr>
            <w:tcW w:w="562" w:type="dxa"/>
          </w:tcPr>
          <w:p w14:paraId="4A26C3B9" w14:textId="77777777" w:rsidR="008128BC" w:rsidRPr="008128BC" w:rsidRDefault="00382438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4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4C2F7F1A" w14:textId="77777777" w:rsidR="008128BC" w:rsidRPr="00A2437E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Общество с ограниченной ответственностью «Национальное Рейтинговое Агентство» (ООО «НРА»)</w:t>
            </w:r>
            <w:r>
              <w:rPr>
                <w:rStyle w:val="ac"/>
                <w:rFonts w:ascii="Tahoma" w:hAnsi="Tahoma" w:cs="Tahoma"/>
                <w:sz w:val="20"/>
              </w:rPr>
              <w:footnoteReference w:id="3"/>
            </w:r>
          </w:p>
        </w:tc>
        <w:tc>
          <w:tcPr>
            <w:tcW w:w="2551" w:type="dxa"/>
            <w:vAlign w:val="center"/>
          </w:tcPr>
          <w:p w14:paraId="552BDBB1" w14:textId="77777777" w:rsidR="008128BC" w:rsidRPr="006B7ECD" w:rsidRDefault="00382438" w:rsidP="005B5030">
            <w:pPr>
              <w:widowControl/>
              <w:tabs>
                <w:tab w:val="left" w:pos="0"/>
              </w:tabs>
              <w:spacing w:line="276" w:lineRule="auto"/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BBB+|ru|</w:t>
            </w:r>
          </w:p>
        </w:tc>
        <w:tc>
          <w:tcPr>
            <w:tcW w:w="1701" w:type="dxa"/>
            <w:vAlign w:val="center"/>
          </w:tcPr>
          <w:p w14:paraId="0E97E793" w14:textId="77777777" w:rsidR="008128BC" w:rsidRPr="008128BC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BB+|ru|</w:t>
            </w:r>
          </w:p>
        </w:tc>
        <w:tc>
          <w:tcPr>
            <w:tcW w:w="2127" w:type="dxa"/>
            <w:vAlign w:val="center"/>
          </w:tcPr>
          <w:p w14:paraId="749BB6CF" w14:textId="77777777" w:rsidR="008128BC" w:rsidRPr="006B7ECD" w:rsidRDefault="00382438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A-|ru|</w:t>
            </w:r>
          </w:p>
        </w:tc>
      </w:tr>
    </w:tbl>
    <w:p w14:paraId="4F8962D3" w14:textId="77777777" w:rsidR="00D702FB" w:rsidRPr="00D702FB" w:rsidRDefault="00D702FB" w:rsidP="000E6936">
      <w:pPr>
        <w:rPr>
          <w:sz w:val="20"/>
          <w:lang w:eastAsia="en-US"/>
        </w:rPr>
      </w:pPr>
    </w:p>
    <w:p w14:paraId="64A10ED1" w14:textId="77777777" w:rsidR="00193E5F" w:rsidRPr="006B7ECD" w:rsidRDefault="00382438" w:rsidP="006B7ECD">
      <w:pPr>
        <w:tabs>
          <w:tab w:val="left" w:pos="0"/>
        </w:tabs>
        <w:spacing w:before="120" w:after="120"/>
        <w:ind w:right="-142"/>
        <w:jc w:val="both"/>
        <w:rPr>
          <w:rFonts w:ascii="Tahoma" w:hAnsi="Tahoma" w:cs="Tahoma"/>
          <w:bCs/>
          <w:sz w:val="20"/>
        </w:rPr>
      </w:pPr>
      <w:r w:rsidRPr="006B7ECD">
        <w:rPr>
          <w:rFonts w:ascii="Tahoma" w:hAnsi="Tahoma" w:cs="Tahoma"/>
          <w:bCs/>
          <w:sz w:val="20"/>
        </w:rPr>
        <w:t>При наличии нескольких кредитных рейтингов, применяемых для целей включения и поддержания облигаций в Первом уровне и Втором уровне, применяется кредитный рейтинг, имеющий наиболее высокий уровень.</w:t>
      </w:r>
    </w:p>
    <w:p w14:paraId="11C263C9" w14:textId="317C1F7A" w:rsidR="004C256B" w:rsidRDefault="00382438" w:rsidP="00754C2C">
      <w:p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eastAsiaTheme="minorHAnsi" w:hAnsi="Tahoma" w:cs="Tahoma"/>
          <w:sz w:val="20"/>
          <w:lang w:eastAsia="en-US"/>
        </w:rPr>
        <w:t>Р</w:t>
      </w:r>
      <w:r w:rsidRPr="00284180">
        <w:rPr>
          <w:rFonts w:ascii="Tahoma" w:eastAsiaTheme="minorHAnsi" w:hAnsi="Tahoma" w:cs="Tahoma"/>
          <w:sz w:val="20"/>
          <w:lang w:eastAsia="en-US"/>
        </w:rPr>
        <w:t>ейтинг</w:t>
      </w:r>
      <w:r>
        <w:rPr>
          <w:rFonts w:ascii="Tahoma" w:eastAsiaTheme="minorHAnsi" w:hAnsi="Tahoma" w:cs="Tahoma"/>
          <w:sz w:val="20"/>
          <w:lang w:eastAsia="en-US"/>
        </w:rPr>
        <w:t>и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по классификаци</w:t>
      </w:r>
      <w:r>
        <w:rPr>
          <w:rFonts w:ascii="Tahoma" w:eastAsiaTheme="minorHAnsi" w:hAnsi="Tahoma" w:cs="Tahoma"/>
          <w:sz w:val="20"/>
          <w:lang w:eastAsia="en-US"/>
        </w:rPr>
        <w:t>ям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кредитн</w:t>
      </w:r>
      <w:r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рейтингов</w:t>
      </w:r>
      <w:r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агентств </w:t>
      </w:r>
      <w:r>
        <w:rPr>
          <w:rFonts w:ascii="Tahoma" w:eastAsiaTheme="minorHAnsi" w:hAnsi="Tahoma" w:cs="Tahoma"/>
          <w:sz w:val="20"/>
          <w:lang w:eastAsia="en-US"/>
        </w:rPr>
        <w:t>могут иметь индексы (индикаторы), указывающие на определенные признаки (особенности)</w:t>
      </w:r>
      <w:r w:rsidR="00604AEE">
        <w:rPr>
          <w:rFonts w:ascii="Tahoma" w:eastAsiaTheme="minorHAnsi" w:hAnsi="Tahoma" w:cs="Tahoma"/>
          <w:sz w:val="20"/>
          <w:lang w:eastAsia="en-US"/>
        </w:rPr>
        <w:t>,</w:t>
      </w:r>
      <w:r>
        <w:rPr>
          <w:rFonts w:ascii="Tahoma" w:eastAsiaTheme="minorHAnsi" w:hAnsi="Tahoma" w:cs="Tahoma"/>
          <w:sz w:val="20"/>
          <w:lang w:eastAsia="en-US"/>
        </w:rPr>
        <w:t xml:space="preserve"> связанные с объектом рейтинга/методологии</w:t>
      </w:r>
      <w:r w:rsidRPr="00284180">
        <w:rPr>
          <w:rFonts w:ascii="Tahoma" w:hAnsi="Tahoma" w:cs="Tahoma"/>
          <w:bCs/>
          <w:sz w:val="20"/>
        </w:rPr>
        <w:t>.</w:t>
      </w:r>
    </w:p>
    <w:p w14:paraId="697AD329" w14:textId="77777777" w:rsidR="004C256B" w:rsidRPr="00B9016D" w:rsidRDefault="00382438" w:rsidP="004C256B">
      <w:pPr>
        <w:tabs>
          <w:tab w:val="left" w:pos="0"/>
        </w:tabs>
        <w:jc w:val="right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Cs/>
          <w:sz w:val="20"/>
        </w:rPr>
        <w:br w:type="column"/>
      </w:r>
      <w:r w:rsidRPr="00B9016D">
        <w:rPr>
          <w:rFonts w:ascii="Tahoma" w:hAnsi="Tahoma" w:cs="Tahoma"/>
          <w:sz w:val="20"/>
          <w:szCs w:val="22"/>
        </w:rPr>
        <w:lastRenderedPageBreak/>
        <w:t xml:space="preserve">Приложение </w:t>
      </w:r>
      <w:r>
        <w:rPr>
          <w:rFonts w:ascii="Tahoma" w:hAnsi="Tahoma" w:cs="Tahoma"/>
          <w:sz w:val="20"/>
          <w:szCs w:val="22"/>
        </w:rPr>
        <w:t>2</w:t>
      </w:r>
    </w:p>
    <w:p w14:paraId="2803AE21" w14:textId="12B5C604" w:rsidR="004C256B" w:rsidRPr="00B9016D" w:rsidRDefault="00382438" w:rsidP="004C256B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t>к Перечню рейтингов, утвержденному приказом ПАО Московская Биржа</w:t>
      </w:r>
    </w:p>
    <w:p w14:paraId="041FCD3E" w14:textId="6A65BE77" w:rsidR="004C256B" w:rsidRDefault="00382438" w:rsidP="004C256B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604AEE">
        <w:rPr>
          <w:rFonts w:ascii="Tahoma" w:hAnsi="Tahoma" w:cs="Tahoma"/>
          <w:sz w:val="20"/>
          <w:szCs w:val="22"/>
        </w:rPr>
        <w:t xml:space="preserve">от </w:t>
      </w:r>
      <w:r w:rsidR="00DA2C0B">
        <w:rPr>
          <w:rFonts w:ascii="Tahoma" w:hAnsi="Tahoma" w:cs="Tahoma"/>
          <w:sz w:val="20"/>
          <w:szCs w:val="22"/>
        </w:rPr>
        <w:t>2</w:t>
      </w:r>
      <w:bookmarkStart w:id="0" w:name="_GoBack"/>
      <w:bookmarkEnd w:id="0"/>
      <w:r w:rsidR="0007033E">
        <w:rPr>
          <w:rFonts w:ascii="Tahoma" w:hAnsi="Tahoma" w:cs="Tahoma"/>
          <w:sz w:val="20"/>
          <w:szCs w:val="22"/>
        </w:rPr>
        <w:t>5</w:t>
      </w:r>
      <w:r w:rsidR="0007033E" w:rsidRPr="00604AEE">
        <w:rPr>
          <w:rFonts w:ascii="Tahoma" w:hAnsi="Tahoma" w:cs="Tahoma"/>
          <w:sz w:val="20"/>
          <w:szCs w:val="22"/>
        </w:rPr>
        <w:t>.</w:t>
      </w:r>
      <w:r w:rsidR="0007033E">
        <w:rPr>
          <w:rFonts w:ascii="Tahoma" w:hAnsi="Tahoma" w:cs="Tahoma"/>
          <w:sz w:val="20"/>
          <w:szCs w:val="22"/>
        </w:rPr>
        <w:t>07</w:t>
      </w:r>
      <w:r w:rsidR="0007033E" w:rsidRPr="00604AEE">
        <w:rPr>
          <w:rFonts w:ascii="Tahoma" w:hAnsi="Tahoma" w:cs="Tahoma"/>
          <w:sz w:val="20"/>
          <w:szCs w:val="22"/>
        </w:rPr>
        <w:t>.</w:t>
      </w:r>
      <w:r w:rsidRPr="00604AEE">
        <w:rPr>
          <w:rFonts w:ascii="Tahoma" w:hAnsi="Tahoma" w:cs="Tahoma"/>
          <w:sz w:val="20"/>
          <w:szCs w:val="22"/>
        </w:rPr>
        <w:t>2023 № МБ-П-2023</w:t>
      </w:r>
      <w:r w:rsidR="0007033E" w:rsidRPr="00604AEE">
        <w:rPr>
          <w:rFonts w:ascii="Tahoma" w:hAnsi="Tahoma" w:cs="Tahoma"/>
          <w:sz w:val="20"/>
          <w:szCs w:val="22"/>
        </w:rPr>
        <w:t>-</w:t>
      </w:r>
      <w:r w:rsidR="0007033E">
        <w:rPr>
          <w:rFonts w:ascii="Tahoma" w:hAnsi="Tahoma" w:cs="Tahoma"/>
          <w:sz w:val="20"/>
          <w:szCs w:val="22"/>
        </w:rPr>
        <w:t>1973</w:t>
      </w:r>
    </w:p>
    <w:p w14:paraId="00C14D0E" w14:textId="77777777" w:rsidR="00604AEE" w:rsidRDefault="00604AEE" w:rsidP="004C256B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53116EFB" w14:textId="77777777" w:rsidR="005B5030" w:rsidRPr="00B9016D" w:rsidRDefault="005B5030" w:rsidP="004C256B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5EDB7A82" w14:textId="77777777" w:rsidR="004C256B" w:rsidRPr="00B9016D" w:rsidRDefault="00382438" w:rsidP="002C69C4">
      <w:pPr>
        <w:pStyle w:val="2"/>
        <w:tabs>
          <w:tab w:val="left" w:pos="0"/>
        </w:tabs>
        <w:spacing w:after="240"/>
        <w:ind w:firstLine="0"/>
        <w:jc w:val="center"/>
        <w:rPr>
          <w:rFonts w:ascii="Tahoma" w:hAnsi="Tahoma" w:cs="Tahoma"/>
          <w:b w:val="0"/>
          <w:sz w:val="20"/>
          <w:szCs w:val="22"/>
          <w:u w:val="none"/>
        </w:rPr>
      </w:pPr>
      <w:r w:rsidRPr="00B9016D">
        <w:rPr>
          <w:rFonts w:ascii="Tahoma" w:hAnsi="Tahoma" w:cs="Tahoma"/>
          <w:sz w:val="20"/>
          <w:szCs w:val="22"/>
          <w:u w:val="none"/>
        </w:rPr>
        <w:t xml:space="preserve">Перечень рейтинговых агентств и уровни кредитных рейтингов, </w:t>
      </w:r>
      <w:r>
        <w:rPr>
          <w:rFonts w:ascii="Tahoma" w:hAnsi="Tahoma" w:cs="Tahoma"/>
          <w:sz w:val="20"/>
          <w:szCs w:val="22"/>
          <w:u w:val="none"/>
        </w:rPr>
        <w:br/>
      </w:r>
      <w:r w:rsidRPr="00B9016D">
        <w:rPr>
          <w:rFonts w:ascii="Tahoma" w:hAnsi="Tahoma" w:cs="Tahoma"/>
          <w:sz w:val="20"/>
          <w:szCs w:val="22"/>
          <w:u w:val="none"/>
        </w:rPr>
        <w:t xml:space="preserve">применяемых для целей </w:t>
      </w:r>
      <w:r>
        <w:rPr>
          <w:rFonts w:ascii="Tahoma" w:hAnsi="Tahoma" w:cs="Tahoma"/>
          <w:sz w:val="20"/>
          <w:szCs w:val="22"/>
          <w:u w:val="none"/>
        </w:rPr>
        <w:t>включения и поддержания</w:t>
      </w:r>
      <w:r w:rsidRPr="00B9016D">
        <w:rPr>
          <w:rFonts w:ascii="Tahoma" w:hAnsi="Tahoma" w:cs="Tahoma"/>
          <w:sz w:val="20"/>
          <w:szCs w:val="22"/>
          <w:u w:val="none"/>
        </w:rPr>
        <w:t xml:space="preserve"> облигаций</w:t>
      </w:r>
      <w:r>
        <w:rPr>
          <w:rFonts w:ascii="Tahoma" w:hAnsi="Tahoma" w:cs="Tahoma"/>
          <w:sz w:val="20"/>
          <w:szCs w:val="22"/>
          <w:u w:val="none"/>
        </w:rPr>
        <w:t xml:space="preserve"> иностранных эмитентов</w:t>
      </w:r>
      <w:r w:rsidRPr="006B7ECD">
        <w:rPr>
          <w:rFonts w:ascii="Tahoma" w:hAnsi="Tahoma" w:cs="Tahoma"/>
          <w:sz w:val="20"/>
          <w:u w:val="none"/>
        </w:rPr>
        <w:t xml:space="preserve">, </w:t>
      </w:r>
      <w:r>
        <w:rPr>
          <w:rFonts w:ascii="Tahoma" w:hAnsi="Tahoma" w:cs="Tahoma"/>
          <w:sz w:val="20"/>
          <w:u w:val="none"/>
        </w:rPr>
        <w:br/>
      </w:r>
      <w:r w:rsidRPr="006B7ECD">
        <w:rPr>
          <w:rFonts w:ascii="Tahoma" w:hAnsi="Tahoma" w:cs="Tahoma"/>
          <w:sz w:val="20"/>
          <w:u w:val="none"/>
        </w:rPr>
        <w:t xml:space="preserve">в том числе международных финансовых организаций, </w:t>
      </w:r>
      <w:r w:rsidRPr="006B7ECD">
        <w:rPr>
          <w:rFonts w:ascii="Tahoma" w:hAnsi="Tahoma" w:cs="Tahoma"/>
          <w:sz w:val="20"/>
          <w:szCs w:val="22"/>
          <w:u w:val="none"/>
        </w:rPr>
        <w:t xml:space="preserve">а также в отношении рейтингов иностранных поручителей </w:t>
      </w:r>
      <w:r>
        <w:rPr>
          <w:rFonts w:ascii="Tahoma" w:hAnsi="Tahoma" w:cs="Tahoma"/>
          <w:sz w:val="20"/>
          <w:szCs w:val="22"/>
          <w:u w:val="none"/>
        </w:rPr>
        <w:t xml:space="preserve">(гарантов) </w:t>
      </w:r>
      <w:r w:rsidRPr="006B7ECD">
        <w:rPr>
          <w:rFonts w:ascii="Tahoma" w:hAnsi="Tahoma" w:cs="Tahoma"/>
          <w:sz w:val="20"/>
          <w:szCs w:val="22"/>
          <w:u w:val="none"/>
        </w:rPr>
        <w:t xml:space="preserve">по выпускам облигаций российских и иностранных эмитентов, </w:t>
      </w:r>
      <w:r>
        <w:rPr>
          <w:rFonts w:ascii="Tahoma" w:hAnsi="Tahoma" w:cs="Tahoma"/>
          <w:sz w:val="20"/>
          <w:szCs w:val="22"/>
          <w:u w:val="none"/>
        </w:rPr>
        <w:t xml:space="preserve">в </w:t>
      </w:r>
      <w:r w:rsidRPr="00775857">
        <w:rPr>
          <w:rFonts w:ascii="Tahoma" w:hAnsi="Tahoma" w:cs="Tahoma"/>
          <w:sz w:val="20"/>
          <w:szCs w:val="22"/>
          <w:u w:val="none"/>
        </w:rPr>
        <w:t>Котировальных списках Первого и Второго уровня</w:t>
      </w:r>
    </w:p>
    <w:tbl>
      <w:tblPr>
        <w:tblW w:w="100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549"/>
        <w:gridCol w:w="2127"/>
        <w:gridCol w:w="1799"/>
        <w:gridCol w:w="2044"/>
      </w:tblGrid>
      <w:tr w:rsidR="004F5D62" w14:paraId="372D2904" w14:textId="77777777" w:rsidTr="00A22CD1">
        <w:trPr>
          <w:trHeight w:val="339"/>
        </w:trPr>
        <w:tc>
          <w:tcPr>
            <w:tcW w:w="562" w:type="dxa"/>
            <w:vMerge w:val="restart"/>
          </w:tcPr>
          <w:p w14:paraId="24F7B993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№</w:t>
            </w:r>
          </w:p>
        </w:tc>
        <w:tc>
          <w:tcPr>
            <w:tcW w:w="3549" w:type="dxa"/>
            <w:vMerge w:val="restart"/>
          </w:tcPr>
          <w:p w14:paraId="4E9708E7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Наименование рейтингового агентства</w:t>
            </w:r>
          </w:p>
        </w:tc>
        <w:tc>
          <w:tcPr>
            <w:tcW w:w="5970" w:type="dxa"/>
            <w:gridSpan w:val="3"/>
          </w:tcPr>
          <w:p w14:paraId="133D7138" w14:textId="77777777" w:rsidR="004C256B" w:rsidRPr="00754B90" w:rsidRDefault="00382438" w:rsidP="00ED078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Уровень кредитного рейтинга</w:t>
            </w:r>
          </w:p>
        </w:tc>
      </w:tr>
      <w:tr w:rsidR="004F5D62" w14:paraId="22CA498E" w14:textId="77777777" w:rsidTr="00A22CD1">
        <w:trPr>
          <w:trHeight w:val="705"/>
        </w:trPr>
        <w:tc>
          <w:tcPr>
            <w:tcW w:w="562" w:type="dxa"/>
            <w:vMerge/>
          </w:tcPr>
          <w:p w14:paraId="5A8B56B8" w14:textId="77777777" w:rsidR="004C256B" w:rsidRPr="00754B90" w:rsidRDefault="004C256B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549" w:type="dxa"/>
            <w:vMerge/>
          </w:tcPr>
          <w:p w14:paraId="2E8AA9A3" w14:textId="77777777" w:rsidR="004C256B" w:rsidRPr="00754B90" w:rsidRDefault="004C256B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127" w:type="dxa"/>
          </w:tcPr>
          <w:p w14:paraId="189A8F0F" w14:textId="77777777" w:rsidR="004C256B" w:rsidRPr="00E85C55" w:rsidRDefault="00382438" w:rsidP="00ED078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применяемый уровень кредитного рейтинга за исключением (2), (3)</w:t>
            </w:r>
          </w:p>
        </w:tc>
        <w:tc>
          <w:tcPr>
            <w:tcW w:w="1799" w:type="dxa"/>
          </w:tcPr>
          <w:p w14:paraId="7C6EF8CE" w14:textId="77777777" w:rsidR="004C256B" w:rsidRPr="00754B90" w:rsidRDefault="00382438" w:rsidP="00ED078B">
            <w:pPr>
              <w:tabs>
                <w:tab w:val="left" w:pos="0"/>
              </w:tabs>
              <w:ind w:right="142"/>
              <w:jc w:val="center"/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 эмитента-концессионера</w:t>
            </w:r>
          </w:p>
        </w:tc>
        <w:tc>
          <w:tcPr>
            <w:tcW w:w="2044" w:type="dxa"/>
          </w:tcPr>
          <w:p w14:paraId="484BE62E" w14:textId="77777777" w:rsidR="004C256B" w:rsidRPr="00754B90" w:rsidRDefault="00382438" w:rsidP="00ED078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облигации, условия эмиссии которых содержат дополнительные положения</w:t>
            </w:r>
            <w:r>
              <w:rPr>
                <w:rStyle w:val="ac"/>
                <w:rFonts w:ascii="Tahoma" w:eastAsia="Arial Unicode MS" w:hAnsi="Tahoma" w:cs="Tahoma"/>
                <w:b/>
                <w:bCs/>
                <w:color w:val="000000"/>
                <w:szCs w:val="24"/>
                <w:u w:color="000000"/>
                <w:bdr w:val="nil"/>
              </w:rPr>
              <w:footnoteReference w:id="4"/>
            </w:r>
            <w:r w:rsidRPr="00E63B9E">
              <w:rPr>
                <w:rFonts w:ascii="Tahoma" w:eastAsia="Arial Unicode MS" w:hAnsi="Tahoma" w:cs="Tahoma"/>
                <w:b/>
                <w:bCs/>
                <w:color w:val="000000"/>
                <w:sz w:val="16"/>
                <w:u w:color="000000"/>
                <w:bdr w:val="nil"/>
              </w:rPr>
              <w:t xml:space="preserve"> </w:t>
            </w:r>
          </w:p>
        </w:tc>
      </w:tr>
      <w:tr w:rsidR="004F5D62" w14:paraId="55CA0BFC" w14:textId="77777777" w:rsidTr="00A22CD1">
        <w:trPr>
          <w:trHeight w:val="146"/>
        </w:trPr>
        <w:tc>
          <w:tcPr>
            <w:tcW w:w="562" w:type="dxa"/>
            <w:vMerge/>
          </w:tcPr>
          <w:p w14:paraId="45749411" w14:textId="77777777" w:rsidR="004C256B" w:rsidRPr="004D4E95" w:rsidRDefault="004C256B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549" w:type="dxa"/>
            <w:vMerge/>
          </w:tcPr>
          <w:p w14:paraId="246134F5" w14:textId="77777777" w:rsidR="004C256B" w:rsidRPr="00754B90" w:rsidRDefault="004C256B" w:rsidP="00ED078B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0395A3E" w14:textId="77777777" w:rsidR="004C256B" w:rsidRPr="00E85C55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(1)</w:t>
            </w:r>
          </w:p>
        </w:tc>
        <w:tc>
          <w:tcPr>
            <w:tcW w:w="1799" w:type="dxa"/>
            <w:vAlign w:val="center"/>
          </w:tcPr>
          <w:p w14:paraId="7347E20C" w14:textId="77777777" w:rsidR="004C256B" w:rsidRPr="00E85C55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(2)</w:t>
            </w:r>
          </w:p>
        </w:tc>
        <w:tc>
          <w:tcPr>
            <w:tcW w:w="2044" w:type="dxa"/>
            <w:vAlign w:val="center"/>
          </w:tcPr>
          <w:p w14:paraId="27B7EB49" w14:textId="77777777" w:rsidR="004C256B" w:rsidRPr="00E85C55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(3)</w:t>
            </w:r>
          </w:p>
        </w:tc>
      </w:tr>
      <w:tr w:rsidR="004F5D62" w14:paraId="233195AF" w14:textId="77777777" w:rsidTr="00A22CD1">
        <w:trPr>
          <w:trHeight w:val="690"/>
        </w:trPr>
        <w:tc>
          <w:tcPr>
            <w:tcW w:w="562" w:type="dxa"/>
          </w:tcPr>
          <w:p w14:paraId="433AB2CA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1</w:t>
            </w:r>
            <w:r w:rsidRPr="00754B90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549" w:type="dxa"/>
          </w:tcPr>
          <w:p w14:paraId="3DE9CCF8" w14:textId="77777777" w:rsidR="004C256B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2127" w:type="dxa"/>
            <w:vAlign w:val="center"/>
          </w:tcPr>
          <w:p w14:paraId="4D691AE9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BBB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+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(RU)</w:t>
            </w:r>
          </w:p>
        </w:tc>
        <w:tc>
          <w:tcPr>
            <w:tcW w:w="1799" w:type="dxa"/>
            <w:vAlign w:val="center"/>
          </w:tcPr>
          <w:p w14:paraId="543A4E29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BB+(RU)</w:t>
            </w:r>
          </w:p>
        </w:tc>
        <w:tc>
          <w:tcPr>
            <w:tcW w:w="2044" w:type="dxa"/>
            <w:vAlign w:val="center"/>
          </w:tcPr>
          <w:p w14:paraId="5BD55BDA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A-(RU)</w:t>
            </w:r>
          </w:p>
        </w:tc>
      </w:tr>
      <w:tr w:rsidR="004F5D62" w14:paraId="0C6A3066" w14:textId="77777777" w:rsidTr="00A22CD1">
        <w:trPr>
          <w:trHeight w:val="744"/>
        </w:trPr>
        <w:tc>
          <w:tcPr>
            <w:tcW w:w="562" w:type="dxa"/>
          </w:tcPr>
          <w:p w14:paraId="40482C19" w14:textId="77777777" w:rsidR="004C256B" w:rsidRPr="00236447" w:rsidRDefault="00382438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3549" w:type="dxa"/>
          </w:tcPr>
          <w:p w14:paraId="2BD08689" w14:textId="77777777" w:rsidR="004C256B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Акционерное общество «Рейтинговое Агентство «Эксперт РА»</w:t>
            </w:r>
            <w:r w:rsidRPr="00754B90">
              <w:rPr>
                <w:rFonts w:ascii="Tahoma" w:eastAsiaTheme="minorHAnsi" w:hAnsi="Tahoma" w:cs="Tahoma"/>
                <w:sz w:val="20"/>
                <w:lang w:eastAsia="en-US"/>
              </w:rPr>
              <w:t xml:space="preserve"> (АО «Эксперт РА»)</w:t>
            </w:r>
          </w:p>
        </w:tc>
        <w:tc>
          <w:tcPr>
            <w:tcW w:w="2127" w:type="dxa"/>
            <w:vAlign w:val="center"/>
          </w:tcPr>
          <w:p w14:paraId="79C60C3C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ruBBB</w:t>
            </w:r>
            <w:r w:rsidRPr="00D5244A">
              <w:rPr>
                <w:rFonts w:ascii="Tahoma" w:hAnsi="Tahoma" w:cs="Tahoma"/>
                <w:bCs/>
                <w:sz w:val="20"/>
              </w:rPr>
              <w:t>+</w:t>
            </w:r>
          </w:p>
        </w:tc>
        <w:tc>
          <w:tcPr>
            <w:tcW w:w="1799" w:type="dxa"/>
            <w:vAlign w:val="center"/>
          </w:tcPr>
          <w:p w14:paraId="3DD04B2A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ruBB+</w:t>
            </w:r>
          </w:p>
        </w:tc>
        <w:tc>
          <w:tcPr>
            <w:tcW w:w="2044" w:type="dxa"/>
            <w:vAlign w:val="center"/>
          </w:tcPr>
          <w:p w14:paraId="7AE05D5A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ruA-</w:t>
            </w:r>
          </w:p>
        </w:tc>
      </w:tr>
      <w:tr w:rsidR="004F5D62" w14:paraId="57394F60" w14:textId="77777777" w:rsidTr="00A22CD1">
        <w:trPr>
          <w:trHeight w:val="744"/>
        </w:trPr>
        <w:tc>
          <w:tcPr>
            <w:tcW w:w="562" w:type="dxa"/>
          </w:tcPr>
          <w:p w14:paraId="60CF5F57" w14:textId="77777777" w:rsidR="00F417DA" w:rsidRDefault="00382438" w:rsidP="0065270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3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549" w:type="dxa"/>
          </w:tcPr>
          <w:p w14:paraId="0E8985D8" w14:textId="77777777" w:rsidR="00F417DA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A2437E">
              <w:rPr>
                <w:rFonts w:ascii="Tahoma" w:hAnsi="Tahoma" w:cs="Tahoma"/>
                <w:sz w:val="20"/>
              </w:rPr>
              <w:t>Общество с ограниченной ответственностью «Национальные Кредитные Рейтинги»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 w:rsidRPr="00A2437E">
              <w:rPr>
                <w:rFonts w:ascii="Tahoma" w:hAnsi="Tahoma" w:cs="Tahoma"/>
                <w:sz w:val="20"/>
              </w:rPr>
              <w:t>ООО «НКР»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Style w:val="ac"/>
                <w:rFonts w:ascii="Tahoma" w:hAnsi="Tahoma" w:cs="Tahoma"/>
                <w:sz w:val="20"/>
              </w:rPr>
              <w:footnoteReference w:id="5"/>
            </w:r>
          </w:p>
        </w:tc>
        <w:tc>
          <w:tcPr>
            <w:tcW w:w="2127" w:type="dxa"/>
            <w:vAlign w:val="center"/>
          </w:tcPr>
          <w:p w14:paraId="4CE05EE6" w14:textId="77777777" w:rsidR="00F417DA" w:rsidRPr="006B7ECD" w:rsidRDefault="00382438" w:rsidP="0065270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BBB+.ru</w:t>
            </w:r>
          </w:p>
        </w:tc>
        <w:tc>
          <w:tcPr>
            <w:tcW w:w="1799" w:type="dxa"/>
            <w:vAlign w:val="center"/>
          </w:tcPr>
          <w:p w14:paraId="56A57692" w14:textId="77777777" w:rsidR="00F417DA" w:rsidRPr="006B7ECD" w:rsidRDefault="00382438" w:rsidP="0065270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BB+.ru</w:t>
            </w:r>
          </w:p>
        </w:tc>
        <w:tc>
          <w:tcPr>
            <w:tcW w:w="2044" w:type="dxa"/>
            <w:vAlign w:val="center"/>
          </w:tcPr>
          <w:p w14:paraId="24C290CA" w14:textId="77777777" w:rsidR="00F417DA" w:rsidRPr="006B7ECD" w:rsidRDefault="00382438" w:rsidP="0065270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A-.ru</w:t>
            </w:r>
          </w:p>
        </w:tc>
      </w:tr>
      <w:tr w:rsidR="004F5D62" w14:paraId="39F7332B" w14:textId="77777777" w:rsidTr="00A22CD1">
        <w:trPr>
          <w:trHeight w:val="744"/>
        </w:trPr>
        <w:tc>
          <w:tcPr>
            <w:tcW w:w="562" w:type="dxa"/>
          </w:tcPr>
          <w:p w14:paraId="4CA70658" w14:textId="77777777" w:rsidR="00A22CD1" w:rsidRPr="008128BC" w:rsidRDefault="00382438" w:rsidP="00A41752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4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549" w:type="dxa"/>
          </w:tcPr>
          <w:p w14:paraId="3EAB2A19" w14:textId="77777777" w:rsidR="00A22CD1" w:rsidRPr="00A2437E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Общество с ограниченной ответственностью «Национальное Рейтинговое Агентство» </w:t>
            </w:r>
            <w:r>
              <w:rPr>
                <w:rFonts w:ascii="Tahoma" w:hAnsi="Tahoma" w:cs="Tahoma"/>
                <w:sz w:val="20"/>
              </w:rPr>
              <w:br/>
              <w:t>(ООО «НРА»)</w:t>
            </w:r>
            <w:r>
              <w:rPr>
                <w:rStyle w:val="ac"/>
                <w:rFonts w:ascii="Tahoma" w:hAnsi="Tahoma" w:cs="Tahoma"/>
                <w:sz w:val="20"/>
              </w:rPr>
              <w:footnoteReference w:id="6"/>
            </w:r>
          </w:p>
        </w:tc>
        <w:tc>
          <w:tcPr>
            <w:tcW w:w="2127" w:type="dxa"/>
            <w:vAlign w:val="center"/>
          </w:tcPr>
          <w:p w14:paraId="477AC98A" w14:textId="77777777" w:rsidR="00A22CD1" w:rsidRPr="006B7ECD" w:rsidRDefault="00382438" w:rsidP="00A41752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BBB+|ru|</w:t>
            </w:r>
          </w:p>
        </w:tc>
        <w:tc>
          <w:tcPr>
            <w:tcW w:w="1799" w:type="dxa"/>
            <w:vAlign w:val="center"/>
          </w:tcPr>
          <w:p w14:paraId="4C927F69" w14:textId="77777777" w:rsidR="00A22CD1" w:rsidRPr="008128BC" w:rsidRDefault="00382438" w:rsidP="00A41752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BB+|ru|</w:t>
            </w:r>
          </w:p>
        </w:tc>
        <w:tc>
          <w:tcPr>
            <w:tcW w:w="2044" w:type="dxa"/>
            <w:vAlign w:val="center"/>
          </w:tcPr>
          <w:p w14:paraId="2B2EB58A" w14:textId="77777777" w:rsidR="00A22CD1" w:rsidRPr="006B7ECD" w:rsidRDefault="00382438" w:rsidP="00A41752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A-|ru|</w:t>
            </w:r>
          </w:p>
        </w:tc>
      </w:tr>
      <w:tr w:rsidR="004F5D62" w14:paraId="2D0A0B9E" w14:textId="77777777" w:rsidTr="00A22CD1">
        <w:trPr>
          <w:trHeight w:val="259"/>
        </w:trPr>
        <w:tc>
          <w:tcPr>
            <w:tcW w:w="562" w:type="dxa"/>
          </w:tcPr>
          <w:p w14:paraId="5B72CFC3" w14:textId="77777777" w:rsidR="004C256B" w:rsidRPr="00236447" w:rsidRDefault="00382438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5.</w:t>
            </w:r>
          </w:p>
        </w:tc>
        <w:tc>
          <w:tcPr>
            <w:tcW w:w="3549" w:type="dxa"/>
          </w:tcPr>
          <w:p w14:paraId="5E994F31" w14:textId="77777777" w:rsidR="004C256B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Fitch Ratings</w:t>
            </w:r>
          </w:p>
        </w:tc>
        <w:tc>
          <w:tcPr>
            <w:tcW w:w="2127" w:type="dxa"/>
            <w:vAlign w:val="center"/>
          </w:tcPr>
          <w:p w14:paraId="3A800576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  <w:r w:rsidRPr="00754B90">
              <w:rPr>
                <w:rFonts w:ascii="Tahoma" w:hAnsi="Tahoma" w:cs="Tahoma"/>
                <w:b/>
                <w:bCs/>
                <w:sz w:val="20"/>
              </w:rPr>
              <w:t>-</w:t>
            </w:r>
          </w:p>
        </w:tc>
        <w:tc>
          <w:tcPr>
            <w:tcW w:w="1799" w:type="dxa"/>
            <w:vAlign w:val="center"/>
          </w:tcPr>
          <w:p w14:paraId="5C5E409B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044" w:type="dxa"/>
            <w:vAlign w:val="center"/>
          </w:tcPr>
          <w:p w14:paraId="26E151C0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</w:p>
        </w:tc>
      </w:tr>
      <w:tr w:rsidR="004F5D62" w14:paraId="5A6E30FC" w14:textId="77777777" w:rsidTr="00A22CD1">
        <w:trPr>
          <w:trHeight w:val="348"/>
        </w:trPr>
        <w:tc>
          <w:tcPr>
            <w:tcW w:w="562" w:type="dxa"/>
          </w:tcPr>
          <w:p w14:paraId="756C7035" w14:textId="77777777" w:rsidR="004C256B" w:rsidRPr="00236447" w:rsidRDefault="00382438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6.</w:t>
            </w:r>
          </w:p>
        </w:tc>
        <w:tc>
          <w:tcPr>
            <w:tcW w:w="3549" w:type="dxa"/>
          </w:tcPr>
          <w:p w14:paraId="5C1989DA" w14:textId="77777777" w:rsidR="004C256B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Moody's Investors Service</w:t>
            </w:r>
          </w:p>
        </w:tc>
        <w:tc>
          <w:tcPr>
            <w:tcW w:w="2127" w:type="dxa"/>
            <w:vAlign w:val="center"/>
          </w:tcPr>
          <w:p w14:paraId="5ACA5FE9" w14:textId="66860B8D" w:rsidR="004C256B" w:rsidRPr="001E41FC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>
              <w:rPr>
                <w:rFonts w:ascii="Tahoma" w:hAnsi="Tahoma" w:cs="Tahoma"/>
                <w:bCs/>
                <w:sz w:val="20"/>
                <w:lang w:val="en-US"/>
              </w:rPr>
              <w:t>a3</w:t>
            </w:r>
          </w:p>
        </w:tc>
        <w:tc>
          <w:tcPr>
            <w:tcW w:w="1799" w:type="dxa"/>
            <w:vAlign w:val="center"/>
          </w:tcPr>
          <w:p w14:paraId="20CE672E" w14:textId="2C8583CC" w:rsidR="004C256B" w:rsidRPr="0079127D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>
              <w:rPr>
                <w:rFonts w:ascii="Tahoma" w:hAnsi="Tahoma" w:cs="Tahoma"/>
                <w:bCs/>
                <w:sz w:val="20"/>
                <w:lang w:val="en-US"/>
              </w:rPr>
              <w:t>2</w:t>
            </w:r>
          </w:p>
        </w:tc>
        <w:tc>
          <w:tcPr>
            <w:tcW w:w="2044" w:type="dxa"/>
            <w:vAlign w:val="center"/>
          </w:tcPr>
          <w:p w14:paraId="29591B04" w14:textId="3F75FD5C" w:rsidR="004C256B" w:rsidRPr="001E41FC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Ba</w:t>
            </w:r>
            <w:r w:rsidR="0079127D">
              <w:rPr>
                <w:rFonts w:ascii="Tahoma" w:hAnsi="Tahoma" w:cs="Tahoma"/>
                <w:bCs/>
                <w:sz w:val="20"/>
                <w:lang w:val="en-US"/>
              </w:rPr>
              <w:t>2</w:t>
            </w:r>
          </w:p>
        </w:tc>
      </w:tr>
      <w:tr w:rsidR="004F5D62" w14:paraId="3BB20DE4" w14:textId="77777777" w:rsidTr="00A22CD1">
        <w:trPr>
          <w:trHeight w:val="355"/>
        </w:trPr>
        <w:tc>
          <w:tcPr>
            <w:tcW w:w="562" w:type="dxa"/>
          </w:tcPr>
          <w:p w14:paraId="505A06CB" w14:textId="77777777" w:rsidR="004C256B" w:rsidRPr="00236447" w:rsidRDefault="00382438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7.</w:t>
            </w:r>
          </w:p>
        </w:tc>
        <w:tc>
          <w:tcPr>
            <w:tcW w:w="3549" w:type="dxa"/>
          </w:tcPr>
          <w:p w14:paraId="28C36C05" w14:textId="77777777" w:rsidR="004C256B" w:rsidRPr="00754B90" w:rsidRDefault="00382438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eastAsiaTheme="minorHAnsi" w:hAnsi="Tahoma" w:cs="Tahoma"/>
                <w:sz w:val="20"/>
                <w:lang w:val="en-US" w:eastAsia="en-US"/>
              </w:rPr>
              <w:t xml:space="preserve">S&amp;P Global Ratings </w:t>
            </w:r>
          </w:p>
        </w:tc>
        <w:tc>
          <w:tcPr>
            <w:tcW w:w="2127" w:type="dxa"/>
            <w:vAlign w:val="center"/>
          </w:tcPr>
          <w:p w14:paraId="6C13C039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1799" w:type="dxa"/>
            <w:vAlign w:val="center"/>
          </w:tcPr>
          <w:p w14:paraId="4CC244B1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044" w:type="dxa"/>
            <w:vAlign w:val="center"/>
          </w:tcPr>
          <w:p w14:paraId="53D2090D" w14:textId="77777777" w:rsidR="004C256B" w:rsidRPr="00754B90" w:rsidRDefault="00382438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</w:p>
        </w:tc>
      </w:tr>
    </w:tbl>
    <w:p w14:paraId="38CBB952" w14:textId="77777777" w:rsidR="004C256B" w:rsidRPr="0089020E" w:rsidRDefault="004C256B" w:rsidP="004C256B">
      <w:pPr>
        <w:rPr>
          <w:sz w:val="2"/>
          <w:lang w:eastAsia="en-US"/>
        </w:rPr>
      </w:pPr>
    </w:p>
    <w:p w14:paraId="7A91624A" w14:textId="77777777" w:rsidR="004C256B" w:rsidRPr="00A0794C" w:rsidRDefault="00382438" w:rsidP="004C256B">
      <w:pPr>
        <w:pStyle w:val="a7"/>
        <w:numPr>
          <w:ilvl w:val="0"/>
          <w:numId w:val="4"/>
        </w:numPr>
        <w:tabs>
          <w:tab w:val="left" w:pos="0"/>
        </w:tabs>
        <w:spacing w:before="120" w:after="120"/>
        <w:ind w:left="426" w:right="-142" w:hanging="426"/>
        <w:jc w:val="both"/>
        <w:rPr>
          <w:rFonts w:ascii="Tahoma" w:hAnsi="Tahoma" w:cs="Tahoma"/>
          <w:bCs/>
          <w:sz w:val="20"/>
        </w:rPr>
      </w:pPr>
      <w:r w:rsidRPr="00A0794C">
        <w:rPr>
          <w:rFonts w:ascii="Tahoma" w:hAnsi="Tahoma" w:cs="Tahoma"/>
          <w:bCs/>
          <w:sz w:val="20"/>
        </w:rPr>
        <w:t>При наличии нескольких кредитных рейтингов, пр</w:t>
      </w:r>
      <w:r>
        <w:rPr>
          <w:rFonts w:ascii="Tahoma" w:hAnsi="Tahoma" w:cs="Tahoma"/>
          <w:bCs/>
          <w:sz w:val="20"/>
        </w:rPr>
        <w:t xml:space="preserve">именяемых </w:t>
      </w:r>
      <w:r w:rsidRPr="00A0794C">
        <w:rPr>
          <w:rFonts w:ascii="Tahoma" w:hAnsi="Tahoma" w:cs="Tahoma"/>
          <w:bCs/>
          <w:sz w:val="20"/>
        </w:rPr>
        <w:t xml:space="preserve">для целей включения облигаций в </w:t>
      </w:r>
      <w:r>
        <w:rPr>
          <w:rFonts w:ascii="Tahoma" w:hAnsi="Tahoma" w:cs="Tahoma"/>
          <w:sz w:val="20"/>
        </w:rPr>
        <w:t xml:space="preserve"> </w:t>
      </w:r>
      <w:r w:rsidRPr="00775857">
        <w:rPr>
          <w:rFonts w:ascii="Tahoma" w:hAnsi="Tahoma" w:cs="Tahoma"/>
          <w:sz w:val="20"/>
        </w:rPr>
        <w:t>Котировальны</w:t>
      </w:r>
      <w:r>
        <w:rPr>
          <w:rFonts w:ascii="Tahoma" w:hAnsi="Tahoma" w:cs="Tahoma"/>
          <w:sz w:val="20"/>
        </w:rPr>
        <w:t>е</w:t>
      </w:r>
      <w:r w:rsidRPr="00775857">
        <w:rPr>
          <w:rFonts w:ascii="Tahoma" w:hAnsi="Tahoma" w:cs="Tahoma"/>
          <w:sz w:val="20"/>
        </w:rPr>
        <w:t xml:space="preserve"> списк</w:t>
      </w:r>
      <w:r>
        <w:rPr>
          <w:rFonts w:ascii="Tahoma" w:hAnsi="Tahoma" w:cs="Tahoma"/>
          <w:sz w:val="20"/>
        </w:rPr>
        <w:t>и</w:t>
      </w:r>
      <w:r w:rsidRPr="00775857">
        <w:rPr>
          <w:rFonts w:ascii="Tahoma" w:hAnsi="Tahoma" w:cs="Tahoma"/>
          <w:sz w:val="20"/>
        </w:rPr>
        <w:t xml:space="preserve"> Первого и Второго уровня</w:t>
      </w:r>
      <w:r>
        <w:rPr>
          <w:rFonts w:ascii="Tahoma" w:hAnsi="Tahoma" w:cs="Tahoma"/>
          <w:bCs/>
          <w:sz w:val="20"/>
        </w:rPr>
        <w:t>,</w:t>
      </w:r>
      <w:r w:rsidRPr="00A0794C">
        <w:rPr>
          <w:rFonts w:ascii="Tahoma" w:hAnsi="Tahoma" w:cs="Tahoma"/>
          <w:bCs/>
          <w:sz w:val="20"/>
        </w:rPr>
        <w:t xml:space="preserve"> применяется кредитный рейтинг, имеющий наиболее высокий уровень.</w:t>
      </w:r>
    </w:p>
    <w:p w14:paraId="3674B97A" w14:textId="77777777" w:rsidR="004C256B" w:rsidRPr="00D702FB" w:rsidRDefault="00382438" w:rsidP="004C256B">
      <w:pPr>
        <w:pStyle w:val="a7"/>
        <w:numPr>
          <w:ilvl w:val="0"/>
          <w:numId w:val="4"/>
        </w:numPr>
        <w:tabs>
          <w:tab w:val="left" w:pos="0"/>
        </w:tabs>
        <w:spacing w:before="120" w:after="120"/>
        <w:ind w:left="426" w:right="-142" w:hanging="426"/>
        <w:jc w:val="both"/>
        <w:rPr>
          <w:rFonts w:ascii="Tahoma" w:hAnsi="Tahoma" w:cs="Tahoma"/>
          <w:bCs/>
          <w:sz w:val="20"/>
        </w:rPr>
      </w:pPr>
      <w:r w:rsidRPr="00D702FB">
        <w:rPr>
          <w:rFonts w:ascii="Tahoma" w:hAnsi="Tahoma" w:cs="Tahoma"/>
          <w:bCs/>
          <w:sz w:val="20"/>
        </w:rPr>
        <w:t>Виды применяемых кредитных рейтингов иностранных рейтинговых агентств:</w:t>
      </w:r>
    </w:p>
    <w:p w14:paraId="36FC5C41" w14:textId="77777777" w:rsidR="004C256B" w:rsidRPr="00D702FB" w:rsidRDefault="00382438" w:rsidP="004C256B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Fitch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– долгосрочный рейтинг дефолта эмитента (Issuer Default Rating), долгосрочный рейтинг финансовых обязательств корпоративных эмитентов (Corporate Finance Obligations), долгосрочный рейтинг сделок структурированного и проектного финансирования, а также в сфере государственных финансов (Long-term rating of structured finance, project finance and public finance obligations);</w:t>
      </w:r>
    </w:p>
    <w:p w14:paraId="0A6C08C7" w14:textId="77777777" w:rsidR="004C256B" w:rsidRPr="00D702FB" w:rsidRDefault="00382438" w:rsidP="004C256B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S&amp;P Global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кредитный рейтинг эмитента (Long-Term Issuer Credit Rating), долгосрочный кредитный рейтинг долгового обязательства (Long-Term Issue Credit Rating);</w:t>
      </w:r>
    </w:p>
    <w:p w14:paraId="6D9961A1" w14:textId="77777777" w:rsidR="004C256B" w:rsidRPr="00D702FB" w:rsidRDefault="00382438" w:rsidP="004C256B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</w:rPr>
        <w:lastRenderedPageBreak/>
        <w:t xml:space="preserve">рейтинг по классификации рейтингового агентства </w:t>
      </w: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S&amp;P Global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с индексом "p", указывающи</w:t>
      </w:r>
      <w:r>
        <w:rPr>
          <w:rFonts w:ascii="Tahoma" w:eastAsia="Times New Roman" w:hAnsi="Tahoma" w:cs="Tahoma"/>
          <w:bCs/>
          <w:sz w:val="20"/>
          <w:szCs w:val="20"/>
        </w:rPr>
        <w:t>й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14:paraId="30434531" w14:textId="77777777" w:rsidR="004C256B" w:rsidRPr="00284180" w:rsidRDefault="00382438" w:rsidP="004C256B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Moody's Investors Service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рейтинг эмитента (Long-Term Issuer Rating), корпоративный рейтинг (Corporate Family Rating), рейтинг эмитента ценных бумаг структурированного финансирования (</w:t>
      </w:r>
      <w:r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Structured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Finance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Issuer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Rating</w:t>
      </w:r>
      <w:r w:rsidRPr="00D702FB">
        <w:rPr>
          <w:rFonts w:ascii="Tahoma" w:eastAsia="Times New Roman" w:hAnsi="Tahoma" w:cs="Tahoma"/>
          <w:bCs/>
          <w:sz w:val="20"/>
          <w:szCs w:val="20"/>
        </w:rPr>
        <w:t>), рейтинг долгосрочных долговых обязательств корпоративных эмитентов (Long-Term Corporate Obligation Rating), долгосрочный рейтинг структурированного финансирования (Structured Finance Long-Term Rating), долгосрочный рейтинг банковского депозита (Bank Deposit Rating). Корпоративный рейтинг (Corporate Family Rating) – в отношении эмитента только в случае, когда указанный рейтинг присвоен непосредственно данному эмитенту</w:t>
      </w:r>
    </w:p>
    <w:p w14:paraId="1FC22B44" w14:textId="01D06996" w:rsidR="00D03D62" w:rsidRPr="006B7ECD" w:rsidRDefault="00382438" w:rsidP="00754C2C">
      <w:p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eastAsiaTheme="minorHAnsi" w:hAnsi="Tahoma" w:cs="Tahoma"/>
          <w:sz w:val="20"/>
          <w:lang w:eastAsia="en-US"/>
        </w:rPr>
        <w:t>Р</w:t>
      </w:r>
      <w:r w:rsidRPr="00284180">
        <w:rPr>
          <w:rFonts w:ascii="Tahoma" w:eastAsiaTheme="minorHAnsi" w:hAnsi="Tahoma" w:cs="Tahoma"/>
          <w:sz w:val="20"/>
          <w:lang w:eastAsia="en-US"/>
        </w:rPr>
        <w:t>ейтинг</w:t>
      </w:r>
      <w:r>
        <w:rPr>
          <w:rFonts w:ascii="Tahoma" w:eastAsiaTheme="minorHAnsi" w:hAnsi="Tahoma" w:cs="Tahoma"/>
          <w:sz w:val="20"/>
          <w:lang w:eastAsia="en-US"/>
        </w:rPr>
        <w:t>и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по классификаци</w:t>
      </w:r>
      <w:r>
        <w:rPr>
          <w:rFonts w:ascii="Tahoma" w:eastAsiaTheme="minorHAnsi" w:hAnsi="Tahoma" w:cs="Tahoma"/>
          <w:sz w:val="20"/>
          <w:lang w:eastAsia="en-US"/>
        </w:rPr>
        <w:t>ям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кредитн</w:t>
      </w:r>
      <w:r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рейтингов</w:t>
      </w:r>
      <w:r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агентств </w:t>
      </w:r>
      <w:r>
        <w:rPr>
          <w:rFonts w:ascii="Tahoma" w:eastAsiaTheme="minorHAnsi" w:hAnsi="Tahoma" w:cs="Tahoma"/>
          <w:sz w:val="20"/>
          <w:lang w:eastAsia="en-US"/>
        </w:rPr>
        <w:t>могут иметь индексы (индикаторы), указывающие на определенные признаки (особенности)</w:t>
      </w:r>
      <w:r w:rsidR="00604AEE">
        <w:rPr>
          <w:rFonts w:ascii="Tahoma" w:eastAsiaTheme="minorHAnsi" w:hAnsi="Tahoma" w:cs="Tahoma"/>
          <w:sz w:val="20"/>
          <w:lang w:eastAsia="en-US"/>
        </w:rPr>
        <w:t>,</w:t>
      </w:r>
      <w:r>
        <w:rPr>
          <w:rFonts w:ascii="Tahoma" w:eastAsiaTheme="minorHAnsi" w:hAnsi="Tahoma" w:cs="Tahoma"/>
          <w:sz w:val="20"/>
          <w:lang w:eastAsia="en-US"/>
        </w:rPr>
        <w:t xml:space="preserve"> связанные с объектом рейтинга/методологии</w:t>
      </w:r>
      <w:r w:rsidRPr="00284180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</w:p>
    <w:sectPr w:rsidR="00D03D62" w:rsidRPr="006B7ECD" w:rsidSect="005B5030">
      <w:footerReference w:type="default" r:id="rId11"/>
      <w:footerReference w:type="first" r:id="rId12"/>
      <w:pgSz w:w="11906" w:h="16838"/>
      <w:pgMar w:top="1134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BBB3" w14:textId="77777777" w:rsidR="00382438" w:rsidRDefault="00382438">
      <w:r>
        <w:separator/>
      </w:r>
    </w:p>
  </w:endnote>
  <w:endnote w:type="continuationSeparator" w:id="0">
    <w:p w14:paraId="3E6C9324" w14:textId="77777777" w:rsidR="00382438" w:rsidRDefault="0038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998732"/>
      <w:docPartObj>
        <w:docPartGallery w:val="Page Numbers (Bottom of Page)"/>
        <w:docPartUnique/>
      </w:docPartObj>
    </w:sdtPr>
    <w:sdtEndPr/>
    <w:sdtContent>
      <w:p w14:paraId="2ACCAA74" w14:textId="77777777" w:rsidR="00B9016D" w:rsidRDefault="003824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7C10" w14:textId="77777777" w:rsidR="00EB10DA" w:rsidRDefault="00EB10D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68599" w14:textId="77777777" w:rsidR="00382438" w:rsidRDefault="00382438" w:rsidP="00851C82">
      <w:r>
        <w:separator/>
      </w:r>
    </w:p>
  </w:footnote>
  <w:footnote w:type="continuationSeparator" w:id="0">
    <w:p w14:paraId="330C881C" w14:textId="77777777" w:rsidR="00382438" w:rsidRDefault="00382438" w:rsidP="00851C82">
      <w:r>
        <w:continuationSeparator/>
      </w:r>
    </w:p>
  </w:footnote>
  <w:footnote w:id="1">
    <w:p w14:paraId="2B6DF62B" w14:textId="77777777" w:rsidR="00AB4857" w:rsidRDefault="00382438" w:rsidP="00AB485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6B7ECD">
        <w:rPr>
          <w:rFonts w:ascii="Tahoma" w:eastAsia="Times New Roman" w:hAnsi="Tahoma" w:cs="Tahoma"/>
          <w:bCs/>
          <w:sz w:val="16"/>
        </w:rPr>
        <w:t>Облигации, условия эмиссии которых установлены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кредиторов.</w:t>
      </w:r>
    </w:p>
  </w:footnote>
  <w:footnote w:id="2">
    <w:p w14:paraId="3489A677" w14:textId="77777777" w:rsidR="008329CD" w:rsidRPr="001940EA" w:rsidRDefault="00382438">
      <w:pPr>
        <w:pStyle w:val="aa"/>
        <w:rPr>
          <w:rFonts w:ascii="Tahoma" w:eastAsia="Times New Roman" w:hAnsi="Tahoma" w:cs="Tahoma"/>
          <w:bCs/>
          <w:sz w:val="16"/>
        </w:rPr>
      </w:pPr>
      <w:r>
        <w:rPr>
          <w:rStyle w:val="ac"/>
        </w:rPr>
        <w:footnoteRef/>
      </w:r>
      <w:r>
        <w:t xml:space="preserve"> </w:t>
      </w:r>
      <w:r>
        <w:rPr>
          <w:rFonts w:ascii="Tahoma" w:eastAsia="Times New Roman" w:hAnsi="Tahoma" w:cs="Tahoma"/>
          <w:bCs/>
          <w:sz w:val="16"/>
        </w:rPr>
        <w:t>Д</w:t>
      </w:r>
      <w:r w:rsidRPr="00C73FE2">
        <w:rPr>
          <w:rFonts w:ascii="Tahoma" w:eastAsia="Times New Roman" w:hAnsi="Tahoma" w:cs="Tahoma"/>
          <w:bCs/>
          <w:sz w:val="16"/>
        </w:rPr>
        <w:t>ля целей включения и поддержания облигаций в Первом и Втором уровне</w:t>
      </w:r>
      <w:r>
        <w:rPr>
          <w:rFonts w:ascii="Tahoma" w:eastAsia="Times New Roman" w:hAnsi="Tahoma" w:cs="Tahoma"/>
          <w:bCs/>
          <w:sz w:val="16"/>
        </w:rPr>
        <w:t xml:space="preserve"> применяются к</w:t>
      </w:r>
      <w:r w:rsidRPr="00C73FE2">
        <w:rPr>
          <w:rFonts w:ascii="Tahoma" w:eastAsia="Times New Roman" w:hAnsi="Tahoma" w:cs="Tahoma"/>
          <w:bCs/>
          <w:sz w:val="16"/>
        </w:rPr>
        <w:t>редитные рейтинги ООО</w:t>
      </w:r>
      <w:r>
        <w:rPr>
          <w:rFonts w:ascii="Tahoma" w:eastAsia="Times New Roman" w:hAnsi="Tahoma" w:cs="Tahoma"/>
          <w:bCs/>
          <w:sz w:val="16"/>
        </w:rPr>
        <w:t> </w:t>
      </w:r>
      <w:r w:rsidRPr="00C73FE2">
        <w:rPr>
          <w:rFonts w:ascii="Tahoma" w:eastAsia="Times New Roman" w:hAnsi="Tahoma" w:cs="Tahoma"/>
          <w:bCs/>
          <w:sz w:val="16"/>
        </w:rPr>
        <w:t>«Н</w:t>
      </w:r>
      <w:r>
        <w:rPr>
          <w:rFonts w:ascii="Tahoma" w:eastAsia="Times New Roman" w:hAnsi="Tahoma" w:cs="Tahoma"/>
          <w:bCs/>
          <w:sz w:val="16"/>
        </w:rPr>
        <w:t>КР</w:t>
      </w:r>
      <w:r w:rsidRPr="00C73FE2">
        <w:rPr>
          <w:rFonts w:ascii="Tahoma" w:eastAsia="Times New Roman" w:hAnsi="Tahoma" w:cs="Tahoma"/>
          <w:bCs/>
          <w:sz w:val="16"/>
        </w:rPr>
        <w:t xml:space="preserve">» </w:t>
      </w:r>
      <w:r w:rsidRPr="001940EA">
        <w:rPr>
          <w:rFonts w:ascii="Tahoma" w:eastAsia="Times New Roman" w:hAnsi="Tahoma" w:cs="Tahoma"/>
          <w:bCs/>
          <w:sz w:val="16"/>
        </w:rPr>
        <w:t>банков</w:t>
      </w:r>
      <w:r>
        <w:rPr>
          <w:rFonts w:ascii="Tahoma" w:eastAsia="Times New Roman" w:hAnsi="Tahoma" w:cs="Tahoma"/>
          <w:bCs/>
          <w:sz w:val="16"/>
        </w:rPr>
        <w:t xml:space="preserve"> и</w:t>
      </w:r>
      <w:r w:rsidRPr="001940EA">
        <w:rPr>
          <w:rFonts w:ascii="Tahoma" w:eastAsia="Times New Roman" w:hAnsi="Tahoma" w:cs="Tahoma"/>
          <w:bCs/>
          <w:sz w:val="16"/>
        </w:rPr>
        <w:t xml:space="preserve"> нефинансовых компаний</w:t>
      </w:r>
      <w:r>
        <w:rPr>
          <w:rFonts w:ascii="Tahoma" w:eastAsia="Times New Roman" w:hAnsi="Tahoma" w:cs="Tahoma"/>
          <w:bCs/>
          <w:sz w:val="16"/>
        </w:rPr>
        <w:t>.</w:t>
      </w:r>
    </w:p>
  </w:footnote>
  <w:footnote w:id="3">
    <w:p w14:paraId="1FC3EAB7" w14:textId="12EF7954" w:rsidR="009D2255" w:rsidRPr="00F00DDD" w:rsidRDefault="00382438">
      <w:pPr>
        <w:pStyle w:val="aa"/>
        <w:rPr>
          <w:rFonts w:ascii="Tahoma" w:eastAsia="Times New Roman" w:hAnsi="Tahoma" w:cs="Tahoma"/>
          <w:bCs/>
          <w:sz w:val="16"/>
        </w:rPr>
      </w:pPr>
      <w:r>
        <w:rPr>
          <w:rStyle w:val="ac"/>
        </w:rPr>
        <w:footnoteRef/>
      </w:r>
      <w:r>
        <w:t xml:space="preserve"> </w:t>
      </w:r>
      <w:r>
        <w:rPr>
          <w:rFonts w:ascii="Tahoma" w:eastAsia="Times New Roman" w:hAnsi="Tahoma" w:cs="Tahoma"/>
          <w:bCs/>
          <w:sz w:val="16"/>
        </w:rPr>
        <w:t>Д</w:t>
      </w:r>
      <w:r w:rsidRPr="00C73FE2">
        <w:rPr>
          <w:rFonts w:ascii="Tahoma" w:eastAsia="Times New Roman" w:hAnsi="Tahoma" w:cs="Tahoma"/>
          <w:bCs/>
          <w:sz w:val="16"/>
        </w:rPr>
        <w:t>ля целей включения и поддержания облигаций в Первом и Втором уровне</w:t>
      </w:r>
      <w:r>
        <w:rPr>
          <w:rFonts w:ascii="Tahoma" w:eastAsia="Times New Roman" w:hAnsi="Tahoma" w:cs="Tahoma"/>
          <w:bCs/>
          <w:sz w:val="16"/>
        </w:rPr>
        <w:t xml:space="preserve"> применяются к</w:t>
      </w:r>
      <w:r w:rsidRPr="00C73FE2">
        <w:rPr>
          <w:rFonts w:ascii="Tahoma" w:eastAsia="Times New Roman" w:hAnsi="Tahoma" w:cs="Tahoma"/>
          <w:bCs/>
          <w:sz w:val="16"/>
        </w:rPr>
        <w:t>редитные рейтинги ООО</w:t>
      </w:r>
      <w:r>
        <w:rPr>
          <w:rFonts w:ascii="Tahoma" w:eastAsia="Times New Roman" w:hAnsi="Tahoma" w:cs="Tahoma"/>
          <w:bCs/>
          <w:sz w:val="16"/>
        </w:rPr>
        <w:t> </w:t>
      </w:r>
      <w:r w:rsidRPr="00C73FE2">
        <w:rPr>
          <w:rFonts w:ascii="Tahoma" w:eastAsia="Times New Roman" w:hAnsi="Tahoma" w:cs="Tahoma"/>
          <w:bCs/>
          <w:sz w:val="16"/>
        </w:rPr>
        <w:t>«Н</w:t>
      </w:r>
      <w:r>
        <w:rPr>
          <w:rFonts w:ascii="Tahoma" w:eastAsia="Times New Roman" w:hAnsi="Tahoma" w:cs="Tahoma"/>
          <w:bCs/>
          <w:sz w:val="16"/>
        </w:rPr>
        <w:t>РА</w:t>
      </w:r>
      <w:r w:rsidRPr="00C73FE2">
        <w:rPr>
          <w:rFonts w:ascii="Tahoma" w:eastAsia="Times New Roman" w:hAnsi="Tahoma" w:cs="Tahoma"/>
          <w:bCs/>
          <w:sz w:val="16"/>
        </w:rPr>
        <w:t xml:space="preserve">» </w:t>
      </w:r>
      <w:r w:rsidRPr="001940EA">
        <w:rPr>
          <w:rFonts w:ascii="Tahoma" w:eastAsia="Times New Roman" w:hAnsi="Tahoma" w:cs="Tahoma"/>
          <w:bCs/>
          <w:sz w:val="16"/>
        </w:rPr>
        <w:t>банков</w:t>
      </w:r>
      <w:r w:rsidR="0079127D">
        <w:rPr>
          <w:rFonts w:ascii="Tahoma" w:eastAsia="Times New Roman" w:hAnsi="Tahoma" w:cs="Tahoma"/>
          <w:bCs/>
          <w:sz w:val="16"/>
        </w:rPr>
        <w:t xml:space="preserve"> и</w:t>
      </w:r>
      <w:r w:rsidR="0079127D" w:rsidRPr="001940EA">
        <w:rPr>
          <w:rFonts w:ascii="Tahoma" w:eastAsia="Times New Roman" w:hAnsi="Tahoma" w:cs="Tahoma"/>
          <w:bCs/>
          <w:sz w:val="16"/>
        </w:rPr>
        <w:t xml:space="preserve"> нефинансовых компаний</w:t>
      </w:r>
      <w:r>
        <w:rPr>
          <w:rFonts w:ascii="Tahoma" w:eastAsia="Times New Roman" w:hAnsi="Tahoma" w:cs="Tahoma"/>
          <w:bCs/>
          <w:sz w:val="16"/>
        </w:rPr>
        <w:t>.</w:t>
      </w:r>
    </w:p>
  </w:footnote>
  <w:footnote w:id="4">
    <w:p w14:paraId="3A102CE5" w14:textId="77777777" w:rsidR="004C256B" w:rsidRDefault="00382438" w:rsidP="004C256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E5A40">
        <w:rPr>
          <w:rFonts w:ascii="Tahoma" w:eastAsia="Times New Roman" w:hAnsi="Tahoma" w:cs="Tahoma"/>
          <w:bCs/>
          <w:sz w:val="16"/>
        </w:rPr>
        <w:t>Облигации, условия эмиссии которых установлены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кредиторов.</w:t>
      </w:r>
    </w:p>
  </w:footnote>
  <w:footnote w:id="5">
    <w:p w14:paraId="199732CC" w14:textId="77777777" w:rsidR="00B85C0B" w:rsidRDefault="0038243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ahoma" w:eastAsia="Times New Roman" w:hAnsi="Tahoma" w:cs="Tahoma"/>
          <w:bCs/>
          <w:sz w:val="16"/>
        </w:rPr>
        <w:t>Д</w:t>
      </w:r>
      <w:r w:rsidRPr="00C73FE2">
        <w:rPr>
          <w:rFonts w:ascii="Tahoma" w:eastAsia="Times New Roman" w:hAnsi="Tahoma" w:cs="Tahoma"/>
          <w:bCs/>
          <w:sz w:val="16"/>
        </w:rPr>
        <w:t>ля целей включения и поддержания облигаций в Первом и Втором уровне</w:t>
      </w:r>
      <w:r>
        <w:rPr>
          <w:rFonts w:ascii="Tahoma" w:eastAsia="Times New Roman" w:hAnsi="Tahoma" w:cs="Tahoma"/>
          <w:bCs/>
          <w:sz w:val="16"/>
        </w:rPr>
        <w:t xml:space="preserve"> применяются к</w:t>
      </w:r>
      <w:r w:rsidRPr="00C73FE2">
        <w:rPr>
          <w:rFonts w:ascii="Tahoma" w:eastAsia="Times New Roman" w:hAnsi="Tahoma" w:cs="Tahoma"/>
          <w:bCs/>
          <w:sz w:val="16"/>
        </w:rPr>
        <w:t>редитные рейтинги ООО</w:t>
      </w:r>
      <w:r>
        <w:rPr>
          <w:rFonts w:ascii="Tahoma" w:eastAsia="Times New Roman" w:hAnsi="Tahoma" w:cs="Tahoma"/>
          <w:bCs/>
          <w:sz w:val="16"/>
        </w:rPr>
        <w:t> </w:t>
      </w:r>
      <w:r w:rsidRPr="00C73FE2">
        <w:rPr>
          <w:rFonts w:ascii="Tahoma" w:eastAsia="Times New Roman" w:hAnsi="Tahoma" w:cs="Tahoma"/>
          <w:bCs/>
          <w:sz w:val="16"/>
        </w:rPr>
        <w:t>«Н</w:t>
      </w:r>
      <w:r>
        <w:rPr>
          <w:rFonts w:ascii="Tahoma" w:eastAsia="Times New Roman" w:hAnsi="Tahoma" w:cs="Tahoma"/>
          <w:bCs/>
          <w:sz w:val="16"/>
        </w:rPr>
        <w:t>КР</w:t>
      </w:r>
      <w:r w:rsidRPr="00C73FE2">
        <w:rPr>
          <w:rFonts w:ascii="Tahoma" w:eastAsia="Times New Roman" w:hAnsi="Tahoma" w:cs="Tahoma"/>
          <w:bCs/>
          <w:sz w:val="16"/>
        </w:rPr>
        <w:t xml:space="preserve">» </w:t>
      </w:r>
      <w:r w:rsidRPr="001940EA">
        <w:rPr>
          <w:rFonts w:ascii="Tahoma" w:eastAsia="Times New Roman" w:hAnsi="Tahoma" w:cs="Tahoma"/>
          <w:bCs/>
          <w:sz w:val="16"/>
        </w:rPr>
        <w:t>банков</w:t>
      </w:r>
      <w:r>
        <w:rPr>
          <w:rFonts w:ascii="Tahoma" w:eastAsia="Times New Roman" w:hAnsi="Tahoma" w:cs="Tahoma"/>
          <w:bCs/>
          <w:sz w:val="16"/>
        </w:rPr>
        <w:t xml:space="preserve"> и</w:t>
      </w:r>
      <w:r w:rsidRPr="001940EA">
        <w:rPr>
          <w:rFonts w:ascii="Tahoma" w:eastAsia="Times New Roman" w:hAnsi="Tahoma" w:cs="Tahoma"/>
          <w:bCs/>
          <w:sz w:val="16"/>
        </w:rPr>
        <w:t xml:space="preserve"> нефинансовых компаний</w:t>
      </w:r>
      <w:r>
        <w:rPr>
          <w:rFonts w:ascii="Tahoma" w:eastAsia="Times New Roman" w:hAnsi="Tahoma" w:cs="Tahoma"/>
          <w:bCs/>
          <w:sz w:val="16"/>
        </w:rPr>
        <w:t>.</w:t>
      </w:r>
    </w:p>
  </w:footnote>
  <w:footnote w:id="6">
    <w:p w14:paraId="58847B46" w14:textId="2545E271" w:rsidR="00A22CD1" w:rsidRPr="00E7587E" w:rsidRDefault="00382438" w:rsidP="00A22CD1">
      <w:pPr>
        <w:pStyle w:val="aa"/>
        <w:rPr>
          <w:rFonts w:ascii="Tahoma" w:eastAsia="Times New Roman" w:hAnsi="Tahoma" w:cs="Tahoma"/>
          <w:bCs/>
          <w:sz w:val="16"/>
        </w:rPr>
      </w:pPr>
      <w:r>
        <w:rPr>
          <w:rStyle w:val="ac"/>
        </w:rPr>
        <w:footnoteRef/>
      </w:r>
      <w:r>
        <w:t xml:space="preserve"> </w:t>
      </w:r>
      <w:r>
        <w:rPr>
          <w:rFonts w:ascii="Tahoma" w:eastAsia="Times New Roman" w:hAnsi="Tahoma" w:cs="Tahoma"/>
          <w:bCs/>
          <w:sz w:val="16"/>
        </w:rPr>
        <w:t>Д</w:t>
      </w:r>
      <w:r w:rsidRPr="00C73FE2">
        <w:rPr>
          <w:rFonts w:ascii="Tahoma" w:eastAsia="Times New Roman" w:hAnsi="Tahoma" w:cs="Tahoma"/>
          <w:bCs/>
          <w:sz w:val="16"/>
        </w:rPr>
        <w:t>ля целей включения и поддержания облигаций в Первом и Втором уровне</w:t>
      </w:r>
      <w:r>
        <w:rPr>
          <w:rFonts w:ascii="Tahoma" w:eastAsia="Times New Roman" w:hAnsi="Tahoma" w:cs="Tahoma"/>
          <w:bCs/>
          <w:sz w:val="16"/>
        </w:rPr>
        <w:t xml:space="preserve"> применяются к</w:t>
      </w:r>
      <w:r w:rsidRPr="00C73FE2">
        <w:rPr>
          <w:rFonts w:ascii="Tahoma" w:eastAsia="Times New Roman" w:hAnsi="Tahoma" w:cs="Tahoma"/>
          <w:bCs/>
          <w:sz w:val="16"/>
        </w:rPr>
        <w:t>редитные рейтинги ООО</w:t>
      </w:r>
      <w:r>
        <w:rPr>
          <w:rFonts w:ascii="Tahoma" w:eastAsia="Times New Roman" w:hAnsi="Tahoma" w:cs="Tahoma"/>
          <w:bCs/>
          <w:sz w:val="16"/>
        </w:rPr>
        <w:t> </w:t>
      </w:r>
      <w:r w:rsidRPr="00C73FE2">
        <w:rPr>
          <w:rFonts w:ascii="Tahoma" w:eastAsia="Times New Roman" w:hAnsi="Tahoma" w:cs="Tahoma"/>
          <w:bCs/>
          <w:sz w:val="16"/>
        </w:rPr>
        <w:t>«Н</w:t>
      </w:r>
      <w:r>
        <w:rPr>
          <w:rFonts w:ascii="Tahoma" w:eastAsia="Times New Roman" w:hAnsi="Tahoma" w:cs="Tahoma"/>
          <w:bCs/>
          <w:sz w:val="16"/>
        </w:rPr>
        <w:t>РА</w:t>
      </w:r>
      <w:r w:rsidRPr="00C73FE2">
        <w:rPr>
          <w:rFonts w:ascii="Tahoma" w:eastAsia="Times New Roman" w:hAnsi="Tahoma" w:cs="Tahoma"/>
          <w:bCs/>
          <w:sz w:val="16"/>
        </w:rPr>
        <w:t xml:space="preserve">» </w:t>
      </w:r>
      <w:r w:rsidRPr="001940EA">
        <w:rPr>
          <w:rFonts w:ascii="Tahoma" w:eastAsia="Times New Roman" w:hAnsi="Tahoma" w:cs="Tahoma"/>
          <w:bCs/>
          <w:sz w:val="16"/>
        </w:rPr>
        <w:t>банков</w:t>
      </w:r>
      <w:r w:rsidR="0079127D">
        <w:rPr>
          <w:rFonts w:ascii="Tahoma" w:eastAsia="Times New Roman" w:hAnsi="Tahoma" w:cs="Tahoma"/>
          <w:bCs/>
          <w:sz w:val="16"/>
        </w:rPr>
        <w:t xml:space="preserve"> и</w:t>
      </w:r>
      <w:r w:rsidR="0079127D" w:rsidRPr="001940EA">
        <w:rPr>
          <w:rFonts w:ascii="Tahoma" w:eastAsia="Times New Roman" w:hAnsi="Tahoma" w:cs="Tahoma"/>
          <w:bCs/>
          <w:sz w:val="16"/>
        </w:rPr>
        <w:t xml:space="preserve"> нефинансовых компаний</w:t>
      </w:r>
      <w:r>
        <w:rPr>
          <w:rFonts w:ascii="Tahoma" w:eastAsia="Times New Roman" w:hAnsi="Tahoma" w:cs="Tahoma"/>
          <w:bCs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BFC"/>
    <w:multiLevelType w:val="hybridMultilevel"/>
    <w:tmpl w:val="8D743BB8"/>
    <w:lvl w:ilvl="0" w:tplc="9B06D178">
      <w:start w:val="1"/>
      <w:numFmt w:val="decimal"/>
      <w:lvlText w:val="%1."/>
      <w:lvlJc w:val="left"/>
      <w:pPr>
        <w:ind w:left="720" w:hanging="360"/>
      </w:pPr>
    </w:lvl>
    <w:lvl w:ilvl="1" w:tplc="8E806A24" w:tentative="1">
      <w:start w:val="1"/>
      <w:numFmt w:val="lowerLetter"/>
      <w:lvlText w:val="%2."/>
      <w:lvlJc w:val="left"/>
      <w:pPr>
        <w:ind w:left="1440" w:hanging="360"/>
      </w:pPr>
    </w:lvl>
    <w:lvl w:ilvl="2" w:tplc="610C99AC" w:tentative="1">
      <w:start w:val="1"/>
      <w:numFmt w:val="lowerRoman"/>
      <w:lvlText w:val="%3."/>
      <w:lvlJc w:val="right"/>
      <w:pPr>
        <w:ind w:left="2160" w:hanging="180"/>
      </w:pPr>
    </w:lvl>
    <w:lvl w:ilvl="3" w:tplc="E6E6AEC8" w:tentative="1">
      <w:start w:val="1"/>
      <w:numFmt w:val="decimal"/>
      <w:lvlText w:val="%4."/>
      <w:lvlJc w:val="left"/>
      <w:pPr>
        <w:ind w:left="2880" w:hanging="360"/>
      </w:pPr>
    </w:lvl>
    <w:lvl w:ilvl="4" w:tplc="BD4C8DDE" w:tentative="1">
      <w:start w:val="1"/>
      <w:numFmt w:val="lowerLetter"/>
      <w:lvlText w:val="%5."/>
      <w:lvlJc w:val="left"/>
      <w:pPr>
        <w:ind w:left="3600" w:hanging="360"/>
      </w:pPr>
    </w:lvl>
    <w:lvl w:ilvl="5" w:tplc="EAC404A4" w:tentative="1">
      <w:start w:val="1"/>
      <w:numFmt w:val="lowerRoman"/>
      <w:lvlText w:val="%6."/>
      <w:lvlJc w:val="right"/>
      <w:pPr>
        <w:ind w:left="4320" w:hanging="180"/>
      </w:pPr>
    </w:lvl>
    <w:lvl w:ilvl="6" w:tplc="861E8D7C" w:tentative="1">
      <w:start w:val="1"/>
      <w:numFmt w:val="decimal"/>
      <w:lvlText w:val="%7."/>
      <w:lvlJc w:val="left"/>
      <w:pPr>
        <w:ind w:left="5040" w:hanging="360"/>
      </w:pPr>
    </w:lvl>
    <w:lvl w:ilvl="7" w:tplc="62642BF2" w:tentative="1">
      <w:start w:val="1"/>
      <w:numFmt w:val="lowerLetter"/>
      <w:lvlText w:val="%8."/>
      <w:lvlJc w:val="left"/>
      <w:pPr>
        <w:ind w:left="5760" w:hanging="360"/>
      </w:pPr>
    </w:lvl>
    <w:lvl w:ilvl="8" w:tplc="71D20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078"/>
    <w:multiLevelType w:val="hybridMultilevel"/>
    <w:tmpl w:val="8160AF4A"/>
    <w:lvl w:ilvl="0" w:tplc="47DC5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E6B7EA" w:tentative="1">
      <w:start w:val="1"/>
      <w:numFmt w:val="lowerLetter"/>
      <w:lvlText w:val="%2."/>
      <w:lvlJc w:val="left"/>
      <w:pPr>
        <w:ind w:left="1080" w:hanging="360"/>
      </w:pPr>
    </w:lvl>
    <w:lvl w:ilvl="2" w:tplc="14CE7CDC" w:tentative="1">
      <w:start w:val="1"/>
      <w:numFmt w:val="lowerRoman"/>
      <w:lvlText w:val="%3."/>
      <w:lvlJc w:val="right"/>
      <w:pPr>
        <w:ind w:left="1800" w:hanging="180"/>
      </w:pPr>
    </w:lvl>
    <w:lvl w:ilvl="3" w:tplc="91CE1924" w:tentative="1">
      <w:start w:val="1"/>
      <w:numFmt w:val="decimal"/>
      <w:lvlText w:val="%4."/>
      <w:lvlJc w:val="left"/>
      <w:pPr>
        <w:ind w:left="2520" w:hanging="360"/>
      </w:pPr>
    </w:lvl>
    <w:lvl w:ilvl="4" w:tplc="B936E0AE" w:tentative="1">
      <w:start w:val="1"/>
      <w:numFmt w:val="lowerLetter"/>
      <w:lvlText w:val="%5."/>
      <w:lvlJc w:val="left"/>
      <w:pPr>
        <w:ind w:left="3240" w:hanging="360"/>
      </w:pPr>
    </w:lvl>
    <w:lvl w:ilvl="5" w:tplc="2F72B8A2" w:tentative="1">
      <w:start w:val="1"/>
      <w:numFmt w:val="lowerRoman"/>
      <w:lvlText w:val="%6."/>
      <w:lvlJc w:val="right"/>
      <w:pPr>
        <w:ind w:left="3960" w:hanging="180"/>
      </w:pPr>
    </w:lvl>
    <w:lvl w:ilvl="6" w:tplc="B2B8B7CC" w:tentative="1">
      <w:start w:val="1"/>
      <w:numFmt w:val="decimal"/>
      <w:lvlText w:val="%7."/>
      <w:lvlJc w:val="left"/>
      <w:pPr>
        <w:ind w:left="4680" w:hanging="360"/>
      </w:pPr>
    </w:lvl>
    <w:lvl w:ilvl="7" w:tplc="933CF080" w:tentative="1">
      <w:start w:val="1"/>
      <w:numFmt w:val="lowerLetter"/>
      <w:lvlText w:val="%8."/>
      <w:lvlJc w:val="left"/>
      <w:pPr>
        <w:ind w:left="5400" w:hanging="360"/>
      </w:pPr>
    </w:lvl>
    <w:lvl w:ilvl="8" w:tplc="033C7C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E4177"/>
    <w:multiLevelType w:val="hybridMultilevel"/>
    <w:tmpl w:val="204C4910"/>
    <w:lvl w:ilvl="0" w:tplc="9C6ED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EAF12" w:tentative="1">
      <w:start w:val="1"/>
      <w:numFmt w:val="lowerLetter"/>
      <w:lvlText w:val="%2."/>
      <w:lvlJc w:val="left"/>
      <w:pPr>
        <w:ind w:left="1440" w:hanging="360"/>
      </w:pPr>
    </w:lvl>
    <w:lvl w:ilvl="2" w:tplc="CEFAEBDE" w:tentative="1">
      <w:start w:val="1"/>
      <w:numFmt w:val="lowerRoman"/>
      <w:lvlText w:val="%3."/>
      <w:lvlJc w:val="right"/>
      <w:pPr>
        <w:ind w:left="2160" w:hanging="180"/>
      </w:pPr>
    </w:lvl>
    <w:lvl w:ilvl="3" w:tplc="5B02EAD0" w:tentative="1">
      <w:start w:val="1"/>
      <w:numFmt w:val="decimal"/>
      <w:lvlText w:val="%4."/>
      <w:lvlJc w:val="left"/>
      <w:pPr>
        <w:ind w:left="2880" w:hanging="360"/>
      </w:pPr>
    </w:lvl>
    <w:lvl w:ilvl="4" w:tplc="CE901CCE" w:tentative="1">
      <w:start w:val="1"/>
      <w:numFmt w:val="lowerLetter"/>
      <w:lvlText w:val="%5."/>
      <w:lvlJc w:val="left"/>
      <w:pPr>
        <w:ind w:left="3600" w:hanging="360"/>
      </w:pPr>
    </w:lvl>
    <w:lvl w:ilvl="5" w:tplc="4C28222E" w:tentative="1">
      <w:start w:val="1"/>
      <w:numFmt w:val="lowerRoman"/>
      <w:lvlText w:val="%6."/>
      <w:lvlJc w:val="right"/>
      <w:pPr>
        <w:ind w:left="4320" w:hanging="180"/>
      </w:pPr>
    </w:lvl>
    <w:lvl w:ilvl="6" w:tplc="B7DE3BF6" w:tentative="1">
      <w:start w:val="1"/>
      <w:numFmt w:val="decimal"/>
      <w:lvlText w:val="%7."/>
      <w:lvlJc w:val="left"/>
      <w:pPr>
        <w:ind w:left="5040" w:hanging="360"/>
      </w:pPr>
    </w:lvl>
    <w:lvl w:ilvl="7" w:tplc="DDCC873A" w:tentative="1">
      <w:start w:val="1"/>
      <w:numFmt w:val="lowerLetter"/>
      <w:lvlText w:val="%8."/>
      <w:lvlJc w:val="left"/>
      <w:pPr>
        <w:ind w:left="5760" w:hanging="360"/>
      </w:pPr>
    </w:lvl>
    <w:lvl w:ilvl="8" w:tplc="4E0EE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3B8"/>
    <w:multiLevelType w:val="hybridMultilevel"/>
    <w:tmpl w:val="3B8E0BDC"/>
    <w:lvl w:ilvl="0" w:tplc="B4B05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884B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B821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F28F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AC44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73603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0A86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60BE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C00B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B93512"/>
    <w:multiLevelType w:val="hybridMultilevel"/>
    <w:tmpl w:val="8398F71C"/>
    <w:lvl w:ilvl="0" w:tplc="51D60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EC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EB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0F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AA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09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6A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42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2C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6FDF"/>
    <w:multiLevelType w:val="hybridMultilevel"/>
    <w:tmpl w:val="DC9E5394"/>
    <w:lvl w:ilvl="0" w:tplc="DAD49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5CC104" w:tentative="1">
      <w:start w:val="1"/>
      <w:numFmt w:val="lowerLetter"/>
      <w:lvlText w:val="%2."/>
      <w:lvlJc w:val="left"/>
      <w:pPr>
        <w:ind w:left="1440" w:hanging="360"/>
      </w:pPr>
    </w:lvl>
    <w:lvl w:ilvl="2" w:tplc="5CAA752E" w:tentative="1">
      <w:start w:val="1"/>
      <w:numFmt w:val="lowerRoman"/>
      <w:lvlText w:val="%3."/>
      <w:lvlJc w:val="right"/>
      <w:pPr>
        <w:ind w:left="2160" w:hanging="180"/>
      </w:pPr>
    </w:lvl>
    <w:lvl w:ilvl="3" w:tplc="DAC44EE0" w:tentative="1">
      <w:start w:val="1"/>
      <w:numFmt w:val="decimal"/>
      <w:lvlText w:val="%4."/>
      <w:lvlJc w:val="left"/>
      <w:pPr>
        <w:ind w:left="2880" w:hanging="360"/>
      </w:pPr>
    </w:lvl>
    <w:lvl w:ilvl="4" w:tplc="4348B2A4" w:tentative="1">
      <w:start w:val="1"/>
      <w:numFmt w:val="lowerLetter"/>
      <w:lvlText w:val="%5."/>
      <w:lvlJc w:val="left"/>
      <w:pPr>
        <w:ind w:left="3600" w:hanging="360"/>
      </w:pPr>
    </w:lvl>
    <w:lvl w:ilvl="5" w:tplc="BDC492FE" w:tentative="1">
      <w:start w:val="1"/>
      <w:numFmt w:val="lowerRoman"/>
      <w:lvlText w:val="%6."/>
      <w:lvlJc w:val="right"/>
      <w:pPr>
        <w:ind w:left="4320" w:hanging="180"/>
      </w:pPr>
    </w:lvl>
    <w:lvl w:ilvl="6" w:tplc="B77CAFF0" w:tentative="1">
      <w:start w:val="1"/>
      <w:numFmt w:val="decimal"/>
      <w:lvlText w:val="%7."/>
      <w:lvlJc w:val="left"/>
      <w:pPr>
        <w:ind w:left="5040" w:hanging="360"/>
      </w:pPr>
    </w:lvl>
    <w:lvl w:ilvl="7" w:tplc="36F4A72A" w:tentative="1">
      <w:start w:val="1"/>
      <w:numFmt w:val="lowerLetter"/>
      <w:lvlText w:val="%8."/>
      <w:lvlJc w:val="left"/>
      <w:pPr>
        <w:ind w:left="5760" w:hanging="360"/>
      </w:pPr>
    </w:lvl>
    <w:lvl w:ilvl="8" w:tplc="64082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B021C"/>
    <w:multiLevelType w:val="hybridMultilevel"/>
    <w:tmpl w:val="3740E7CE"/>
    <w:lvl w:ilvl="0" w:tplc="25404BCA">
      <w:start w:val="1"/>
      <w:numFmt w:val="decimal"/>
      <w:lvlText w:val="%1."/>
      <w:lvlJc w:val="left"/>
      <w:pPr>
        <w:ind w:left="720" w:hanging="360"/>
      </w:pPr>
    </w:lvl>
    <w:lvl w:ilvl="1" w:tplc="E586F346" w:tentative="1">
      <w:start w:val="1"/>
      <w:numFmt w:val="lowerLetter"/>
      <w:lvlText w:val="%2."/>
      <w:lvlJc w:val="left"/>
      <w:pPr>
        <w:ind w:left="1440" w:hanging="360"/>
      </w:pPr>
    </w:lvl>
    <w:lvl w:ilvl="2" w:tplc="5406E380" w:tentative="1">
      <w:start w:val="1"/>
      <w:numFmt w:val="lowerRoman"/>
      <w:lvlText w:val="%3."/>
      <w:lvlJc w:val="right"/>
      <w:pPr>
        <w:ind w:left="2160" w:hanging="180"/>
      </w:pPr>
    </w:lvl>
    <w:lvl w:ilvl="3" w:tplc="413879AA" w:tentative="1">
      <w:start w:val="1"/>
      <w:numFmt w:val="decimal"/>
      <w:lvlText w:val="%4."/>
      <w:lvlJc w:val="left"/>
      <w:pPr>
        <w:ind w:left="2880" w:hanging="360"/>
      </w:pPr>
    </w:lvl>
    <w:lvl w:ilvl="4" w:tplc="DCAE9AA2" w:tentative="1">
      <w:start w:val="1"/>
      <w:numFmt w:val="lowerLetter"/>
      <w:lvlText w:val="%5."/>
      <w:lvlJc w:val="left"/>
      <w:pPr>
        <w:ind w:left="3600" w:hanging="360"/>
      </w:pPr>
    </w:lvl>
    <w:lvl w:ilvl="5" w:tplc="CCB2641C" w:tentative="1">
      <w:start w:val="1"/>
      <w:numFmt w:val="lowerRoman"/>
      <w:lvlText w:val="%6."/>
      <w:lvlJc w:val="right"/>
      <w:pPr>
        <w:ind w:left="4320" w:hanging="180"/>
      </w:pPr>
    </w:lvl>
    <w:lvl w:ilvl="6" w:tplc="FEA4A02C" w:tentative="1">
      <w:start w:val="1"/>
      <w:numFmt w:val="decimal"/>
      <w:lvlText w:val="%7."/>
      <w:lvlJc w:val="left"/>
      <w:pPr>
        <w:ind w:left="5040" w:hanging="360"/>
      </w:pPr>
    </w:lvl>
    <w:lvl w:ilvl="7" w:tplc="63A06570" w:tentative="1">
      <w:start w:val="1"/>
      <w:numFmt w:val="lowerLetter"/>
      <w:lvlText w:val="%8."/>
      <w:lvlJc w:val="left"/>
      <w:pPr>
        <w:ind w:left="5760" w:hanging="360"/>
      </w:pPr>
    </w:lvl>
    <w:lvl w:ilvl="8" w:tplc="DEE0C0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F4"/>
    <w:rsid w:val="0007033E"/>
    <w:rsid w:val="000E6936"/>
    <w:rsid w:val="001217DA"/>
    <w:rsid w:val="00193E5F"/>
    <w:rsid w:val="001940EA"/>
    <w:rsid w:val="001C0679"/>
    <w:rsid w:val="001E41FC"/>
    <w:rsid w:val="00236447"/>
    <w:rsid w:val="00284180"/>
    <w:rsid w:val="002C69C4"/>
    <w:rsid w:val="002E68DF"/>
    <w:rsid w:val="0035213A"/>
    <w:rsid w:val="00364109"/>
    <w:rsid w:val="00382438"/>
    <w:rsid w:val="003D7D9D"/>
    <w:rsid w:val="00437CAF"/>
    <w:rsid w:val="004A4ECD"/>
    <w:rsid w:val="004C256B"/>
    <w:rsid w:val="004D4E95"/>
    <w:rsid w:val="004F5D62"/>
    <w:rsid w:val="005013A9"/>
    <w:rsid w:val="005441F7"/>
    <w:rsid w:val="0058255D"/>
    <w:rsid w:val="005969B1"/>
    <w:rsid w:val="005B32D8"/>
    <w:rsid w:val="005B5030"/>
    <w:rsid w:val="00604AEE"/>
    <w:rsid w:val="0065270B"/>
    <w:rsid w:val="00667579"/>
    <w:rsid w:val="00672858"/>
    <w:rsid w:val="0068463B"/>
    <w:rsid w:val="00685031"/>
    <w:rsid w:val="006B7ECD"/>
    <w:rsid w:val="00724A0E"/>
    <w:rsid w:val="00754B90"/>
    <w:rsid w:val="00754C2C"/>
    <w:rsid w:val="00775857"/>
    <w:rsid w:val="0079127D"/>
    <w:rsid w:val="00792A01"/>
    <w:rsid w:val="007E4885"/>
    <w:rsid w:val="008128BC"/>
    <w:rsid w:val="008329CD"/>
    <w:rsid w:val="008426B3"/>
    <w:rsid w:val="00851C82"/>
    <w:rsid w:val="008601D3"/>
    <w:rsid w:val="00875603"/>
    <w:rsid w:val="0089020E"/>
    <w:rsid w:val="0097476A"/>
    <w:rsid w:val="009D2255"/>
    <w:rsid w:val="00A0794C"/>
    <w:rsid w:val="00A20514"/>
    <w:rsid w:val="00A22CD1"/>
    <w:rsid w:val="00A2437E"/>
    <w:rsid w:val="00A41752"/>
    <w:rsid w:val="00A73BF9"/>
    <w:rsid w:val="00A8104E"/>
    <w:rsid w:val="00A8650A"/>
    <w:rsid w:val="00AB4857"/>
    <w:rsid w:val="00AE18F4"/>
    <w:rsid w:val="00B85C0B"/>
    <w:rsid w:val="00B9016D"/>
    <w:rsid w:val="00B95371"/>
    <w:rsid w:val="00BA4775"/>
    <w:rsid w:val="00BB6178"/>
    <w:rsid w:val="00BE3262"/>
    <w:rsid w:val="00C27770"/>
    <w:rsid w:val="00C73FE2"/>
    <w:rsid w:val="00C82E54"/>
    <w:rsid w:val="00CA7FF3"/>
    <w:rsid w:val="00D03D62"/>
    <w:rsid w:val="00D5244A"/>
    <w:rsid w:val="00D702FB"/>
    <w:rsid w:val="00D92ED4"/>
    <w:rsid w:val="00DA2C0B"/>
    <w:rsid w:val="00DE229E"/>
    <w:rsid w:val="00E04765"/>
    <w:rsid w:val="00E11C2E"/>
    <w:rsid w:val="00E63B9E"/>
    <w:rsid w:val="00E7587E"/>
    <w:rsid w:val="00E7792D"/>
    <w:rsid w:val="00E85C55"/>
    <w:rsid w:val="00EB10DA"/>
    <w:rsid w:val="00ED078B"/>
    <w:rsid w:val="00EE5A40"/>
    <w:rsid w:val="00EF4209"/>
    <w:rsid w:val="00F00DDD"/>
    <w:rsid w:val="00F07503"/>
    <w:rsid w:val="00F417DA"/>
    <w:rsid w:val="00F7534A"/>
    <w:rsid w:val="00F775C7"/>
    <w:rsid w:val="00FA2ADD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4321"/>
  <w15:docId w15:val="{31C29C51-82A7-4DEA-B60A-E3564419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61F1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61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9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9D4A1-864D-44E4-8016-383CB9CEB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B8B67-9F54-45DA-A379-09DC1F5C6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D9FB2-8E10-42DC-8E43-9AAEFB974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C0959-0D80-462C-9CFD-57198812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Шестакова Юлия Владимировна</cp:lastModifiedBy>
  <cp:revision>5</cp:revision>
  <cp:lastPrinted>2018-08-16T13:01:00Z</cp:lastPrinted>
  <dcterms:created xsi:type="dcterms:W3CDTF">2023-07-11T08:29:00Z</dcterms:created>
  <dcterms:modified xsi:type="dcterms:W3CDTF">2023-07-25T12:48:00Z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