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6" w:rsidRPr="005802F6" w:rsidRDefault="005802F6" w:rsidP="0058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вопросам 1-2 повестки дня </w:t>
      </w:r>
    </w:p>
    <w:p w:rsidR="005802F6" w:rsidRPr="005802F6" w:rsidRDefault="005802F6" w:rsidP="0058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 Общего собрания акционеров</w:t>
      </w:r>
    </w:p>
    <w:p w:rsidR="005802F6" w:rsidRPr="005802F6" w:rsidRDefault="005802F6" w:rsidP="0058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Биржа,</w:t>
      </w:r>
    </w:p>
    <w:p w:rsidR="005802F6" w:rsidRPr="005802F6" w:rsidRDefault="005802F6" w:rsidP="0058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путем заочного голосования</w:t>
      </w:r>
    </w:p>
    <w:p w:rsidR="005802F6" w:rsidRPr="005802F6" w:rsidRDefault="005802F6" w:rsidP="0058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F6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 2017 г.</w:t>
      </w:r>
    </w:p>
    <w:p w:rsidR="005802F6" w:rsidRPr="00931AB0" w:rsidRDefault="005802F6" w:rsidP="00580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2F6" w:rsidRPr="00036AAF" w:rsidRDefault="005802F6" w:rsidP="00064A6E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AF">
        <w:rPr>
          <w:rFonts w:ascii="Times New Roman" w:hAnsi="Times New Roman" w:cs="Times New Roman"/>
          <w:b/>
          <w:sz w:val="24"/>
          <w:szCs w:val="24"/>
        </w:rPr>
        <w:t>О распределении нераспределенной прибыли ПАО Московская Биржа прошлых лет</w:t>
      </w:r>
      <w:r w:rsidR="00036AAF" w:rsidRPr="0003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AF">
        <w:rPr>
          <w:rFonts w:ascii="Times New Roman" w:hAnsi="Times New Roman" w:cs="Times New Roman"/>
          <w:b/>
          <w:sz w:val="24"/>
          <w:szCs w:val="24"/>
        </w:rPr>
        <w:t>на выплату дивидендов.</w:t>
      </w:r>
    </w:p>
    <w:p w:rsidR="005802F6" w:rsidRPr="005802F6" w:rsidRDefault="005802F6" w:rsidP="005802F6">
      <w:pPr>
        <w:spacing w:before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F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802F6">
        <w:rPr>
          <w:rFonts w:ascii="Times New Roman" w:hAnsi="Times New Roman" w:cs="Times New Roman"/>
          <w:b/>
          <w:sz w:val="24"/>
          <w:szCs w:val="24"/>
        </w:rPr>
        <w:t>О выплате (объявлении) дивидендов ПАО Московская Биржа</w:t>
      </w:r>
      <w:r w:rsidRPr="005802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2F6" w:rsidRPr="00931AB0" w:rsidRDefault="005802F6" w:rsidP="005802F6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акционерных обществах»</w:t>
      </w:r>
      <w:r w:rsidRPr="00931AB0">
        <w:rPr>
          <w:rFonts w:ascii="Times New Roman" w:hAnsi="Times New Roman" w:cs="Times New Roman"/>
          <w:sz w:val="24"/>
          <w:szCs w:val="24"/>
        </w:rPr>
        <w:t xml:space="preserve"> принятие решения о распределении прибыли, в том числе выплате (объявлении) дивидендов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AB0">
        <w:rPr>
          <w:rFonts w:ascii="Times New Roman" w:hAnsi="Times New Roman" w:cs="Times New Roman"/>
          <w:sz w:val="24"/>
          <w:szCs w:val="24"/>
        </w:rPr>
        <w:t xml:space="preserve"> отнесено к компетенции общего собрания акционеров общества. При этом рекомендации общему собранию </w:t>
      </w:r>
      <w:r w:rsidR="00036AAF">
        <w:rPr>
          <w:rFonts w:ascii="Times New Roman" w:hAnsi="Times New Roman" w:cs="Times New Roman"/>
          <w:sz w:val="24"/>
          <w:szCs w:val="24"/>
        </w:rPr>
        <w:t xml:space="preserve">по данным вопросам </w:t>
      </w:r>
      <w:r w:rsidRPr="00931AB0">
        <w:rPr>
          <w:rFonts w:ascii="Times New Roman" w:hAnsi="Times New Roman" w:cs="Times New Roman"/>
          <w:sz w:val="24"/>
          <w:szCs w:val="24"/>
        </w:rPr>
        <w:t xml:space="preserve">находятся в компетенции Наблюдательного совета общества. </w:t>
      </w:r>
    </w:p>
    <w:p w:rsidR="00EE629B" w:rsidRDefault="00C8445E" w:rsidP="00EE629B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Наблюдательным советом было принято решение </w:t>
      </w:r>
      <w:r w:rsidR="00EE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внеочередному Общему собранию акционеров направить на выплату дивидендов </w:t>
      </w:r>
      <w:r w:rsidR="00EE629B">
        <w:rPr>
          <w:rFonts w:ascii="Times New Roman" w:eastAsia="Times New Roman" w:hAnsi="Times New Roman"/>
          <w:sz w:val="24"/>
          <w:szCs w:val="24"/>
        </w:rPr>
        <w:t xml:space="preserve">55% </w:t>
      </w:r>
      <w:r w:rsidR="00EE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E629B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чист</w:t>
      </w:r>
      <w:r w:rsidR="00EE629B">
        <w:rPr>
          <w:rFonts w:ascii="Times New Roman" w:hAnsi="Times New Roman" w:cs="Times New Roman"/>
          <w:bCs/>
          <w:sz w:val="24"/>
          <w:szCs w:val="24"/>
          <w:lang w:eastAsia="x-none"/>
        </w:rPr>
        <w:t>ой</w:t>
      </w:r>
      <w:r w:rsidR="00EE629B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прибыл</w:t>
      </w:r>
      <w:r w:rsidR="00EE629B">
        <w:rPr>
          <w:rFonts w:ascii="Times New Roman" w:hAnsi="Times New Roman" w:cs="Times New Roman"/>
          <w:bCs/>
          <w:sz w:val="24"/>
          <w:szCs w:val="24"/>
          <w:lang w:eastAsia="x-none"/>
        </w:rPr>
        <w:t>и</w:t>
      </w:r>
      <w:r w:rsidR="00EE629B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Группы «Московская Биржа» </w:t>
      </w:r>
      <w:r w:rsidR="00EE629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по МСФО </w:t>
      </w:r>
      <w:r w:rsidR="00EE629B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по результатам шести месяцев 2017 года</w:t>
      </w:r>
      <w:r w:rsidR="00EE629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в соответствии с Дивидендной политикой Биржи. </w:t>
      </w:r>
    </w:p>
    <w:p w:rsidR="00754116" w:rsidRPr="008860FA" w:rsidRDefault="00754116" w:rsidP="005802F6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Согласно Консолидированной финансовой отчетности по МСФО, чистая прибыль Группы «Московская Биржа» по результатам шести месяцев 2017 года составила 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10 297 648 500</w:t>
      </w:r>
      <w:r w:rsidR="00DC50AC" w:rsidRPr="004E386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C8445E">
        <w:rPr>
          <w:rFonts w:ascii="Times New Roman" w:hAnsi="Times New Roman" w:cs="Times New Roman"/>
          <w:bCs/>
          <w:sz w:val="24"/>
          <w:szCs w:val="24"/>
          <w:lang w:eastAsia="x-none"/>
        </w:rPr>
        <w:t>руб</w:t>
      </w:r>
      <w:r w:rsidR="00A024A9">
        <w:rPr>
          <w:rFonts w:ascii="Times New Roman" w:hAnsi="Times New Roman" w:cs="Times New Roman"/>
          <w:bCs/>
          <w:sz w:val="24"/>
          <w:szCs w:val="24"/>
          <w:lang w:eastAsia="x-none"/>
        </w:rPr>
        <w:t>., соответственно</w:t>
      </w:r>
      <w:r w:rsidR="005802F6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="00A024A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55% от этой суммы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состав</w:t>
      </w:r>
      <w:r w:rsidR="00A024A9">
        <w:rPr>
          <w:rFonts w:ascii="Times New Roman" w:hAnsi="Times New Roman" w:cs="Times New Roman"/>
          <w:bCs/>
          <w:sz w:val="24"/>
          <w:szCs w:val="24"/>
          <w:lang w:eastAsia="x-none"/>
        </w:rPr>
        <w:t>ляет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5 663 706 675 </w:t>
      </w:r>
      <w:r w:rsidR="00D56137">
        <w:rPr>
          <w:rFonts w:ascii="Times New Roman" w:hAnsi="Times New Roman" w:cs="Times New Roman"/>
          <w:bCs/>
          <w:sz w:val="24"/>
          <w:szCs w:val="24"/>
          <w:lang w:eastAsia="x-none"/>
        </w:rPr>
        <w:t>руб.</w:t>
      </w:r>
    </w:p>
    <w:p w:rsidR="00754116" w:rsidRDefault="00754116" w:rsidP="005802F6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Общее количество размещенных обыкновенных именных акций ПАО Московская Биржа составляет 2 276 401 458 штук. Таким образом, расчетный размер дивидендов на одну акцию составит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2,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4880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рубля на одну акцию.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Учитывая, что размер дивиденда на одну акцию может содержать только целое число копеек, предлагается определить его в размере 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49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рубля на одну акцию, что составит общую сумму дивидендов в размере 5 668 239 630,42 рубл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я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или 55,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04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% консолидированной чистой прибыли за 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первое полугодие 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>201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год</w:t>
      </w:r>
      <w:r w:rsidR="00DC50AC">
        <w:rPr>
          <w:rFonts w:ascii="Times New Roman" w:hAnsi="Times New Roman" w:cs="Times New Roman"/>
          <w:bCs/>
          <w:sz w:val="24"/>
          <w:szCs w:val="24"/>
          <w:lang w:eastAsia="x-none"/>
        </w:rPr>
        <w:t>а</w:t>
      </w:r>
      <w:r w:rsidR="00DC50AC" w:rsidRPr="0052552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по МСФО.</w:t>
      </w:r>
    </w:p>
    <w:p w:rsidR="0015581B" w:rsidRPr="0015581B" w:rsidRDefault="00D56137" w:rsidP="005802F6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Размер дивидендов </w:t>
      </w:r>
      <w:r w:rsidR="000A6D96"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Группы </w:t>
      </w:r>
      <w:r w:rsidR="000A6D96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«Московская Биржа» </w:t>
      </w:r>
      <w:r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рассчитывается от чистой прибыли Группы </w:t>
      </w:r>
      <w:r w:rsidR="00EC0D9A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«Московская Биржа»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по МСФО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которая консолидирует </w:t>
      </w:r>
      <w:r w:rsidR="00A024A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результаты всех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дочерних компаний</w:t>
      </w:r>
      <w:r w:rsidR="003643A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A024A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Биржи </w:t>
      </w:r>
      <w:r w:rsidR="003643A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– </w:t>
      </w:r>
      <w:r w:rsidR="0015581B"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Банка </w:t>
      </w:r>
      <w:r w:rsidR="00A05077">
        <w:rPr>
          <w:rFonts w:ascii="Times New Roman" w:hAnsi="Times New Roman" w:cs="Times New Roman"/>
          <w:bCs/>
          <w:sz w:val="24"/>
          <w:szCs w:val="24"/>
          <w:lang w:eastAsia="x-none"/>
        </w:rPr>
        <w:t>«</w:t>
      </w:r>
      <w:r w:rsidR="0015581B"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>Национальн</w:t>
      </w:r>
      <w:r w:rsidR="004E6A2E">
        <w:rPr>
          <w:rFonts w:ascii="Times New Roman" w:hAnsi="Times New Roman" w:cs="Times New Roman"/>
          <w:bCs/>
          <w:sz w:val="24"/>
          <w:szCs w:val="24"/>
          <w:lang w:eastAsia="x-none"/>
        </w:rPr>
        <w:t>ый Клиринговый</w:t>
      </w:r>
      <w:r w:rsidR="00A0507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Центр»</w:t>
      </w:r>
      <w:r w:rsidR="0015581B" w:rsidRPr="0015581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(АО) и НКО АО «Национальный расчетный депозитарий»</w:t>
      </w:r>
      <w:r w:rsidR="00EC0D9A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5943AF" w:rsidRDefault="00D56137" w:rsidP="005802F6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ыплачиваются дивиденды Группы </w:t>
      </w:r>
      <w:r w:rsidR="00EC0D9A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«Московская Биржа» </w:t>
      </w:r>
      <w:r>
        <w:rPr>
          <w:rFonts w:ascii="Times New Roman" w:hAnsi="Times New Roman" w:cs="Times New Roman"/>
          <w:sz w:val="24"/>
          <w:szCs w:val="24"/>
        </w:rPr>
        <w:t xml:space="preserve">из чистой прибыли </w:t>
      </w:r>
      <w:r w:rsidR="000A6D96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ПАО</w:t>
      </w:r>
      <w:r w:rsidR="00036AAF">
        <w:rPr>
          <w:rFonts w:ascii="Times New Roman" w:hAnsi="Times New Roman" w:cs="Times New Roman"/>
          <w:bCs/>
          <w:sz w:val="24"/>
          <w:szCs w:val="24"/>
          <w:lang w:eastAsia="x-none"/>
        </w:rPr>
        <w:t> 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Московская Биржа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6D96">
        <w:rPr>
          <w:rFonts w:ascii="Times New Roman" w:hAnsi="Times New Roman" w:cs="Times New Roman"/>
          <w:sz w:val="24"/>
          <w:szCs w:val="24"/>
        </w:rPr>
        <w:t>рассчитанной</w:t>
      </w:r>
      <w:r>
        <w:rPr>
          <w:rFonts w:ascii="Times New Roman" w:hAnsi="Times New Roman" w:cs="Times New Roman"/>
          <w:sz w:val="24"/>
          <w:szCs w:val="24"/>
        </w:rPr>
        <w:t xml:space="preserve"> по Российским стандартам бухгалтерского учета</w:t>
      </w:r>
      <w:r w:rsidR="00A024A9">
        <w:rPr>
          <w:rFonts w:ascii="Times New Roman" w:hAnsi="Times New Roman" w:cs="Times New Roman"/>
          <w:sz w:val="24"/>
          <w:szCs w:val="24"/>
        </w:rPr>
        <w:t xml:space="preserve"> (РСБУ)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6D96">
        <w:rPr>
          <w:rFonts w:ascii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hAnsi="Times New Roman" w:cs="Times New Roman"/>
          <w:sz w:val="24"/>
          <w:szCs w:val="24"/>
        </w:rPr>
        <w:t>включа</w:t>
      </w:r>
      <w:r w:rsidR="000A6D9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9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41C50">
        <w:rPr>
          <w:rFonts w:ascii="Times New Roman" w:hAnsi="Times New Roman" w:cs="Times New Roman"/>
          <w:sz w:val="24"/>
          <w:szCs w:val="24"/>
        </w:rPr>
        <w:t xml:space="preserve">хозяйственной </w:t>
      </w:r>
      <w:r w:rsidR="000A6D96">
        <w:rPr>
          <w:rFonts w:ascii="Times New Roman" w:hAnsi="Times New Roman" w:cs="Times New Roman"/>
          <w:sz w:val="24"/>
          <w:szCs w:val="24"/>
        </w:rPr>
        <w:t xml:space="preserve">деятельности ПАО </w:t>
      </w:r>
      <w:r w:rsidR="00133F5A" w:rsidRPr="00CA1380">
        <w:rPr>
          <w:rFonts w:ascii="Times New Roman" w:hAnsi="Times New Roman" w:cs="Times New Roman"/>
          <w:sz w:val="24"/>
          <w:szCs w:val="24"/>
        </w:rPr>
        <w:t xml:space="preserve">Московская Биржа </w:t>
      </w:r>
      <w:r w:rsidR="000A6D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дивиденды</w:t>
      </w:r>
      <w:r w:rsidR="000A6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96">
        <w:rPr>
          <w:rFonts w:ascii="Times New Roman" w:hAnsi="Times New Roman" w:cs="Times New Roman"/>
          <w:sz w:val="24"/>
          <w:szCs w:val="24"/>
        </w:rPr>
        <w:t>полученные от дочерних компаний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3AF" w:rsidRDefault="005943AF" w:rsidP="005802F6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отчетные шесть месяцев 2017 года чистая прибыль ПАО Московская Биржа по РСБУ составляет </w:t>
      </w:r>
      <w:r w:rsidR="006973AF" w:rsidRPr="00CA1380">
        <w:rPr>
          <w:rFonts w:ascii="Times New Roman" w:hAnsi="Times New Roman" w:cs="Times New Roman"/>
          <w:sz w:val="24"/>
          <w:szCs w:val="24"/>
        </w:rPr>
        <w:t>5 217 615 828 руб. 00 коп</w:t>
      </w:r>
      <w:r w:rsidR="00697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6DF" w:rsidRDefault="005943AF" w:rsidP="008356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441C50">
        <w:rPr>
          <w:rFonts w:ascii="Times New Roman" w:hAnsi="Times New Roman" w:cs="Times New Roman"/>
          <w:sz w:val="24"/>
          <w:szCs w:val="24"/>
        </w:rPr>
        <w:t xml:space="preserve">чистая прибыль ПАО </w:t>
      </w:r>
      <w:r w:rsidR="005753F9">
        <w:rPr>
          <w:rFonts w:ascii="Times New Roman" w:hAnsi="Times New Roman" w:cs="Times New Roman"/>
          <w:sz w:val="24"/>
          <w:szCs w:val="24"/>
        </w:rPr>
        <w:t>Московская Биржа</w:t>
      </w:r>
      <w:r w:rsidR="00441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РСБУ </w:t>
      </w:r>
      <w:r w:rsidR="00441C50">
        <w:rPr>
          <w:rFonts w:ascii="Times New Roman" w:hAnsi="Times New Roman" w:cs="Times New Roman"/>
          <w:sz w:val="24"/>
          <w:szCs w:val="24"/>
        </w:rPr>
        <w:t xml:space="preserve">составляет менее </w:t>
      </w:r>
      <w:r w:rsidR="00D56137">
        <w:rPr>
          <w:rFonts w:ascii="Times New Roman" w:hAnsi="Times New Roman" w:cs="Times New Roman"/>
          <w:sz w:val="24"/>
          <w:szCs w:val="24"/>
        </w:rPr>
        <w:t xml:space="preserve">55% от чистой прибыли Группы </w:t>
      </w:r>
      <w:r w:rsidR="00B52594"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«Московская Биржа» </w:t>
      </w:r>
      <w:r w:rsidR="00D56137">
        <w:rPr>
          <w:rFonts w:ascii="Times New Roman" w:hAnsi="Times New Roman" w:cs="Times New Roman"/>
          <w:sz w:val="24"/>
          <w:szCs w:val="24"/>
        </w:rPr>
        <w:t>по МСФО</w:t>
      </w:r>
      <w:r>
        <w:rPr>
          <w:rFonts w:ascii="Times New Roman" w:hAnsi="Times New Roman" w:cs="Times New Roman"/>
          <w:sz w:val="24"/>
          <w:szCs w:val="24"/>
        </w:rPr>
        <w:t>, то р</w:t>
      </w:r>
      <w:r w:rsidR="00441C50">
        <w:rPr>
          <w:rFonts w:ascii="Times New Roman" w:hAnsi="Times New Roman" w:cs="Times New Roman"/>
          <w:sz w:val="24"/>
          <w:szCs w:val="24"/>
        </w:rPr>
        <w:t>азницу предлагает</w:t>
      </w:r>
      <w:r w:rsidR="00EA0D75">
        <w:rPr>
          <w:rFonts w:ascii="Times New Roman" w:hAnsi="Times New Roman" w:cs="Times New Roman"/>
          <w:sz w:val="24"/>
          <w:szCs w:val="24"/>
        </w:rPr>
        <w:t>ся</w:t>
      </w:r>
      <w:r w:rsidR="00441C50">
        <w:rPr>
          <w:rFonts w:ascii="Times New Roman" w:hAnsi="Times New Roman" w:cs="Times New Roman"/>
          <w:sz w:val="24"/>
          <w:szCs w:val="24"/>
        </w:rPr>
        <w:t xml:space="preserve"> выплатить из нераспределенной прибыли </w:t>
      </w:r>
      <w:r w:rsidR="00EA0D75">
        <w:rPr>
          <w:rFonts w:ascii="Times New Roman" w:hAnsi="Times New Roman" w:cs="Times New Roman"/>
          <w:sz w:val="24"/>
          <w:szCs w:val="24"/>
        </w:rPr>
        <w:t xml:space="preserve">прошлых лет </w:t>
      </w:r>
      <w:r w:rsidR="00441C50">
        <w:rPr>
          <w:rFonts w:ascii="Times New Roman" w:hAnsi="Times New Roman" w:cs="Times New Roman"/>
          <w:sz w:val="24"/>
          <w:szCs w:val="24"/>
        </w:rPr>
        <w:t xml:space="preserve">ПАО </w:t>
      </w:r>
      <w:r w:rsidR="005B2A31">
        <w:rPr>
          <w:rFonts w:ascii="Times New Roman" w:hAnsi="Times New Roman" w:cs="Times New Roman"/>
          <w:sz w:val="24"/>
          <w:szCs w:val="24"/>
        </w:rPr>
        <w:t>Московская Биржа</w:t>
      </w:r>
      <w:r w:rsidR="00EA0D75">
        <w:rPr>
          <w:rFonts w:ascii="Times New Roman" w:hAnsi="Times New Roman" w:cs="Times New Roman"/>
          <w:sz w:val="24"/>
          <w:szCs w:val="24"/>
        </w:rPr>
        <w:t xml:space="preserve">, которая составляет </w:t>
      </w:r>
      <w:r w:rsidR="00EA0D75" w:rsidRPr="00CA1380">
        <w:rPr>
          <w:rFonts w:ascii="Times New Roman" w:hAnsi="Times New Roman" w:cs="Times New Roman"/>
          <w:sz w:val="24"/>
          <w:szCs w:val="24"/>
        </w:rPr>
        <w:t>14 320 935 536,90 руб. по состоянию на 30 июня 2017 г.</w:t>
      </w:r>
      <w:r w:rsidR="0083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4A" w:rsidRPr="00322B4A" w:rsidRDefault="008356DF" w:rsidP="004E17DC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147882">
        <w:rPr>
          <w:rFonts w:ascii="Times New Roman" w:hAnsi="Times New Roman" w:cs="Times New Roman"/>
          <w:sz w:val="24"/>
          <w:szCs w:val="24"/>
        </w:rPr>
        <w:t>образом</w:t>
      </w:r>
      <w:r w:rsidR="00322B4A">
        <w:rPr>
          <w:rFonts w:ascii="Times New Roman" w:hAnsi="Times New Roman" w:cs="Times New Roman"/>
          <w:sz w:val="24"/>
          <w:szCs w:val="24"/>
        </w:rPr>
        <w:t>,</w:t>
      </w:r>
      <w:r w:rsidRPr="00147882">
        <w:rPr>
          <w:rFonts w:ascii="Times New Roman" w:hAnsi="Times New Roman" w:cs="Times New Roman"/>
          <w:sz w:val="24"/>
          <w:szCs w:val="24"/>
        </w:rPr>
        <w:t xml:space="preserve"> общая сумма дивидендов составит </w:t>
      </w:r>
      <w:r w:rsidRPr="0014788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2,49 рубля на одну обыкновенную именную акцию до уплаты налога на доходы, полученные в виде дивидендов в соответствии с подпунктом 1 пункта 3 статьи 284 Налогового кодекса РФ, и составит 55,04% от чистой прибыли Группы </w:t>
      </w:r>
      <w:r w:rsidR="00322B4A">
        <w:rPr>
          <w:rFonts w:ascii="Times New Roman" w:hAnsi="Times New Roman" w:cs="Times New Roman"/>
          <w:bCs/>
          <w:sz w:val="24"/>
          <w:szCs w:val="24"/>
          <w:lang w:eastAsia="x-none"/>
        </w:rPr>
        <w:t>«Московская Биржа»</w:t>
      </w:r>
      <w:r w:rsidRPr="0014788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по МСФО.</w:t>
      </w:r>
      <w:r w:rsidR="00322B4A" w:rsidRPr="00322B4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8860FA" w:rsidRPr="008860FA" w:rsidRDefault="008860FA" w:rsidP="004E17DC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Дата, на которую определяются лица, имеющие право на получение дивидендов, не может быть установлена ранее 10 дней с даты принятия Общим собранием акционеров решения о выплате дивидендов и позднее 20 дней с даты принятия</w:t>
      </w:r>
      <w:r w:rsidR="004E17D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такого решения. Наблюдательный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совет </w:t>
      </w:r>
      <w:r w:rsidR="004E17DC">
        <w:rPr>
          <w:rFonts w:ascii="Times New Roman" w:hAnsi="Times New Roman" w:cs="Times New Roman"/>
          <w:bCs/>
          <w:sz w:val="24"/>
          <w:szCs w:val="24"/>
          <w:lang w:eastAsia="x-none"/>
        </w:rPr>
        <w:t>рекомендовал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внеочередному Общему собранию акционеров установить 29 сентября 2017 года датой, на которую определяются лица, имеющие право на получение промежуточных дивидендов.</w:t>
      </w:r>
    </w:p>
    <w:p w:rsidR="008860FA" w:rsidRPr="008860FA" w:rsidRDefault="008860FA" w:rsidP="004E17DC">
      <w:pPr>
        <w:spacing w:before="12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Срок выплаты дивидендов номинальному держателю и доверительному управляющему, которые зарегистрированы в реестре акционеров, не превышает 10 рабочих дней с даты, на которую определяются лица, имеющие право на получение дивидендов.</w:t>
      </w:r>
      <w:r w:rsidR="005943AF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Выплата дивидендов лицам, имеющим право на получение дивидендов,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</w:r>
      <w:r w:rsidR="005943AF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Таким образом, д</w:t>
      </w:r>
      <w:r w:rsidRPr="008860FA">
        <w:rPr>
          <w:rFonts w:ascii="Times New Roman" w:eastAsia="Calibri" w:hAnsi="Times New Roman" w:cs="Times New Roman"/>
          <w:sz w:val="24"/>
          <w:szCs w:val="24"/>
        </w:rPr>
        <w:t xml:space="preserve">ивиденды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ПАО Московская Биржа, </w:t>
      </w:r>
      <w:r w:rsidRPr="008860FA">
        <w:rPr>
          <w:rFonts w:ascii="Times New Roman" w:hAnsi="Times New Roman" w:cs="Times New Roman"/>
          <w:bCs/>
          <w:sz w:val="24"/>
          <w:szCs w:val="24"/>
          <w:lang w:eastAsia="x-none"/>
        </w:rPr>
        <w:t>должны быть выплачены не позднее 12 октября 2017 года, а другим зарегистрированным в реестре акционеров ПАО Московская Биржа лицам - не позднее 02 ноября 2017 года.</w:t>
      </w:r>
    </w:p>
    <w:p w:rsidR="00FB7C3A" w:rsidRDefault="00036AAF" w:rsidP="00036AA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Исходя из вышеизложенного, </w:t>
      </w:r>
      <w:r w:rsidR="004E17D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09.08.2017 Наблюдательный совет рекомендовал </w:t>
      </w:r>
      <w:r w:rsidR="004E17DC" w:rsidRPr="00931AB0">
        <w:rPr>
          <w:rFonts w:ascii="Times New Roman" w:hAnsi="Times New Roman" w:cs="Times New Roman"/>
          <w:bCs/>
          <w:sz w:val="24"/>
          <w:szCs w:val="24"/>
          <w:lang w:eastAsia="x-none"/>
        </w:rPr>
        <w:t>общему собранию акционеров</w:t>
      </w:r>
      <w:r w:rsidR="00FB7C3A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</w:p>
    <w:p w:rsidR="00FB7C3A" w:rsidRDefault="00FB7C3A" w:rsidP="00036AAF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-</w:t>
      </w:r>
      <w:r w:rsidR="004E17DC" w:rsidRPr="00931AB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4E17DC">
        <w:rPr>
          <w:rFonts w:ascii="Times New Roman" w:eastAsia="Times New Roman" w:hAnsi="Times New Roman" w:cs="Times New Roman"/>
          <w:sz w:val="24"/>
        </w:rPr>
        <w:t>р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аспределить нераспределенную прибыль прошлых лет ПАО Московская Биржа в размере </w:t>
      </w:r>
      <w:r w:rsidR="004E17DC" w:rsidRPr="00DC50AC">
        <w:rPr>
          <w:rFonts w:ascii="Times New Roman" w:hAnsi="Times New Roman" w:cs="Times New Roman"/>
          <w:sz w:val="24"/>
          <w:szCs w:val="24"/>
        </w:rPr>
        <w:t>455</w:t>
      </w:r>
      <w:r w:rsidR="004E17DC">
        <w:rPr>
          <w:rFonts w:ascii="Times New Roman" w:hAnsi="Times New Roman" w:cs="Times New Roman"/>
          <w:sz w:val="24"/>
          <w:szCs w:val="24"/>
        </w:rPr>
        <w:t> </w:t>
      </w:r>
      <w:r w:rsidR="004E17DC" w:rsidRPr="00DC50AC">
        <w:rPr>
          <w:rFonts w:ascii="Times New Roman" w:hAnsi="Times New Roman" w:cs="Times New Roman"/>
          <w:sz w:val="24"/>
          <w:szCs w:val="24"/>
        </w:rPr>
        <w:t>280</w:t>
      </w:r>
      <w:r w:rsidR="004E17DC">
        <w:rPr>
          <w:rFonts w:ascii="Times New Roman" w:hAnsi="Times New Roman" w:cs="Times New Roman"/>
          <w:sz w:val="24"/>
          <w:szCs w:val="24"/>
        </w:rPr>
        <w:t> </w:t>
      </w:r>
      <w:r w:rsidR="004E17DC" w:rsidRPr="00DC50AC">
        <w:rPr>
          <w:rFonts w:ascii="Times New Roman" w:hAnsi="Times New Roman" w:cs="Times New Roman"/>
          <w:sz w:val="24"/>
          <w:szCs w:val="24"/>
        </w:rPr>
        <w:t>291,60</w:t>
      </w:r>
      <w:r w:rsidR="004E17DC">
        <w:rPr>
          <w:rFonts w:ascii="Times New Roman" w:hAnsi="Times New Roman" w:cs="Times New Roman"/>
          <w:sz w:val="24"/>
          <w:szCs w:val="24"/>
        </w:rPr>
        <w:t xml:space="preserve"> </w:t>
      </w:r>
      <w:r w:rsidR="004E17DC">
        <w:rPr>
          <w:rFonts w:ascii="Times New Roman" w:eastAsia="Times New Roman" w:hAnsi="Times New Roman" w:cs="Times New Roman"/>
          <w:sz w:val="24"/>
        </w:rPr>
        <w:t xml:space="preserve">рубля на выплату дивидендов; </w:t>
      </w:r>
    </w:p>
    <w:p w:rsidR="00FB7C3A" w:rsidRDefault="00FB7C3A" w:rsidP="00036AAF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E17DC">
        <w:rPr>
          <w:rFonts w:ascii="Times New Roman" w:eastAsia="Times New Roman" w:hAnsi="Times New Roman" w:cs="Times New Roman"/>
          <w:sz w:val="24"/>
        </w:rPr>
        <w:t>в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ыплатить дивиденды </w:t>
      </w:r>
      <w:r w:rsidR="004E17DC" w:rsidRPr="00CA1380">
        <w:rPr>
          <w:rFonts w:ascii="Times New Roman" w:eastAsia="Times New Roman" w:hAnsi="Times New Roman" w:cs="Times New Roman"/>
          <w:sz w:val="24"/>
        </w:rPr>
        <w:t>в сумме 5</w:t>
      </w:r>
      <w:r w:rsidR="004E17DC">
        <w:rPr>
          <w:rFonts w:ascii="Times New Roman" w:eastAsia="Times New Roman" w:hAnsi="Times New Roman" w:cs="Times New Roman"/>
          <w:sz w:val="24"/>
        </w:rPr>
        <w:t> 668 239 630,42</w:t>
      </w:r>
      <w:r w:rsidR="004E17DC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рубля </w:t>
      </w:r>
      <w:r w:rsidR="004E17DC" w:rsidRPr="00741D8F">
        <w:rPr>
          <w:rFonts w:ascii="Times New Roman" w:eastAsia="Times New Roman" w:hAnsi="Times New Roman" w:cs="Times New Roman"/>
          <w:sz w:val="24"/>
        </w:rPr>
        <w:t>в размере 2,</w:t>
      </w:r>
      <w:r w:rsidR="004E17DC">
        <w:rPr>
          <w:rFonts w:ascii="Times New Roman" w:eastAsia="Times New Roman" w:hAnsi="Times New Roman" w:cs="Times New Roman"/>
          <w:sz w:val="24"/>
        </w:rPr>
        <w:t>4</w:t>
      </w:r>
      <w:r w:rsidR="004E17DC" w:rsidRPr="00741D8F">
        <w:rPr>
          <w:rFonts w:ascii="Times New Roman" w:eastAsia="Times New Roman" w:hAnsi="Times New Roman" w:cs="Times New Roman"/>
          <w:sz w:val="24"/>
        </w:rPr>
        <w:t>9 руб</w:t>
      </w:r>
      <w:r w:rsidR="004E17DC">
        <w:rPr>
          <w:rFonts w:ascii="Times New Roman" w:eastAsia="Times New Roman" w:hAnsi="Times New Roman" w:cs="Times New Roman"/>
          <w:sz w:val="24"/>
        </w:rPr>
        <w:t>ля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 на одну обыкновенную акцию (до уплаты налога на доходы, полученные в качестве дивидендов)</w:t>
      </w:r>
      <w:r w:rsidR="004E17DC">
        <w:rPr>
          <w:rFonts w:ascii="Times New Roman" w:eastAsia="Times New Roman" w:hAnsi="Times New Roman" w:cs="Times New Roman"/>
          <w:sz w:val="24"/>
        </w:rPr>
        <w:t xml:space="preserve"> из нераспределенной </w:t>
      </w:r>
      <w:r w:rsidR="004E17DC" w:rsidRPr="00741D8F">
        <w:rPr>
          <w:rFonts w:ascii="Times New Roman" w:eastAsia="Times New Roman" w:hAnsi="Times New Roman" w:cs="Times New Roman"/>
          <w:sz w:val="24"/>
        </w:rPr>
        <w:t>прибыл</w:t>
      </w:r>
      <w:r w:rsidR="004E17DC">
        <w:rPr>
          <w:rFonts w:ascii="Times New Roman" w:eastAsia="Times New Roman" w:hAnsi="Times New Roman" w:cs="Times New Roman"/>
          <w:sz w:val="24"/>
        </w:rPr>
        <w:t>и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 прошлых лет ПАО</w:t>
      </w:r>
      <w:r w:rsidR="00435473">
        <w:rPr>
          <w:rFonts w:ascii="Times New Roman" w:eastAsia="Times New Roman" w:hAnsi="Times New Roman" w:cs="Times New Roman"/>
          <w:sz w:val="24"/>
        </w:rPr>
        <w:t> 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Московская Биржа в размере </w:t>
      </w:r>
      <w:r w:rsidR="004E17DC" w:rsidRPr="00DC50AC">
        <w:rPr>
          <w:rFonts w:ascii="Times New Roman" w:hAnsi="Times New Roman" w:cs="Times New Roman"/>
          <w:sz w:val="24"/>
          <w:szCs w:val="24"/>
        </w:rPr>
        <w:t>455</w:t>
      </w:r>
      <w:r w:rsidR="004E17DC">
        <w:rPr>
          <w:rFonts w:ascii="Times New Roman" w:hAnsi="Times New Roman" w:cs="Times New Roman"/>
          <w:sz w:val="24"/>
          <w:szCs w:val="24"/>
        </w:rPr>
        <w:t> </w:t>
      </w:r>
      <w:r w:rsidR="004E17DC" w:rsidRPr="00DC50AC">
        <w:rPr>
          <w:rFonts w:ascii="Times New Roman" w:hAnsi="Times New Roman" w:cs="Times New Roman"/>
          <w:sz w:val="24"/>
          <w:szCs w:val="24"/>
        </w:rPr>
        <w:t>280</w:t>
      </w:r>
      <w:r w:rsidR="004E17DC">
        <w:rPr>
          <w:rFonts w:ascii="Times New Roman" w:hAnsi="Times New Roman" w:cs="Times New Roman"/>
          <w:sz w:val="24"/>
          <w:szCs w:val="24"/>
        </w:rPr>
        <w:t> </w:t>
      </w:r>
      <w:r w:rsidR="004E17DC" w:rsidRPr="00DC50AC">
        <w:rPr>
          <w:rFonts w:ascii="Times New Roman" w:hAnsi="Times New Roman" w:cs="Times New Roman"/>
          <w:sz w:val="24"/>
          <w:szCs w:val="24"/>
        </w:rPr>
        <w:t>291,60</w:t>
      </w:r>
      <w:r w:rsidR="004E17DC">
        <w:rPr>
          <w:rFonts w:ascii="Times New Roman" w:hAnsi="Times New Roman" w:cs="Times New Roman"/>
          <w:sz w:val="24"/>
          <w:szCs w:val="24"/>
        </w:rPr>
        <w:t xml:space="preserve"> </w:t>
      </w:r>
      <w:r w:rsidR="004E17DC">
        <w:rPr>
          <w:rFonts w:ascii="Times New Roman" w:eastAsia="Times New Roman" w:hAnsi="Times New Roman" w:cs="Times New Roman"/>
          <w:sz w:val="24"/>
        </w:rPr>
        <w:t xml:space="preserve">рубля и прибыли </w:t>
      </w:r>
      <w:r w:rsidR="004E17DC" w:rsidRPr="00741D8F">
        <w:rPr>
          <w:rFonts w:ascii="Times New Roman" w:eastAsia="Times New Roman" w:hAnsi="Times New Roman" w:cs="Times New Roman"/>
          <w:sz w:val="24"/>
        </w:rPr>
        <w:t>ПАО</w:t>
      </w:r>
      <w:r w:rsidR="004E17DC">
        <w:rPr>
          <w:rFonts w:ascii="Times New Roman" w:eastAsia="Times New Roman" w:hAnsi="Times New Roman" w:cs="Times New Roman"/>
          <w:sz w:val="24"/>
        </w:rPr>
        <w:t> </w:t>
      </w:r>
      <w:r w:rsidR="004E17DC" w:rsidRPr="00741D8F">
        <w:rPr>
          <w:rFonts w:ascii="Times New Roman" w:eastAsia="Times New Roman" w:hAnsi="Times New Roman" w:cs="Times New Roman"/>
          <w:sz w:val="24"/>
        </w:rPr>
        <w:t xml:space="preserve">Московская Биржа </w:t>
      </w:r>
      <w:r w:rsidR="004E17DC" w:rsidRPr="00616418">
        <w:rPr>
          <w:rFonts w:ascii="Times New Roman" w:hAnsi="Times New Roman"/>
          <w:sz w:val="24"/>
          <w:szCs w:val="24"/>
        </w:rPr>
        <w:t xml:space="preserve">по результатам полугодия 2017 года </w:t>
      </w:r>
      <w:r w:rsidR="004E17DC">
        <w:rPr>
          <w:rFonts w:ascii="Times New Roman" w:hAnsi="Times New Roman"/>
          <w:sz w:val="24"/>
          <w:szCs w:val="24"/>
        </w:rPr>
        <w:t xml:space="preserve">в размере </w:t>
      </w:r>
      <w:r w:rsidR="004E17DC" w:rsidRPr="00616418">
        <w:rPr>
          <w:rFonts w:ascii="Times New Roman" w:hAnsi="Times New Roman"/>
          <w:sz w:val="24"/>
          <w:szCs w:val="24"/>
        </w:rPr>
        <w:t>5</w:t>
      </w:r>
      <w:r w:rsidR="005451F5">
        <w:rPr>
          <w:rFonts w:ascii="Times New Roman" w:hAnsi="Times New Roman"/>
          <w:sz w:val="24"/>
          <w:szCs w:val="24"/>
        </w:rPr>
        <w:t> </w:t>
      </w:r>
      <w:r w:rsidR="004E17DC" w:rsidRPr="00616418">
        <w:rPr>
          <w:rFonts w:ascii="Times New Roman" w:hAnsi="Times New Roman"/>
          <w:sz w:val="24"/>
          <w:szCs w:val="24"/>
        </w:rPr>
        <w:t>212</w:t>
      </w:r>
      <w:r w:rsidR="004E17DC">
        <w:rPr>
          <w:rFonts w:ascii="Times New Roman" w:hAnsi="Times New Roman"/>
          <w:sz w:val="24"/>
          <w:szCs w:val="24"/>
        </w:rPr>
        <w:t> </w:t>
      </w:r>
      <w:r w:rsidR="004E17DC" w:rsidRPr="00616418">
        <w:rPr>
          <w:rFonts w:ascii="Times New Roman" w:hAnsi="Times New Roman"/>
          <w:sz w:val="24"/>
          <w:szCs w:val="24"/>
        </w:rPr>
        <w:t>959</w:t>
      </w:r>
      <w:r w:rsidR="004E17DC">
        <w:rPr>
          <w:rFonts w:ascii="Times New Roman" w:hAnsi="Times New Roman"/>
          <w:sz w:val="24"/>
          <w:szCs w:val="24"/>
        </w:rPr>
        <w:t> </w:t>
      </w:r>
      <w:r w:rsidR="004E17DC" w:rsidRPr="00616418">
        <w:rPr>
          <w:rFonts w:ascii="Times New Roman" w:hAnsi="Times New Roman"/>
          <w:sz w:val="24"/>
          <w:szCs w:val="24"/>
        </w:rPr>
        <w:t>338,82</w:t>
      </w:r>
      <w:r w:rsidR="004E17DC">
        <w:rPr>
          <w:rFonts w:ascii="Times New Roman" w:hAnsi="Times New Roman"/>
          <w:sz w:val="24"/>
          <w:szCs w:val="24"/>
        </w:rPr>
        <w:t xml:space="preserve"> рубля</w:t>
      </w:r>
      <w:r w:rsidR="004E17DC">
        <w:rPr>
          <w:rFonts w:ascii="Times New Roman" w:eastAsia="Times New Roman" w:hAnsi="Times New Roman" w:cs="Times New Roman"/>
          <w:sz w:val="24"/>
        </w:rPr>
        <w:t xml:space="preserve">; </w:t>
      </w:r>
    </w:p>
    <w:p w:rsidR="00FB7C3A" w:rsidRDefault="00FB7C3A" w:rsidP="00036AAF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E17DC">
        <w:rPr>
          <w:rFonts w:ascii="Times New Roman" w:eastAsia="Times New Roman" w:hAnsi="Times New Roman" w:cs="Times New Roman"/>
          <w:sz w:val="24"/>
        </w:rPr>
        <w:t>у</w:t>
      </w:r>
      <w:r w:rsidR="004E17DC" w:rsidRPr="00741D8F">
        <w:rPr>
          <w:rFonts w:ascii="Times New Roman" w:eastAsia="Times New Roman" w:hAnsi="Times New Roman" w:cs="Times New Roman"/>
          <w:sz w:val="24"/>
        </w:rPr>
        <w:t>становить 29 сентября 2017 года датой, на которую определяются лица, имеющие право на получение дивидендов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E17DC" w:rsidRPr="00741D8F" w:rsidRDefault="00FB7C3A" w:rsidP="00036AAF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E17DC">
        <w:rPr>
          <w:rFonts w:ascii="Times New Roman" w:eastAsia="Times New Roman" w:hAnsi="Times New Roman" w:cs="Times New Roman"/>
          <w:sz w:val="24"/>
        </w:rPr>
        <w:t xml:space="preserve"> выплатить д</w:t>
      </w:r>
      <w:r w:rsidR="004E17DC" w:rsidRPr="00CA1380">
        <w:rPr>
          <w:rFonts w:ascii="Times New Roman" w:eastAsia="Times New Roman" w:hAnsi="Times New Roman" w:cs="Times New Roman"/>
          <w:sz w:val="24"/>
        </w:rPr>
        <w:t>ивиденды по акциям ПАО Московская Биржа в денеж</w:t>
      </w:r>
      <w:r w:rsidR="004E17DC">
        <w:rPr>
          <w:rFonts w:ascii="Times New Roman" w:eastAsia="Times New Roman" w:hAnsi="Times New Roman" w:cs="Times New Roman"/>
          <w:sz w:val="24"/>
        </w:rPr>
        <w:t>ной форме в безналичном порядке</w:t>
      </w:r>
      <w:r w:rsidR="004E17DC" w:rsidRPr="00741D8F">
        <w:rPr>
          <w:rFonts w:ascii="Times New Roman" w:eastAsia="Times New Roman" w:hAnsi="Times New Roman" w:cs="Times New Roman"/>
          <w:sz w:val="24"/>
        </w:rPr>
        <w:t>.</w:t>
      </w:r>
    </w:p>
    <w:p w:rsidR="008860FA" w:rsidRDefault="008860FA" w:rsidP="00286D97">
      <w:pPr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47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решений</w:t>
      </w:r>
      <w:r w:rsidR="004E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5E9" w:rsidRPr="003F49AE" w:rsidRDefault="005C65E9" w:rsidP="004E1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C3" w:rsidRPr="004E17DC" w:rsidRDefault="004E17DC" w:rsidP="00286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</w:t>
      </w:r>
      <w:r w:rsidR="00A34BC3" w:rsidRPr="004E17DC">
        <w:rPr>
          <w:rFonts w:ascii="Times New Roman" w:hAnsi="Times New Roman"/>
          <w:b/>
          <w:sz w:val="24"/>
          <w:szCs w:val="24"/>
        </w:rPr>
        <w:t>«О распределении нераспределенной прибыли ПАО Московская Биржа прошлых лет на выплату дивидендов»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4BC3" w:rsidRPr="00CA1380" w:rsidRDefault="00A34BC3" w:rsidP="00A34BC3">
      <w:pPr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 xml:space="preserve">Распределить нераспределенную прибыль ПАО Московская Биржа прошлых лет в размере </w:t>
      </w:r>
      <w:r w:rsidRPr="00DC50AC">
        <w:rPr>
          <w:rFonts w:ascii="Times New Roman" w:hAnsi="Times New Roman" w:cs="Times New Roman"/>
          <w:sz w:val="24"/>
          <w:szCs w:val="24"/>
        </w:rPr>
        <w:t>455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50AC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50AC">
        <w:rPr>
          <w:rFonts w:ascii="Times New Roman" w:hAnsi="Times New Roman" w:cs="Times New Roman"/>
          <w:sz w:val="24"/>
          <w:szCs w:val="24"/>
        </w:rPr>
        <w:t>291,60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380">
        <w:rPr>
          <w:rFonts w:ascii="Times New Roman" w:eastAsia="Times New Roman" w:hAnsi="Times New Roman" w:cs="Times New Roman"/>
          <w:sz w:val="24"/>
        </w:rPr>
        <w:t>рубл</w:t>
      </w:r>
      <w:r w:rsidR="00C760EB">
        <w:rPr>
          <w:rFonts w:ascii="Times New Roman" w:eastAsia="Times New Roman" w:hAnsi="Times New Roman" w:cs="Times New Roman"/>
          <w:sz w:val="24"/>
        </w:rPr>
        <w:t>я</w:t>
      </w:r>
      <w:r w:rsidR="00E84D2D">
        <w:rPr>
          <w:rFonts w:ascii="Times New Roman" w:eastAsia="Times New Roman" w:hAnsi="Times New Roman" w:cs="Times New Roman"/>
          <w:sz w:val="24"/>
        </w:rPr>
        <w:t xml:space="preserve"> на выплату дивидендов</w:t>
      </w:r>
      <w:r w:rsidRPr="00CA1380">
        <w:rPr>
          <w:rFonts w:ascii="Times New Roman" w:eastAsia="Times New Roman" w:hAnsi="Times New Roman" w:cs="Times New Roman"/>
          <w:sz w:val="24"/>
        </w:rPr>
        <w:t>.</w:t>
      </w:r>
    </w:p>
    <w:p w:rsidR="00A34BC3" w:rsidRPr="004E17DC" w:rsidRDefault="004E17DC" w:rsidP="00286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7DC">
        <w:rPr>
          <w:rFonts w:ascii="Times New Roman" w:hAnsi="Times New Roman"/>
          <w:b/>
          <w:sz w:val="24"/>
          <w:szCs w:val="24"/>
        </w:rPr>
        <w:t>По вопросу</w:t>
      </w:r>
      <w:r w:rsidR="00A34BC3" w:rsidRPr="004E17DC">
        <w:rPr>
          <w:rFonts w:ascii="Times New Roman" w:hAnsi="Times New Roman"/>
          <w:b/>
          <w:sz w:val="24"/>
          <w:szCs w:val="24"/>
        </w:rPr>
        <w:t xml:space="preserve"> «О выплате (объявлении) дивидендов</w:t>
      </w:r>
      <w:r w:rsidR="005943AF" w:rsidRPr="004E17DC">
        <w:rPr>
          <w:rFonts w:ascii="Times New Roman" w:hAnsi="Times New Roman"/>
          <w:b/>
          <w:sz w:val="24"/>
          <w:szCs w:val="24"/>
        </w:rPr>
        <w:t xml:space="preserve"> ПАО Московская Биржа</w:t>
      </w:r>
      <w:r w:rsidRPr="004E17DC">
        <w:rPr>
          <w:rFonts w:ascii="Times New Roman" w:hAnsi="Times New Roman"/>
          <w:b/>
          <w:sz w:val="24"/>
          <w:szCs w:val="24"/>
        </w:rPr>
        <w:t>»:</w:t>
      </w:r>
    </w:p>
    <w:p w:rsidR="00A34BC3" w:rsidRPr="00CA1380" w:rsidRDefault="00A34BC3" w:rsidP="0028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 xml:space="preserve">Выплатить дивиденды </w:t>
      </w:r>
      <w:r w:rsidRPr="00741D8F">
        <w:rPr>
          <w:rFonts w:ascii="Times New Roman" w:eastAsia="Times New Roman" w:hAnsi="Times New Roman" w:cs="Times New Roman"/>
          <w:sz w:val="24"/>
        </w:rPr>
        <w:t xml:space="preserve">по размещенным акциям ПАО Московская Биржа </w:t>
      </w:r>
      <w:r w:rsidRPr="00CA1380">
        <w:rPr>
          <w:rFonts w:ascii="Times New Roman" w:eastAsia="Times New Roman" w:hAnsi="Times New Roman" w:cs="Times New Roman"/>
          <w:sz w:val="24"/>
        </w:rPr>
        <w:t xml:space="preserve">в сумме </w:t>
      </w:r>
      <w:r w:rsidR="00D61F41" w:rsidRPr="00CA1380">
        <w:rPr>
          <w:rFonts w:ascii="Times New Roman" w:eastAsia="Times New Roman" w:hAnsi="Times New Roman" w:cs="Times New Roman"/>
          <w:sz w:val="24"/>
        </w:rPr>
        <w:t>5</w:t>
      </w:r>
      <w:r w:rsidR="00D61F41">
        <w:rPr>
          <w:rFonts w:ascii="Times New Roman" w:eastAsia="Times New Roman" w:hAnsi="Times New Roman" w:cs="Times New Roman"/>
          <w:sz w:val="24"/>
        </w:rPr>
        <w:t> 668 239 630,42</w:t>
      </w:r>
      <w:r w:rsidR="00D61F4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рубля </w:t>
      </w:r>
      <w:r w:rsidR="00D61F41" w:rsidRPr="00741D8F">
        <w:rPr>
          <w:rFonts w:ascii="Times New Roman" w:eastAsia="Times New Roman" w:hAnsi="Times New Roman" w:cs="Times New Roman"/>
          <w:sz w:val="24"/>
        </w:rPr>
        <w:t>в размере 2,</w:t>
      </w:r>
      <w:r w:rsidR="00D61F41">
        <w:rPr>
          <w:rFonts w:ascii="Times New Roman" w:eastAsia="Times New Roman" w:hAnsi="Times New Roman" w:cs="Times New Roman"/>
          <w:sz w:val="24"/>
        </w:rPr>
        <w:t>4</w:t>
      </w:r>
      <w:r w:rsidR="00D61F41" w:rsidRPr="00741D8F">
        <w:rPr>
          <w:rFonts w:ascii="Times New Roman" w:eastAsia="Times New Roman" w:hAnsi="Times New Roman" w:cs="Times New Roman"/>
          <w:sz w:val="24"/>
        </w:rPr>
        <w:t>9 руб</w:t>
      </w:r>
      <w:r w:rsidR="00D61F41">
        <w:rPr>
          <w:rFonts w:ascii="Times New Roman" w:eastAsia="Times New Roman" w:hAnsi="Times New Roman" w:cs="Times New Roman"/>
          <w:sz w:val="24"/>
        </w:rPr>
        <w:t>ля</w:t>
      </w:r>
      <w:r w:rsidR="00D61F41" w:rsidRPr="00741D8F">
        <w:rPr>
          <w:rFonts w:ascii="Times New Roman" w:eastAsia="Times New Roman" w:hAnsi="Times New Roman" w:cs="Times New Roman"/>
          <w:sz w:val="24"/>
        </w:rPr>
        <w:t xml:space="preserve"> на одну обыкновенную акцию (до уплаты налога на доходы, полученные в качестве дивидендов)</w:t>
      </w:r>
      <w:r w:rsidR="00225162">
        <w:rPr>
          <w:rFonts w:ascii="Times New Roman" w:eastAsia="Times New Roman" w:hAnsi="Times New Roman" w:cs="Times New Roman"/>
          <w:sz w:val="24"/>
        </w:rPr>
        <w:t xml:space="preserve"> из </w:t>
      </w:r>
      <w:r w:rsidR="005943AF">
        <w:rPr>
          <w:rFonts w:ascii="Times New Roman" w:eastAsia="Times New Roman" w:hAnsi="Times New Roman" w:cs="Times New Roman"/>
          <w:sz w:val="24"/>
        </w:rPr>
        <w:t xml:space="preserve">нераспределенной </w:t>
      </w:r>
      <w:r w:rsidR="00225162" w:rsidRPr="00741D8F">
        <w:rPr>
          <w:rFonts w:ascii="Times New Roman" w:eastAsia="Times New Roman" w:hAnsi="Times New Roman" w:cs="Times New Roman"/>
          <w:sz w:val="24"/>
        </w:rPr>
        <w:t>прибыл</w:t>
      </w:r>
      <w:r w:rsidR="00225162">
        <w:rPr>
          <w:rFonts w:ascii="Times New Roman" w:eastAsia="Times New Roman" w:hAnsi="Times New Roman" w:cs="Times New Roman"/>
          <w:sz w:val="24"/>
        </w:rPr>
        <w:t>и</w:t>
      </w:r>
      <w:r w:rsidR="00225162" w:rsidRPr="00741D8F">
        <w:rPr>
          <w:rFonts w:ascii="Times New Roman" w:eastAsia="Times New Roman" w:hAnsi="Times New Roman" w:cs="Times New Roman"/>
          <w:sz w:val="24"/>
        </w:rPr>
        <w:t xml:space="preserve"> прошлых лет ПАО Московская Биржа в размере </w:t>
      </w:r>
      <w:r w:rsidR="00225162" w:rsidRPr="00DC50AC">
        <w:rPr>
          <w:rFonts w:ascii="Times New Roman" w:hAnsi="Times New Roman" w:cs="Times New Roman"/>
          <w:sz w:val="24"/>
          <w:szCs w:val="24"/>
        </w:rPr>
        <w:t>455</w:t>
      </w:r>
      <w:r w:rsidR="00225162">
        <w:rPr>
          <w:rFonts w:ascii="Times New Roman" w:hAnsi="Times New Roman" w:cs="Times New Roman"/>
          <w:sz w:val="24"/>
          <w:szCs w:val="24"/>
        </w:rPr>
        <w:t> </w:t>
      </w:r>
      <w:r w:rsidR="00225162" w:rsidRPr="00DC50AC">
        <w:rPr>
          <w:rFonts w:ascii="Times New Roman" w:hAnsi="Times New Roman" w:cs="Times New Roman"/>
          <w:sz w:val="24"/>
          <w:szCs w:val="24"/>
        </w:rPr>
        <w:t>280</w:t>
      </w:r>
      <w:r w:rsidR="00225162">
        <w:rPr>
          <w:rFonts w:ascii="Times New Roman" w:hAnsi="Times New Roman" w:cs="Times New Roman"/>
          <w:sz w:val="24"/>
          <w:szCs w:val="24"/>
        </w:rPr>
        <w:t> </w:t>
      </w:r>
      <w:r w:rsidR="00225162" w:rsidRPr="00DC50AC">
        <w:rPr>
          <w:rFonts w:ascii="Times New Roman" w:hAnsi="Times New Roman" w:cs="Times New Roman"/>
          <w:sz w:val="24"/>
          <w:szCs w:val="24"/>
        </w:rPr>
        <w:t>291,60</w:t>
      </w:r>
      <w:r w:rsidR="00225162">
        <w:rPr>
          <w:rFonts w:ascii="Times New Roman" w:hAnsi="Times New Roman" w:cs="Times New Roman"/>
          <w:sz w:val="24"/>
          <w:szCs w:val="24"/>
        </w:rPr>
        <w:t xml:space="preserve"> </w:t>
      </w:r>
      <w:r w:rsidR="00040FB1">
        <w:rPr>
          <w:rFonts w:ascii="Times New Roman" w:eastAsia="Times New Roman" w:hAnsi="Times New Roman" w:cs="Times New Roman"/>
          <w:sz w:val="24"/>
        </w:rPr>
        <w:t>рубля</w:t>
      </w:r>
      <w:r w:rsidR="00225162">
        <w:rPr>
          <w:rFonts w:ascii="Times New Roman" w:eastAsia="Times New Roman" w:hAnsi="Times New Roman" w:cs="Times New Roman"/>
          <w:sz w:val="24"/>
        </w:rPr>
        <w:t xml:space="preserve"> и прибыли </w:t>
      </w:r>
      <w:r w:rsidR="00225162" w:rsidRPr="00741D8F">
        <w:rPr>
          <w:rFonts w:ascii="Times New Roman" w:eastAsia="Times New Roman" w:hAnsi="Times New Roman" w:cs="Times New Roman"/>
          <w:sz w:val="24"/>
        </w:rPr>
        <w:t xml:space="preserve">ПАО Московская Биржа </w:t>
      </w:r>
      <w:r w:rsidR="00225162" w:rsidRPr="00616418">
        <w:rPr>
          <w:rFonts w:ascii="Times New Roman" w:hAnsi="Times New Roman"/>
          <w:sz w:val="24"/>
          <w:szCs w:val="24"/>
        </w:rPr>
        <w:t xml:space="preserve">по результатам полугодия 2017 года </w:t>
      </w:r>
      <w:r w:rsidR="00225162">
        <w:rPr>
          <w:rFonts w:ascii="Times New Roman" w:hAnsi="Times New Roman"/>
          <w:sz w:val="24"/>
          <w:szCs w:val="24"/>
        </w:rPr>
        <w:t xml:space="preserve">в размере </w:t>
      </w:r>
      <w:r w:rsidR="00225162" w:rsidRPr="00616418">
        <w:rPr>
          <w:rFonts w:ascii="Times New Roman" w:hAnsi="Times New Roman"/>
          <w:sz w:val="24"/>
          <w:szCs w:val="24"/>
        </w:rPr>
        <w:t>5 212 959 338,82</w:t>
      </w:r>
      <w:r w:rsidR="00040FB1">
        <w:rPr>
          <w:rFonts w:ascii="Times New Roman" w:hAnsi="Times New Roman"/>
          <w:sz w:val="24"/>
          <w:szCs w:val="24"/>
        </w:rPr>
        <w:t xml:space="preserve"> рубля</w:t>
      </w:r>
      <w:r w:rsidR="00D61F41" w:rsidRPr="00741D8F">
        <w:rPr>
          <w:rFonts w:ascii="Times New Roman" w:eastAsia="Times New Roman" w:hAnsi="Times New Roman" w:cs="Times New Roman"/>
          <w:sz w:val="24"/>
        </w:rPr>
        <w:t>.</w:t>
      </w:r>
    </w:p>
    <w:p w:rsidR="00A34BC3" w:rsidRPr="00CA1380" w:rsidRDefault="00A34BC3" w:rsidP="005C65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>Определить 29 сентября 2017 года датой, на которую определяются лица, имеющие право на получение дивидендов.</w:t>
      </w:r>
    </w:p>
    <w:p w:rsidR="00A34BC3" w:rsidRPr="007741C5" w:rsidRDefault="00A34BC3" w:rsidP="005C65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1380">
        <w:rPr>
          <w:rFonts w:ascii="Times New Roman" w:eastAsia="Times New Roman" w:hAnsi="Times New Roman" w:cs="Times New Roman"/>
          <w:sz w:val="24"/>
        </w:rPr>
        <w:t>Дивиденды по акциям ПАО Московская Биржа выплатить в денеж</w:t>
      </w:r>
      <w:r w:rsidR="007741C5">
        <w:rPr>
          <w:rFonts w:ascii="Times New Roman" w:eastAsia="Times New Roman" w:hAnsi="Times New Roman" w:cs="Times New Roman"/>
          <w:sz w:val="24"/>
        </w:rPr>
        <w:t>ной форме в безналичном порядке</w:t>
      </w:r>
      <w:r w:rsidR="00C760EB">
        <w:rPr>
          <w:rFonts w:ascii="Times New Roman" w:eastAsia="Times New Roman" w:hAnsi="Times New Roman" w:cs="Times New Roman"/>
          <w:sz w:val="24"/>
        </w:rPr>
        <w:t>.</w:t>
      </w:r>
    </w:p>
    <w:sectPr w:rsidR="00A34BC3" w:rsidRPr="007741C5" w:rsidSect="00B5416A">
      <w:footerReference w:type="even" r:id="rId8"/>
      <w:footerReference w:type="default" r:id="rId9"/>
      <w:footerReference w:type="first" r:id="rId10"/>
      <w:pgSz w:w="11906" w:h="16838"/>
      <w:pgMar w:top="426" w:right="99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41" w:rsidRDefault="006F6C41">
      <w:pPr>
        <w:spacing w:after="0" w:line="240" w:lineRule="auto"/>
      </w:pPr>
      <w:r>
        <w:separator/>
      </w:r>
    </w:p>
  </w:endnote>
  <w:endnote w:type="continuationSeparator" w:id="0">
    <w:p w:rsidR="006F6C41" w:rsidRDefault="006F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DC" w:rsidRDefault="00EF6F2F" w:rsidP="00AF2C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2DC" w:rsidRDefault="002F19FA" w:rsidP="00926E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DC" w:rsidRDefault="00EF6F2F" w:rsidP="00AF2C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9FA">
      <w:rPr>
        <w:rStyle w:val="a5"/>
        <w:noProof/>
      </w:rPr>
      <w:t>2</w:t>
    </w:r>
    <w:r>
      <w:rPr>
        <w:rStyle w:val="a5"/>
      </w:rPr>
      <w:fldChar w:fldCharType="end"/>
    </w:r>
  </w:p>
  <w:p w:rsidR="000B02DC" w:rsidRDefault="002F19FA" w:rsidP="00B5416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646110"/>
      <w:docPartObj>
        <w:docPartGallery w:val="Page Numbers (Bottom of Page)"/>
        <w:docPartUnique/>
      </w:docPartObj>
    </w:sdtPr>
    <w:sdtEndPr/>
    <w:sdtContent>
      <w:p w:rsidR="00D764FD" w:rsidRDefault="00EF6F2F" w:rsidP="00040F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F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41" w:rsidRDefault="006F6C41">
      <w:pPr>
        <w:spacing w:after="0" w:line="240" w:lineRule="auto"/>
      </w:pPr>
      <w:r>
        <w:separator/>
      </w:r>
    </w:p>
  </w:footnote>
  <w:footnote w:type="continuationSeparator" w:id="0">
    <w:p w:rsidR="006F6C41" w:rsidRDefault="006F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8F"/>
    <w:multiLevelType w:val="hybridMultilevel"/>
    <w:tmpl w:val="BC024106"/>
    <w:lvl w:ilvl="0" w:tplc="15445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6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2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E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AF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D6055"/>
    <w:multiLevelType w:val="hybridMultilevel"/>
    <w:tmpl w:val="F672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46D3"/>
    <w:multiLevelType w:val="hybridMultilevel"/>
    <w:tmpl w:val="C3AAE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513610"/>
    <w:multiLevelType w:val="multilevel"/>
    <w:tmpl w:val="7110F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AA71CE"/>
    <w:multiLevelType w:val="hybridMultilevel"/>
    <w:tmpl w:val="32D0A060"/>
    <w:lvl w:ilvl="0" w:tplc="494C8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920A92"/>
    <w:multiLevelType w:val="hybridMultilevel"/>
    <w:tmpl w:val="9890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6771"/>
    <w:multiLevelType w:val="hybridMultilevel"/>
    <w:tmpl w:val="308E04A0"/>
    <w:lvl w:ilvl="0" w:tplc="C1AED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2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4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A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C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66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681C2C"/>
    <w:multiLevelType w:val="hybridMultilevel"/>
    <w:tmpl w:val="F672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9"/>
    <w:rsid w:val="00024802"/>
    <w:rsid w:val="00031D65"/>
    <w:rsid w:val="00036AAF"/>
    <w:rsid w:val="00040FB1"/>
    <w:rsid w:val="00074274"/>
    <w:rsid w:val="000A6D96"/>
    <w:rsid w:val="000A7B36"/>
    <w:rsid w:val="000E0A6F"/>
    <w:rsid w:val="000F0E0E"/>
    <w:rsid w:val="00110D99"/>
    <w:rsid w:val="00133F5A"/>
    <w:rsid w:val="0014191F"/>
    <w:rsid w:val="001471B7"/>
    <w:rsid w:val="00147882"/>
    <w:rsid w:val="00154731"/>
    <w:rsid w:val="0015581B"/>
    <w:rsid w:val="00157988"/>
    <w:rsid w:val="00192095"/>
    <w:rsid w:val="001948EB"/>
    <w:rsid w:val="00194F89"/>
    <w:rsid w:val="001A357A"/>
    <w:rsid w:val="001C0F0C"/>
    <w:rsid w:val="001C1A6F"/>
    <w:rsid w:val="001E44CE"/>
    <w:rsid w:val="001E6046"/>
    <w:rsid w:val="00207D0A"/>
    <w:rsid w:val="00225162"/>
    <w:rsid w:val="00256DB7"/>
    <w:rsid w:val="002707B7"/>
    <w:rsid w:val="00286D97"/>
    <w:rsid w:val="00293F4D"/>
    <w:rsid w:val="002C44F1"/>
    <w:rsid w:val="002D66CD"/>
    <w:rsid w:val="002E4B49"/>
    <w:rsid w:val="002F19FA"/>
    <w:rsid w:val="00302601"/>
    <w:rsid w:val="00322B4A"/>
    <w:rsid w:val="00336077"/>
    <w:rsid w:val="00343F15"/>
    <w:rsid w:val="00361E83"/>
    <w:rsid w:val="003643AA"/>
    <w:rsid w:val="00372FB0"/>
    <w:rsid w:val="003734FB"/>
    <w:rsid w:val="00374BDD"/>
    <w:rsid w:val="0041039E"/>
    <w:rsid w:val="00423592"/>
    <w:rsid w:val="0042594B"/>
    <w:rsid w:val="00435473"/>
    <w:rsid w:val="00441C50"/>
    <w:rsid w:val="00453977"/>
    <w:rsid w:val="00472A1F"/>
    <w:rsid w:val="0047734D"/>
    <w:rsid w:val="00483763"/>
    <w:rsid w:val="004B40BF"/>
    <w:rsid w:val="004C52B1"/>
    <w:rsid w:val="004C79B6"/>
    <w:rsid w:val="004E17DC"/>
    <w:rsid w:val="004E6A2E"/>
    <w:rsid w:val="00520DAC"/>
    <w:rsid w:val="00522349"/>
    <w:rsid w:val="00542CA9"/>
    <w:rsid w:val="005451F5"/>
    <w:rsid w:val="0055055F"/>
    <w:rsid w:val="005753F9"/>
    <w:rsid w:val="005802F6"/>
    <w:rsid w:val="005943AF"/>
    <w:rsid w:val="005B2A31"/>
    <w:rsid w:val="005C65E9"/>
    <w:rsid w:val="0060639E"/>
    <w:rsid w:val="00616418"/>
    <w:rsid w:val="00622E2A"/>
    <w:rsid w:val="00655512"/>
    <w:rsid w:val="006639AE"/>
    <w:rsid w:val="0068173A"/>
    <w:rsid w:val="00686DAB"/>
    <w:rsid w:val="006973AF"/>
    <w:rsid w:val="006C235D"/>
    <w:rsid w:val="006E097C"/>
    <w:rsid w:val="006F6C41"/>
    <w:rsid w:val="00712E5D"/>
    <w:rsid w:val="007324A9"/>
    <w:rsid w:val="00737748"/>
    <w:rsid w:val="00741D8F"/>
    <w:rsid w:val="00752E09"/>
    <w:rsid w:val="00754116"/>
    <w:rsid w:val="007658BD"/>
    <w:rsid w:val="007741C5"/>
    <w:rsid w:val="00792ACA"/>
    <w:rsid w:val="007D29BC"/>
    <w:rsid w:val="007F7961"/>
    <w:rsid w:val="008356DF"/>
    <w:rsid w:val="0085394D"/>
    <w:rsid w:val="00867B6F"/>
    <w:rsid w:val="00875EB2"/>
    <w:rsid w:val="008860FA"/>
    <w:rsid w:val="0092148D"/>
    <w:rsid w:val="009232F1"/>
    <w:rsid w:val="00941803"/>
    <w:rsid w:val="0096578B"/>
    <w:rsid w:val="00971345"/>
    <w:rsid w:val="0099712C"/>
    <w:rsid w:val="009B346C"/>
    <w:rsid w:val="00A024A9"/>
    <w:rsid w:val="00A05077"/>
    <w:rsid w:val="00A05318"/>
    <w:rsid w:val="00A34BC3"/>
    <w:rsid w:val="00A5177D"/>
    <w:rsid w:val="00A60AEC"/>
    <w:rsid w:val="00A6775A"/>
    <w:rsid w:val="00A67DCA"/>
    <w:rsid w:val="00A7160B"/>
    <w:rsid w:val="00A71A5E"/>
    <w:rsid w:val="00A7778E"/>
    <w:rsid w:val="00A90A8F"/>
    <w:rsid w:val="00A92636"/>
    <w:rsid w:val="00AB0003"/>
    <w:rsid w:val="00AE0050"/>
    <w:rsid w:val="00B207DA"/>
    <w:rsid w:val="00B22507"/>
    <w:rsid w:val="00B34A24"/>
    <w:rsid w:val="00B45A13"/>
    <w:rsid w:val="00B463A5"/>
    <w:rsid w:val="00B52594"/>
    <w:rsid w:val="00B52E4F"/>
    <w:rsid w:val="00B5416A"/>
    <w:rsid w:val="00B70A3C"/>
    <w:rsid w:val="00B7155A"/>
    <w:rsid w:val="00B742CB"/>
    <w:rsid w:val="00B92C01"/>
    <w:rsid w:val="00BA15E2"/>
    <w:rsid w:val="00BF1E52"/>
    <w:rsid w:val="00C040DF"/>
    <w:rsid w:val="00C643FC"/>
    <w:rsid w:val="00C65D4A"/>
    <w:rsid w:val="00C760EB"/>
    <w:rsid w:val="00C8445E"/>
    <w:rsid w:val="00CA1380"/>
    <w:rsid w:val="00CE1DCF"/>
    <w:rsid w:val="00D1509B"/>
    <w:rsid w:val="00D20127"/>
    <w:rsid w:val="00D23D43"/>
    <w:rsid w:val="00D56137"/>
    <w:rsid w:val="00D61F41"/>
    <w:rsid w:val="00D748A3"/>
    <w:rsid w:val="00D8113C"/>
    <w:rsid w:val="00DC50AC"/>
    <w:rsid w:val="00DD3922"/>
    <w:rsid w:val="00DE54DA"/>
    <w:rsid w:val="00DF5A98"/>
    <w:rsid w:val="00E10697"/>
    <w:rsid w:val="00E62F45"/>
    <w:rsid w:val="00E84D2D"/>
    <w:rsid w:val="00EA0D75"/>
    <w:rsid w:val="00EA61AF"/>
    <w:rsid w:val="00EB6783"/>
    <w:rsid w:val="00EC0D9A"/>
    <w:rsid w:val="00ED7EF4"/>
    <w:rsid w:val="00EE3622"/>
    <w:rsid w:val="00EE629B"/>
    <w:rsid w:val="00EE6ABC"/>
    <w:rsid w:val="00EF6F2F"/>
    <w:rsid w:val="00F23905"/>
    <w:rsid w:val="00F2536F"/>
    <w:rsid w:val="00F30AB5"/>
    <w:rsid w:val="00F434B0"/>
    <w:rsid w:val="00F6343A"/>
    <w:rsid w:val="00F9635A"/>
    <w:rsid w:val="00FB6CAD"/>
    <w:rsid w:val="00FB7C3A"/>
    <w:rsid w:val="00FC423A"/>
    <w:rsid w:val="00FE0DD9"/>
    <w:rsid w:val="00FE29A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B3B0-EBEB-4AF8-AAE8-AE9B0DEC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E4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B49"/>
  </w:style>
  <w:style w:type="paragraph" w:styleId="a6">
    <w:name w:val="Normal (Web)"/>
    <w:aliases w:val="Обычный (веб) Знак1,Обычный (веб) Знак Знак"/>
    <w:basedOn w:val="a"/>
    <w:uiPriority w:val="99"/>
    <w:rsid w:val="002E4B49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2E4B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A053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531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43A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71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71B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71B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71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71B7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8860FA"/>
    <w:pPr>
      <w:ind w:left="720"/>
      <w:contextualSpacing/>
    </w:pPr>
  </w:style>
  <w:style w:type="paragraph" w:styleId="af2">
    <w:name w:val="Revision"/>
    <w:hidden/>
    <w:uiPriority w:val="99"/>
    <w:semiHidden/>
    <w:rsid w:val="00741D8F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A0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0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1816-1151-4A4B-A126-AC59BC45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Михаил Витальевич</dc:creator>
  <cp:keywords/>
  <dc:description/>
  <cp:lastModifiedBy>Ушаков Михаил Витальевич</cp:lastModifiedBy>
  <cp:revision>2</cp:revision>
  <cp:lastPrinted>2017-08-04T13:45:00Z</cp:lastPrinted>
  <dcterms:created xsi:type="dcterms:W3CDTF">2017-08-11T08:51:00Z</dcterms:created>
  <dcterms:modified xsi:type="dcterms:W3CDTF">2017-08-11T08:51:00Z</dcterms:modified>
</cp:coreProperties>
</file>