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91"/>
        <w:gridCol w:w="4274"/>
        <w:tblGridChange w:id="0">
          <w:tblGrid>
            <w:gridCol w:w="5791"/>
            <w:gridCol w:w="4274"/>
          </w:tblGrid>
        </w:tblGridChange>
      </w:tblGrid>
      <w:tr w:rsidR="00917FE4" w:rsidRPr="00C854B1" w:rsidTr="00917FE4">
        <w:trPr>
          <w:trHeight w:val="233"/>
        </w:trPr>
        <w:tc>
          <w:tcPr>
            <w:tcW w:w="5791" w:type="dxa"/>
            <w:tcBorders>
              <w:bottom w:val="single" w:sz="4" w:space="0" w:color="auto"/>
            </w:tcBorders>
          </w:tcPr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b/>
                <w:sz w:val="22"/>
                <w:szCs w:val="22"/>
              </w:rPr>
              <w:t xml:space="preserve">Комиссионное вознаграждение за </w:t>
            </w:r>
            <w:r w:rsidRPr="00C854B1">
              <w:rPr>
                <w:rFonts w:cs="Times New Roman"/>
                <w:b/>
                <w:sz w:val="22"/>
                <w:szCs w:val="22"/>
              </w:rPr>
              <w:t>клиринг при исполнении фьючерсных контрактов</w:t>
            </w:r>
            <w:r w:rsidRPr="00C854B1">
              <w:rPr>
                <w:rFonts w:cs="Times New Roman"/>
                <w:sz w:val="22"/>
                <w:szCs w:val="22"/>
              </w:rPr>
              <w:t>,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за один контракт:</w:t>
            </w:r>
          </w:p>
        </w:tc>
        <w:tc>
          <w:tcPr>
            <w:tcW w:w="4274" w:type="dxa"/>
          </w:tcPr>
          <w:p w:rsidR="00917FE4" w:rsidRPr="00C854B1" w:rsidRDefault="00917FE4" w:rsidP="00071304">
            <w:pPr>
              <w:pStyle w:val="Text"/>
              <w:jc w:val="center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Взимается с Участника клиринга, являющегося стороной фьючерсного контракта.</w:t>
            </w:r>
          </w:p>
        </w:tc>
      </w:tr>
      <w:tr w:rsidR="00917FE4" w:rsidRPr="00C854B1" w:rsidTr="00917FE4">
        <w:trPr>
          <w:trHeight w:val="233"/>
        </w:trPr>
        <w:tc>
          <w:tcPr>
            <w:tcW w:w="5791" w:type="dxa"/>
            <w:tcBorders>
              <w:bottom w:val="single" w:sz="4" w:space="0" w:color="auto"/>
            </w:tcBorders>
          </w:tcPr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волатильность российского рынка</w:t>
            </w:r>
          </w:p>
        </w:tc>
        <w:tc>
          <w:tcPr>
            <w:tcW w:w="4274" w:type="dxa"/>
            <w:vAlign w:val="center"/>
          </w:tcPr>
          <w:p w:rsidR="00917FE4" w:rsidRPr="00C854B1" w:rsidRDefault="00917FE4" w:rsidP="00071304">
            <w:pPr>
              <w:pStyle w:val="Text"/>
              <w:jc w:val="center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0,2 руб.</w:t>
            </w:r>
          </w:p>
        </w:tc>
      </w:tr>
      <w:tr w:rsidR="00917FE4" w:rsidRPr="00C854B1" w:rsidTr="00917FE4">
        <w:trPr>
          <w:trHeight w:val="471"/>
        </w:trPr>
        <w:tc>
          <w:tcPr>
            <w:tcW w:w="5791" w:type="dxa"/>
          </w:tcPr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 xml:space="preserve">- на ставку трехмесячного кредита </w:t>
            </w:r>
            <w:proofErr w:type="spellStart"/>
            <w:r w:rsidRPr="00C854B1">
              <w:rPr>
                <w:rFonts w:cs="Times New Roman"/>
                <w:sz w:val="22"/>
                <w:szCs w:val="22"/>
                <w:lang w:val="en-US"/>
              </w:rPr>
              <w:t>MosPrime</w:t>
            </w:r>
            <w:proofErr w:type="spellEnd"/>
            <w:r w:rsidRPr="00C854B1">
              <w:rPr>
                <w:rFonts w:cs="Times New Roman"/>
                <w:sz w:val="22"/>
                <w:szCs w:val="22"/>
              </w:rPr>
              <w:t>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 xml:space="preserve">- на Индекс </w:t>
            </w:r>
            <w:proofErr w:type="spellStart"/>
            <w:r w:rsidRPr="00C854B1">
              <w:rPr>
                <w:rFonts w:cs="Times New Roman"/>
                <w:sz w:val="22"/>
                <w:szCs w:val="22"/>
              </w:rPr>
              <w:t>МосБиржи</w:t>
            </w:r>
            <w:proofErr w:type="spellEnd"/>
            <w:r w:rsidRPr="00C854B1">
              <w:rPr>
                <w:rFonts w:cs="Times New Roman"/>
                <w:sz w:val="22"/>
                <w:szCs w:val="22"/>
              </w:rPr>
              <w:t xml:space="preserve"> (мини);</w:t>
            </w:r>
          </w:p>
        </w:tc>
        <w:tc>
          <w:tcPr>
            <w:tcW w:w="4274" w:type="dxa"/>
            <w:vAlign w:val="center"/>
          </w:tcPr>
          <w:p w:rsidR="00917FE4" w:rsidRPr="00C854B1" w:rsidRDefault="00917FE4" w:rsidP="00071304">
            <w:pPr>
              <w:pStyle w:val="Text"/>
              <w:jc w:val="center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0,3 руб.</w:t>
            </w:r>
          </w:p>
        </w:tc>
      </w:tr>
      <w:tr w:rsidR="00917FE4" w:rsidRPr="00C854B1" w:rsidTr="00917FE4">
        <w:trPr>
          <w:trHeight w:val="360"/>
        </w:trPr>
        <w:tc>
          <w:tcPr>
            <w:tcW w:w="5791" w:type="dxa"/>
            <w:tcBorders>
              <w:bottom w:val="single" w:sz="4" w:space="0" w:color="auto"/>
            </w:tcBorders>
          </w:tcPr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 xml:space="preserve">- </w:t>
            </w:r>
            <w:r w:rsidRPr="00C854B1">
              <w:rPr>
                <w:sz w:val="22"/>
                <w:szCs w:val="22"/>
              </w:rPr>
              <w:t>на курс доллар США – российский рубль</w:t>
            </w:r>
            <w:r w:rsidRPr="00C854B1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 xml:space="preserve">- </w:t>
            </w:r>
            <w:r w:rsidRPr="00C854B1">
              <w:rPr>
                <w:rFonts w:eastAsia="Arial Unicode MS"/>
                <w:bCs/>
                <w:sz w:val="22"/>
                <w:szCs w:val="22"/>
              </w:rPr>
              <w:t xml:space="preserve">на </w:t>
            </w:r>
            <w:r w:rsidRPr="00C854B1">
              <w:rPr>
                <w:bCs/>
                <w:sz w:val="22"/>
                <w:szCs w:val="22"/>
              </w:rPr>
              <w:t xml:space="preserve">курс евро </w:t>
            </w:r>
            <w:r w:rsidRPr="00C854B1">
              <w:rPr>
                <w:sz w:val="22"/>
                <w:szCs w:val="22"/>
              </w:rPr>
              <w:t>–</w:t>
            </w:r>
            <w:r w:rsidRPr="00C854B1">
              <w:rPr>
                <w:bCs/>
                <w:sz w:val="22"/>
                <w:szCs w:val="22"/>
              </w:rPr>
              <w:t xml:space="preserve"> доллар США</w:t>
            </w:r>
            <w:r w:rsidRPr="00C854B1">
              <w:rPr>
                <w:rFonts w:cs="Times New Roman"/>
                <w:sz w:val="22"/>
                <w:szCs w:val="22"/>
              </w:rPr>
              <w:t>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 xml:space="preserve">- </w:t>
            </w:r>
            <w:r w:rsidRPr="00C854B1">
              <w:rPr>
                <w:sz w:val="22"/>
                <w:szCs w:val="22"/>
              </w:rPr>
              <w:t>на курс евро – российский рубль</w:t>
            </w:r>
            <w:r w:rsidRPr="00C854B1">
              <w:rPr>
                <w:rFonts w:cs="Times New Roman"/>
                <w:sz w:val="22"/>
                <w:szCs w:val="22"/>
              </w:rPr>
              <w:t>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курс фунт стерлингов – доллар США;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курс австралийский доллар – доллар США;</w:t>
            </w:r>
          </w:p>
          <w:p w:rsidR="00917FE4" w:rsidRPr="00C854B1" w:rsidRDefault="00917FE4" w:rsidP="00071304">
            <w:pPr>
              <w:ind w:firstLine="0"/>
              <w:rPr>
                <w:sz w:val="22"/>
                <w:szCs w:val="22"/>
              </w:rPr>
            </w:pPr>
            <w:r w:rsidRPr="00C854B1">
              <w:rPr>
                <w:sz w:val="22"/>
                <w:szCs w:val="22"/>
              </w:rPr>
              <w:t>- на курс доллар США – японская йена;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курс доллар США – швейцарский франк;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C854B1">
              <w:rPr>
                <w:rFonts w:cs="Times New Roman"/>
                <w:sz w:val="22"/>
                <w:szCs w:val="22"/>
                <w:lang w:val="en-US"/>
              </w:rPr>
              <w:t xml:space="preserve">- </w:t>
            </w:r>
            <w:r w:rsidRPr="00C854B1">
              <w:rPr>
                <w:rFonts w:cs="Times New Roman"/>
                <w:sz w:val="22"/>
                <w:szCs w:val="22"/>
              </w:rPr>
              <w:t>на</w:t>
            </w:r>
            <w:r w:rsidRPr="00C854B1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C854B1">
              <w:rPr>
                <w:rFonts w:cs="Times New Roman"/>
                <w:sz w:val="22"/>
                <w:szCs w:val="22"/>
              </w:rPr>
              <w:t>нефть</w:t>
            </w:r>
            <w:r w:rsidRPr="00C854B1">
              <w:rPr>
                <w:rFonts w:cs="Times New Roman"/>
                <w:sz w:val="22"/>
                <w:szCs w:val="22"/>
                <w:lang w:val="en-US"/>
              </w:rPr>
              <w:t xml:space="preserve"> BRENT;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  <w:lang w:val="en-US"/>
              </w:rPr>
            </w:pPr>
            <w:r w:rsidRPr="00C854B1">
              <w:rPr>
                <w:rFonts w:cs="Times New Roman"/>
                <w:sz w:val="22"/>
                <w:szCs w:val="22"/>
                <w:lang w:val="en-US"/>
              </w:rPr>
              <w:t xml:space="preserve">- </w:t>
            </w:r>
            <w:r w:rsidRPr="00C854B1">
              <w:rPr>
                <w:rFonts w:cs="Times New Roman"/>
                <w:sz w:val="22"/>
                <w:szCs w:val="22"/>
              </w:rPr>
              <w:t>на</w:t>
            </w:r>
            <w:r w:rsidRPr="00C854B1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 w:rsidRPr="00C854B1">
              <w:rPr>
                <w:rFonts w:cs="Times New Roman"/>
                <w:sz w:val="22"/>
                <w:szCs w:val="22"/>
              </w:rPr>
              <w:t>нефть</w:t>
            </w:r>
            <w:r w:rsidRPr="00C854B1">
              <w:rPr>
                <w:rFonts w:cs="Times New Roman"/>
                <w:sz w:val="22"/>
                <w:szCs w:val="22"/>
                <w:lang w:val="en-US"/>
              </w:rPr>
              <w:t xml:space="preserve"> Light Sweet Crude Oil;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золото;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 xml:space="preserve">- на обыкновенные акции </w:t>
            </w:r>
            <w:proofErr w:type="spellStart"/>
            <w:r w:rsidRPr="00C854B1">
              <w:rPr>
                <w:rFonts w:cs="Times New Roman"/>
                <w:sz w:val="22"/>
                <w:szCs w:val="22"/>
              </w:rPr>
              <w:t>Deutsche</w:t>
            </w:r>
            <w:proofErr w:type="spellEnd"/>
            <w:r w:rsidRPr="00C854B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854B1">
              <w:rPr>
                <w:rFonts w:cs="Times New Roman"/>
                <w:sz w:val="22"/>
                <w:szCs w:val="22"/>
              </w:rPr>
              <w:t>Bank</w:t>
            </w:r>
            <w:proofErr w:type="spellEnd"/>
            <w:r w:rsidRPr="00C854B1">
              <w:rPr>
                <w:rFonts w:cs="Times New Roman"/>
                <w:sz w:val="22"/>
                <w:szCs w:val="22"/>
              </w:rPr>
              <w:t xml:space="preserve"> AG;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сахар-сырец;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медь, номинированную в российских рублях;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курс доллар США – турецкая лира;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курс доллар США – канадский доллар;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курс доллар США – индийская рупия;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природный газ;</w:t>
            </w:r>
          </w:p>
        </w:tc>
        <w:tc>
          <w:tcPr>
            <w:tcW w:w="4274" w:type="dxa"/>
            <w:vAlign w:val="center"/>
          </w:tcPr>
          <w:p w:rsidR="00917FE4" w:rsidRPr="00C854B1" w:rsidRDefault="00917FE4" w:rsidP="00071304">
            <w:pPr>
              <w:pStyle w:val="Text"/>
              <w:jc w:val="center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1 руб.</w:t>
            </w:r>
          </w:p>
        </w:tc>
      </w:tr>
      <w:tr w:rsidR="00917FE4" w:rsidRPr="00C854B1" w:rsidTr="00917FE4">
        <w:trPr>
          <w:trHeight w:val="312"/>
        </w:trPr>
        <w:tc>
          <w:tcPr>
            <w:tcW w:w="5791" w:type="dxa"/>
            <w:tcBorders>
              <w:top w:val="single" w:sz="4" w:space="0" w:color="auto"/>
            </w:tcBorders>
          </w:tcPr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 xml:space="preserve">- на обыкновенные акции </w:t>
            </w:r>
            <w:proofErr w:type="spellStart"/>
            <w:r w:rsidRPr="00C854B1">
              <w:rPr>
                <w:rFonts w:cs="Times New Roman"/>
                <w:sz w:val="22"/>
                <w:szCs w:val="22"/>
              </w:rPr>
              <w:t>Daimler</w:t>
            </w:r>
            <w:proofErr w:type="spellEnd"/>
            <w:r w:rsidRPr="00C854B1">
              <w:rPr>
                <w:rFonts w:cs="Times New Roman"/>
                <w:sz w:val="22"/>
                <w:szCs w:val="22"/>
              </w:rPr>
              <w:t xml:space="preserve"> AG;</w:t>
            </w:r>
          </w:p>
        </w:tc>
        <w:tc>
          <w:tcPr>
            <w:tcW w:w="4274" w:type="dxa"/>
            <w:tcBorders>
              <w:bottom w:val="single" w:sz="4" w:space="0" w:color="auto"/>
            </w:tcBorders>
            <w:vAlign w:val="center"/>
          </w:tcPr>
          <w:p w:rsidR="00917FE4" w:rsidRPr="00C854B1" w:rsidRDefault="00917FE4" w:rsidP="00071304">
            <w:pPr>
              <w:pStyle w:val="Text"/>
              <w:jc w:val="center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1,50 руб.</w:t>
            </w:r>
          </w:p>
        </w:tc>
      </w:tr>
      <w:tr w:rsidR="00917FE4" w:rsidRPr="00C854B1" w:rsidTr="00917FE4">
        <w:trPr>
          <w:trHeight w:val="354"/>
        </w:trPr>
        <w:tc>
          <w:tcPr>
            <w:tcW w:w="5791" w:type="dxa"/>
          </w:tcPr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Индекс РТС;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серебро;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платину;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палладий;</w:t>
            </w:r>
          </w:p>
          <w:p w:rsidR="00917FE4" w:rsidRPr="00C854B1" w:rsidRDefault="00917FE4" w:rsidP="00071304">
            <w:pPr>
              <w:pStyle w:val="Tex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Индекс голубых фишек;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курс китайский юань – российский рубль;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ставку MOEXREPO;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 xml:space="preserve">- на ставку </w:t>
            </w:r>
            <w:r w:rsidRPr="00C854B1">
              <w:rPr>
                <w:rFonts w:cs="Times New Roman"/>
                <w:sz w:val="22"/>
                <w:szCs w:val="22"/>
                <w:lang w:val="en-US"/>
              </w:rPr>
              <w:t>RUONIA</w:t>
            </w:r>
            <w:r w:rsidRPr="00C854B1">
              <w:rPr>
                <w:rFonts w:cs="Times New Roman"/>
                <w:sz w:val="22"/>
                <w:szCs w:val="22"/>
              </w:rPr>
              <w:t>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ставку RUSFAR;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ставку RUSFARUSD;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алюминий;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C854B1">
              <w:rPr>
                <w:rFonts w:cs="Times New Roman"/>
                <w:b/>
                <w:bCs/>
                <w:sz w:val="22"/>
                <w:szCs w:val="22"/>
              </w:rPr>
              <w:t xml:space="preserve">- </w:t>
            </w:r>
            <w:r w:rsidRPr="00C854B1">
              <w:rPr>
                <w:rFonts w:cs="Times New Roman"/>
                <w:bCs/>
                <w:sz w:val="22"/>
                <w:szCs w:val="22"/>
              </w:rPr>
              <w:t>на цинк;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C854B1">
              <w:rPr>
                <w:rFonts w:cs="Times New Roman"/>
                <w:bCs/>
                <w:sz w:val="22"/>
                <w:szCs w:val="22"/>
              </w:rPr>
              <w:t>- на медь, номинированную в иностранной валюте;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bCs/>
                <w:sz w:val="22"/>
                <w:szCs w:val="22"/>
              </w:rPr>
            </w:pPr>
            <w:r w:rsidRPr="00C854B1">
              <w:rPr>
                <w:rFonts w:cs="Times New Roman"/>
                <w:bCs/>
                <w:sz w:val="22"/>
                <w:szCs w:val="22"/>
              </w:rPr>
              <w:t>- на никель;</w:t>
            </w:r>
          </w:p>
        </w:tc>
        <w:tc>
          <w:tcPr>
            <w:tcW w:w="4274" w:type="dxa"/>
            <w:vAlign w:val="center"/>
          </w:tcPr>
          <w:p w:rsidR="00917FE4" w:rsidRPr="00C854B1" w:rsidRDefault="00917FE4" w:rsidP="00071304">
            <w:pPr>
              <w:pStyle w:val="Text"/>
              <w:jc w:val="center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2 руб.</w:t>
            </w:r>
          </w:p>
        </w:tc>
      </w:tr>
      <w:tr w:rsidR="00917FE4" w:rsidRPr="00C854B1" w:rsidTr="00917FE4">
        <w:trPr>
          <w:trHeight w:val="696"/>
        </w:trPr>
        <w:tc>
          <w:tcPr>
            <w:tcW w:w="5791" w:type="dxa"/>
            <w:tcBorders>
              <w:bottom w:val="single" w:sz="4" w:space="0" w:color="auto"/>
            </w:tcBorders>
          </w:tcPr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 xml:space="preserve">- на обыкновенные акции </w:t>
            </w:r>
            <w:proofErr w:type="spellStart"/>
            <w:r w:rsidRPr="00C854B1">
              <w:rPr>
                <w:rFonts w:cs="Times New Roman"/>
                <w:sz w:val="22"/>
                <w:szCs w:val="22"/>
              </w:rPr>
              <w:t>Siemens</w:t>
            </w:r>
            <w:proofErr w:type="spellEnd"/>
            <w:r w:rsidRPr="00C854B1">
              <w:rPr>
                <w:rFonts w:cs="Times New Roman"/>
                <w:sz w:val="22"/>
                <w:szCs w:val="22"/>
              </w:rPr>
              <w:t xml:space="preserve"> AG;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обыкновенные акции BMW AG;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пропан-бутан;</w:t>
            </w:r>
          </w:p>
        </w:tc>
        <w:tc>
          <w:tcPr>
            <w:tcW w:w="4274" w:type="dxa"/>
            <w:tcBorders>
              <w:bottom w:val="single" w:sz="4" w:space="0" w:color="auto"/>
            </w:tcBorders>
            <w:vAlign w:val="center"/>
          </w:tcPr>
          <w:p w:rsidR="00917FE4" w:rsidRPr="00C854B1" w:rsidRDefault="00917FE4" w:rsidP="00071304">
            <w:pPr>
              <w:pStyle w:val="Text"/>
              <w:jc w:val="center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2,50 руб.</w:t>
            </w:r>
          </w:p>
        </w:tc>
      </w:tr>
      <w:tr w:rsidR="00917FE4" w:rsidRPr="00C854B1" w:rsidTr="00917FE4">
        <w:trPr>
          <w:trHeight w:val="335"/>
        </w:trPr>
        <w:tc>
          <w:tcPr>
            <w:tcW w:w="5791" w:type="dxa"/>
            <w:tcBorders>
              <w:bottom w:val="single" w:sz="4" w:space="0" w:color="auto"/>
            </w:tcBorders>
          </w:tcPr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 xml:space="preserve">- на Индекс </w:t>
            </w:r>
            <w:proofErr w:type="spellStart"/>
            <w:r w:rsidRPr="00C854B1">
              <w:rPr>
                <w:rFonts w:cs="Times New Roman"/>
                <w:sz w:val="22"/>
                <w:szCs w:val="22"/>
              </w:rPr>
              <w:t>МосБиржи</w:t>
            </w:r>
            <w:proofErr w:type="spellEnd"/>
            <w:r w:rsidRPr="00C854B1">
              <w:rPr>
                <w:rFonts w:cs="Times New Roman"/>
                <w:sz w:val="22"/>
                <w:szCs w:val="22"/>
              </w:rPr>
              <w:t>;</w:t>
            </w:r>
          </w:p>
        </w:tc>
        <w:tc>
          <w:tcPr>
            <w:tcW w:w="4274" w:type="dxa"/>
            <w:tcBorders>
              <w:bottom w:val="single" w:sz="4" w:space="0" w:color="auto"/>
            </w:tcBorders>
            <w:vAlign w:val="center"/>
          </w:tcPr>
          <w:p w:rsidR="00917FE4" w:rsidRPr="00C854B1" w:rsidRDefault="00917FE4" w:rsidP="00071304">
            <w:pPr>
              <w:pStyle w:val="Text"/>
              <w:jc w:val="center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3 руб.</w:t>
            </w:r>
          </w:p>
        </w:tc>
      </w:tr>
      <w:tr w:rsidR="00917FE4" w:rsidRPr="00C854B1" w:rsidTr="00917FE4">
        <w:trPr>
          <w:trHeight w:val="802"/>
        </w:trPr>
        <w:tc>
          <w:tcPr>
            <w:tcW w:w="5791" w:type="dxa"/>
            <w:tcBorders>
              <w:bottom w:val="single" w:sz="4" w:space="0" w:color="auto"/>
            </w:tcBorders>
          </w:tcPr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  <w:lang w:val="ru-MD"/>
              </w:rPr>
            </w:pPr>
            <w:r w:rsidRPr="00C854B1">
              <w:rPr>
                <w:rFonts w:cs="Times New Roman"/>
                <w:sz w:val="22"/>
                <w:szCs w:val="22"/>
                <w:lang w:val="ru-MD"/>
              </w:rPr>
              <w:t xml:space="preserve">- на привилегированные акции </w:t>
            </w:r>
            <w:proofErr w:type="spellStart"/>
            <w:r w:rsidRPr="00C854B1">
              <w:rPr>
                <w:rFonts w:cs="Times New Roman"/>
                <w:sz w:val="22"/>
                <w:szCs w:val="22"/>
                <w:lang w:val="ru-MD"/>
              </w:rPr>
              <w:t>Volkswagen</w:t>
            </w:r>
            <w:proofErr w:type="spellEnd"/>
            <w:r w:rsidRPr="00C854B1">
              <w:rPr>
                <w:rFonts w:cs="Times New Roman"/>
                <w:sz w:val="22"/>
                <w:szCs w:val="22"/>
                <w:lang w:val="ru-MD"/>
              </w:rPr>
              <w:t xml:space="preserve"> AG;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 xml:space="preserve">- на Индекс </w:t>
            </w:r>
            <w:r w:rsidRPr="00C854B1">
              <w:rPr>
                <w:rFonts w:cs="Times New Roman"/>
                <w:sz w:val="22"/>
                <w:szCs w:val="22"/>
                <w:lang w:val="en-US"/>
              </w:rPr>
              <w:t>BOVESPA</w:t>
            </w:r>
            <w:r w:rsidRPr="00C854B1">
              <w:rPr>
                <w:rFonts w:cs="Times New Roman"/>
                <w:sz w:val="22"/>
                <w:szCs w:val="22"/>
              </w:rPr>
              <w:t>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 xml:space="preserve">- на Индекс </w:t>
            </w:r>
            <w:r w:rsidRPr="00C854B1">
              <w:rPr>
                <w:rFonts w:cs="Times New Roman"/>
                <w:sz w:val="22"/>
                <w:szCs w:val="22"/>
                <w:lang w:val="en-US"/>
              </w:rPr>
              <w:t>SENSEX</w:t>
            </w:r>
            <w:r w:rsidRPr="00C854B1">
              <w:rPr>
                <w:rFonts w:cs="Times New Roman"/>
                <w:sz w:val="22"/>
                <w:szCs w:val="22"/>
              </w:rPr>
              <w:t>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 xml:space="preserve">- на Индекс </w:t>
            </w:r>
            <w:r w:rsidRPr="00C854B1">
              <w:rPr>
                <w:rFonts w:cs="Times New Roman"/>
                <w:sz w:val="22"/>
                <w:szCs w:val="22"/>
                <w:lang w:val="en-US"/>
              </w:rPr>
              <w:t>Hang</w:t>
            </w:r>
            <w:r w:rsidRPr="00C854B1">
              <w:rPr>
                <w:rFonts w:cs="Times New Roman"/>
                <w:sz w:val="22"/>
                <w:szCs w:val="22"/>
              </w:rPr>
              <w:t xml:space="preserve"> </w:t>
            </w:r>
            <w:r w:rsidRPr="00C854B1">
              <w:rPr>
                <w:rFonts w:cs="Times New Roman"/>
                <w:sz w:val="22"/>
                <w:szCs w:val="22"/>
                <w:lang w:val="en-US"/>
              </w:rPr>
              <w:t>Seng</w:t>
            </w:r>
            <w:r w:rsidRPr="00C854B1">
              <w:rPr>
                <w:rFonts w:cs="Times New Roman"/>
                <w:sz w:val="22"/>
                <w:szCs w:val="22"/>
              </w:rPr>
              <w:t>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 xml:space="preserve">- на Индекс </w:t>
            </w:r>
            <w:r w:rsidRPr="00C854B1">
              <w:rPr>
                <w:rFonts w:cs="Times New Roman"/>
                <w:sz w:val="22"/>
                <w:szCs w:val="22"/>
                <w:lang w:val="en-US"/>
              </w:rPr>
              <w:t>FTSE</w:t>
            </w:r>
            <w:r w:rsidRPr="00C854B1">
              <w:rPr>
                <w:rFonts w:cs="Times New Roman"/>
                <w:sz w:val="22"/>
                <w:szCs w:val="22"/>
              </w:rPr>
              <w:t>/</w:t>
            </w:r>
            <w:r w:rsidRPr="00C854B1">
              <w:rPr>
                <w:rFonts w:cs="Times New Roman"/>
                <w:sz w:val="22"/>
                <w:szCs w:val="22"/>
                <w:lang w:val="en-US"/>
              </w:rPr>
              <w:t>JSE</w:t>
            </w:r>
            <w:r w:rsidRPr="00C854B1">
              <w:rPr>
                <w:rFonts w:cs="Times New Roman"/>
                <w:sz w:val="22"/>
                <w:szCs w:val="22"/>
              </w:rPr>
              <w:t xml:space="preserve"> </w:t>
            </w:r>
            <w:r w:rsidRPr="00C854B1">
              <w:rPr>
                <w:rFonts w:cs="Times New Roman"/>
                <w:sz w:val="22"/>
                <w:szCs w:val="22"/>
                <w:lang w:val="en-US"/>
              </w:rPr>
              <w:t>Top</w:t>
            </w:r>
            <w:r w:rsidRPr="00C854B1">
              <w:rPr>
                <w:rFonts w:cs="Times New Roman"/>
                <w:sz w:val="22"/>
                <w:szCs w:val="22"/>
              </w:rPr>
              <w:t>40;</w:t>
            </w:r>
          </w:p>
        </w:tc>
        <w:tc>
          <w:tcPr>
            <w:tcW w:w="4274" w:type="dxa"/>
            <w:tcBorders>
              <w:bottom w:val="single" w:sz="4" w:space="0" w:color="auto"/>
            </w:tcBorders>
            <w:vAlign w:val="center"/>
          </w:tcPr>
          <w:p w:rsidR="00917FE4" w:rsidRPr="00C854B1" w:rsidRDefault="00917FE4" w:rsidP="00071304">
            <w:pPr>
              <w:pStyle w:val="Text"/>
              <w:jc w:val="center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4 руб.</w:t>
            </w:r>
          </w:p>
        </w:tc>
      </w:tr>
      <w:tr w:rsidR="00917FE4" w:rsidRPr="00C854B1" w:rsidTr="00917FE4">
        <w:trPr>
          <w:trHeight w:val="343"/>
        </w:trPr>
        <w:tc>
          <w:tcPr>
            <w:tcW w:w="5791" w:type="dxa"/>
          </w:tcPr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курс доллар США – украинская гривна.</w:t>
            </w:r>
          </w:p>
        </w:tc>
        <w:tc>
          <w:tcPr>
            <w:tcW w:w="4274" w:type="dxa"/>
            <w:vAlign w:val="center"/>
          </w:tcPr>
          <w:p w:rsidR="00917FE4" w:rsidRPr="00C854B1" w:rsidRDefault="00917FE4" w:rsidP="00071304">
            <w:pPr>
              <w:pStyle w:val="Text"/>
              <w:jc w:val="center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10 руб.</w:t>
            </w:r>
          </w:p>
        </w:tc>
      </w:tr>
      <w:tr w:rsidR="00917FE4" w:rsidRPr="00C854B1" w:rsidTr="00917FE4">
        <w:trPr>
          <w:trHeight w:val="942"/>
        </w:trPr>
        <w:tc>
          <w:tcPr>
            <w:tcW w:w="5791" w:type="dxa"/>
          </w:tcPr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b/>
                <w:sz w:val="22"/>
                <w:szCs w:val="22"/>
              </w:rPr>
              <w:t xml:space="preserve">Комиссионное вознаграждение за </w:t>
            </w:r>
            <w:r w:rsidRPr="00C854B1">
              <w:rPr>
                <w:rFonts w:cs="Times New Roman"/>
                <w:b/>
                <w:sz w:val="22"/>
                <w:szCs w:val="22"/>
              </w:rPr>
              <w:t xml:space="preserve">клиринг при исполнении </w:t>
            </w:r>
            <w:proofErr w:type="spellStart"/>
            <w:r w:rsidRPr="00C854B1">
              <w:rPr>
                <w:rFonts w:cs="Times New Roman"/>
                <w:b/>
                <w:sz w:val="22"/>
                <w:szCs w:val="22"/>
              </w:rPr>
              <w:t>маржируемых</w:t>
            </w:r>
            <w:proofErr w:type="spellEnd"/>
            <w:r w:rsidRPr="00C854B1">
              <w:rPr>
                <w:rFonts w:cs="Times New Roman"/>
                <w:b/>
                <w:sz w:val="22"/>
                <w:szCs w:val="22"/>
              </w:rPr>
              <w:t xml:space="preserve"> опционных контрактов</w:t>
            </w:r>
            <w:r w:rsidRPr="00C854B1">
              <w:rPr>
                <w:rFonts w:cs="Times New Roman"/>
                <w:sz w:val="22"/>
                <w:szCs w:val="22"/>
              </w:rPr>
              <w:t>,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за один контракт:</w:t>
            </w:r>
          </w:p>
        </w:tc>
        <w:tc>
          <w:tcPr>
            <w:tcW w:w="4274" w:type="dxa"/>
          </w:tcPr>
          <w:p w:rsidR="00917FE4" w:rsidRPr="00C854B1" w:rsidRDefault="00917FE4" w:rsidP="00071304">
            <w:pPr>
              <w:pStyle w:val="Text"/>
              <w:jc w:val="center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Взимается с Участника клиринга, являющегося стороной опционного контракта.</w:t>
            </w:r>
          </w:p>
        </w:tc>
      </w:tr>
      <w:tr w:rsidR="00917FE4" w:rsidRPr="00C854B1" w:rsidTr="00917FE4">
        <w:trPr>
          <w:trHeight w:val="700"/>
        </w:trPr>
        <w:tc>
          <w:tcPr>
            <w:tcW w:w="5791" w:type="dxa"/>
            <w:tcBorders>
              <w:bottom w:val="single" w:sz="4" w:space="0" w:color="auto"/>
            </w:tcBorders>
          </w:tcPr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b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привилегированные акции ПАО Сбербанк;</w:t>
            </w:r>
          </w:p>
        </w:tc>
        <w:tc>
          <w:tcPr>
            <w:tcW w:w="4274" w:type="dxa"/>
            <w:tcBorders>
              <w:bottom w:val="single" w:sz="4" w:space="0" w:color="auto"/>
            </w:tcBorders>
            <w:vAlign w:val="center"/>
          </w:tcPr>
          <w:p w:rsidR="00917FE4" w:rsidRPr="00C854B1" w:rsidRDefault="00917FE4" w:rsidP="00071304">
            <w:pPr>
              <w:pStyle w:val="Text"/>
              <w:jc w:val="center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0,5 руб.</w:t>
            </w:r>
          </w:p>
        </w:tc>
      </w:tr>
      <w:tr w:rsidR="00917FE4" w:rsidRPr="00C854B1" w:rsidTr="00917FE4">
        <w:trPr>
          <w:trHeight w:val="64"/>
        </w:trPr>
        <w:tc>
          <w:tcPr>
            <w:tcW w:w="5791" w:type="dxa"/>
            <w:tcBorders>
              <w:bottom w:val="single" w:sz="4" w:space="0" w:color="auto"/>
            </w:tcBorders>
            <w:vAlign w:val="center"/>
          </w:tcPr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 xml:space="preserve">- на фьючерсный контракт на Индекс </w:t>
            </w:r>
            <w:proofErr w:type="spellStart"/>
            <w:r w:rsidRPr="00C854B1">
              <w:rPr>
                <w:rFonts w:cs="Times New Roman"/>
                <w:sz w:val="22"/>
                <w:szCs w:val="22"/>
              </w:rPr>
              <w:t>МосБиржи</w:t>
            </w:r>
            <w:proofErr w:type="spellEnd"/>
            <w:r w:rsidRPr="00C854B1">
              <w:rPr>
                <w:rFonts w:cs="Times New Roman"/>
                <w:sz w:val="22"/>
                <w:szCs w:val="22"/>
              </w:rPr>
              <w:t xml:space="preserve"> (мини);</w:t>
            </w:r>
          </w:p>
        </w:tc>
        <w:tc>
          <w:tcPr>
            <w:tcW w:w="4274" w:type="dxa"/>
            <w:tcBorders>
              <w:bottom w:val="single" w:sz="4" w:space="0" w:color="auto"/>
            </w:tcBorders>
            <w:vAlign w:val="center"/>
          </w:tcPr>
          <w:p w:rsidR="00917FE4" w:rsidRPr="00C854B1" w:rsidRDefault="00917FE4" w:rsidP="00071304">
            <w:pPr>
              <w:pStyle w:val="Text"/>
              <w:jc w:val="center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0,6 руб.</w:t>
            </w:r>
          </w:p>
        </w:tc>
      </w:tr>
      <w:tr w:rsidR="00917FE4" w:rsidRPr="00C854B1" w:rsidTr="00917FE4">
        <w:trPr>
          <w:trHeight w:val="921"/>
        </w:trPr>
        <w:tc>
          <w:tcPr>
            <w:tcW w:w="5791" w:type="dxa"/>
          </w:tcPr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lastRenderedPageBreak/>
              <w:t>- на фьючерсный контракт на обыкновенные акции ПАО Сбербанк;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 xml:space="preserve">- на фьючерсный контракт на обыкновенные акции ПАО «Татнефть» им. В.Д. </w:t>
            </w:r>
            <w:proofErr w:type="spellStart"/>
            <w:r w:rsidRPr="00C854B1">
              <w:rPr>
                <w:rFonts w:cs="Times New Roman"/>
                <w:sz w:val="22"/>
                <w:szCs w:val="22"/>
              </w:rPr>
              <w:t>Шашина</w:t>
            </w:r>
            <w:proofErr w:type="spellEnd"/>
            <w:r w:rsidRPr="00C854B1">
              <w:rPr>
                <w:rFonts w:cs="Times New Roman"/>
                <w:sz w:val="22"/>
                <w:szCs w:val="22"/>
              </w:rPr>
              <w:t>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  <w:lang w:val="ru-MD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обыкновенные акции Банк ВТБ (ПАО);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обыкновенные акции ПАО «</w:t>
            </w:r>
            <w:proofErr w:type="spellStart"/>
            <w:r w:rsidRPr="00C854B1">
              <w:rPr>
                <w:rFonts w:cs="Times New Roman"/>
                <w:sz w:val="22"/>
                <w:szCs w:val="22"/>
              </w:rPr>
              <w:t>РусГидро</w:t>
            </w:r>
            <w:proofErr w:type="spellEnd"/>
            <w:r w:rsidRPr="00C854B1">
              <w:rPr>
                <w:rFonts w:cs="Times New Roman"/>
                <w:sz w:val="22"/>
                <w:szCs w:val="22"/>
              </w:rPr>
              <w:t>»;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обыкновенные акции ПАО «Аэрофлот»;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курс доллар США - российский рубль;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  <w:lang w:val="ru-MD"/>
              </w:rPr>
            </w:pPr>
            <w:r w:rsidRPr="00C854B1">
              <w:rPr>
                <w:rFonts w:cs="Times New Roman"/>
                <w:sz w:val="22"/>
                <w:szCs w:val="22"/>
              </w:rPr>
              <w:t xml:space="preserve">- </w:t>
            </w:r>
            <w:r w:rsidRPr="00C854B1">
              <w:rPr>
                <w:rFonts w:cs="Times New Roman"/>
                <w:sz w:val="22"/>
                <w:szCs w:val="22"/>
                <w:lang w:val="ru-MD"/>
              </w:rPr>
              <w:t>на фьючерсный контракт на курс евро -</w:t>
            </w:r>
            <w:r w:rsidRPr="00C854B1">
              <w:rPr>
                <w:rFonts w:cs="Times New Roman"/>
                <w:sz w:val="22"/>
                <w:szCs w:val="22"/>
              </w:rPr>
              <w:t xml:space="preserve"> российский</w:t>
            </w:r>
            <w:r w:rsidRPr="00C854B1">
              <w:rPr>
                <w:rFonts w:cs="Times New Roman"/>
                <w:sz w:val="22"/>
                <w:szCs w:val="22"/>
                <w:lang w:val="ru-MD"/>
              </w:rPr>
              <w:t xml:space="preserve"> рубль;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  <w:lang w:val="ru-MD"/>
              </w:rPr>
              <w:t>- на фьючерсный контракт на обыкновенные акции ПАО Московская Биржа;</w:t>
            </w:r>
          </w:p>
        </w:tc>
        <w:tc>
          <w:tcPr>
            <w:tcW w:w="4274" w:type="dxa"/>
            <w:vAlign w:val="center"/>
          </w:tcPr>
          <w:p w:rsidR="00917FE4" w:rsidRPr="00C854B1" w:rsidRDefault="00917FE4" w:rsidP="00071304">
            <w:pPr>
              <w:pStyle w:val="Text"/>
              <w:jc w:val="center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1 руб.</w:t>
            </w:r>
          </w:p>
        </w:tc>
      </w:tr>
      <w:tr w:rsidR="00917FE4" w:rsidRPr="00C854B1" w:rsidTr="00917FE4">
        <w:trPr>
          <w:trHeight w:val="699"/>
        </w:trPr>
        <w:tc>
          <w:tcPr>
            <w:tcW w:w="5791" w:type="dxa"/>
            <w:vAlign w:val="center"/>
          </w:tcPr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обыкновенные акции ПАО «Магнит»;</w:t>
            </w:r>
          </w:p>
        </w:tc>
        <w:tc>
          <w:tcPr>
            <w:tcW w:w="4274" w:type="dxa"/>
            <w:vAlign w:val="center"/>
          </w:tcPr>
          <w:p w:rsidR="00917FE4" w:rsidRPr="00C854B1" w:rsidRDefault="00917FE4" w:rsidP="00071304">
            <w:pPr>
              <w:pStyle w:val="Text"/>
              <w:jc w:val="center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1,6 руб.</w:t>
            </w:r>
          </w:p>
        </w:tc>
      </w:tr>
      <w:tr w:rsidR="00917FE4" w:rsidRPr="00C854B1" w:rsidTr="00917FE4">
        <w:trPr>
          <w:trHeight w:val="212"/>
        </w:trPr>
        <w:tc>
          <w:tcPr>
            <w:tcW w:w="5791" w:type="dxa"/>
          </w:tcPr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обыкновенные акции ПАО «Газпром»;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обыкновенные акции ПАО «ЛУКОЙЛ»;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обыкновенные акции ПАО «НК «Роснефть»;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обыкновенные акции ПАО «Сургутнефтегаз»;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привилегированные акции ПАО «Сургутнефтегаз»;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  <w:lang w:val="ru-MD"/>
              </w:rPr>
            </w:pPr>
            <w:r w:rsidRPr="00C854B1">
              <w:rPr>
                <w:rFonts w:cs="Times New Roman"/>
                <w:sz w:val="22"/>
                <w:szCs w:val="22"/>
                <w:lang w:val="ru-MD"/>
              </w:rPr>
              <w:t>- на фьючерсный контракт на обыкновенные акции ПАО «Ростелеком»;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обыкновенные акции ПАО «МТС»;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обыкновенные акции ПАО «НОВАТЭК»;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обыкновенные акции ПАО «ФСК ЕЭС»;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обыкновенные акции ПАО «</w:t>
            </w:r>
            <w:proofErr w:type="spellStart"/>
            <w:r w:rsidRPr="00C854B1">
              <w:rPr>
                <w:rFonts w:cs="Times New Roman"/>
                <w:sz w:val="22"/>
                <w:szCs w:val="22"/>
              </w:rPr>
              <w:t>Уралкалий</w:t>
            </w:r>
            <w:proofErr w:type="spellEnd"/>
            <w:r w:rsidRPr="00C854B1">
              <w:rPr>
                <w:rFonts w:cs="Times New Roman"/>
                <w:sz w:val="22"/>
                <w:szCs w:val="22"/>
              </w:rPr>
              <w:t>»;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обыкновенные акции ПАО «НЛМК»;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нефть BRENT;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 xml:space="preserve">- на фьючерсный контракт на нефть </w:t>
            </w:r>
            <w:r w:rsidRPr="00C854B1">
              <w:rPr>
                <w:rFonts w:cs="Times New Roman"/>
                <w:sz w:val="22"/>
                <w:szCs w:val="22"/>
                <w:lang w:val="en-US"/>
              </w:rPr>
              <w:t>Light</w:t>
            </w:r>
            <w:r w:rsidRPr="00C854B1">
              <w:rPr>
                <w:rFonts w:cs="Times New Roman"/>
                <w:sz w:val="22"/>
                <w:szCs w:val="22"/>
              </w:rPr>
              <w:t xml:space="preserve"> </w:t>
            </w:r>
            <w:r w:rsidRPr="00C854B1">
              <w:rPr>
                <w:rFonts w:cs="Times New Roman"/>
                <w:sz w:val="22"/>
                <w:szCs w:val="22"/>
                <w:lang w:val="en-US"/>
              </w:rPr>
              <w:t>Sweet</w:t>
            </w:r>
            <w:r w:rsidRPr="00C854B1">
              <w:rPr>
                <w:rFonts w:cs="Times New Roman"/>
                <w:sz w:val="22"/>
                <w:szCs w:val="22"/>
              </w:rPr>
              <w:t xml:space="preserve"> </w:t>
            </w:r>
            <w:r w:rsidRPr="00C854B1">
              <w:rPr>
                <w:rFonts w:cs="Times New Roman"/>
                <w:sz w:val="22"/>
                <w:szCs w:val="22"/>
                <w:lang w:val="en-US"/>
              </w:rPr>
              <w:t>Crude</w:t>
            </w:r>
            <w:r w:rsidRPr="00C854B1">
              <w:rPr>
                <w:rFonts w:cs="Times New Roman"/>
                <w:sz w:val="22"/>
                <w:szCs w:val="22"/>
              </w:rPr>
              <w:t xml:space="preserve"> </w:t>
            </w:r>
            <w:r w:rsidRPr="00C854B1">
              <w:rPr>
                <w:rFonts w:cs="Times New Roman"/>
                <w:sz w:val="22"/>
                <w:szCs w:val="22"/>
                <w:lang w:val="en-US"/>
              </w:rPr>
              <w:t>Oil</w:t>
            </w:r>
            <w:r w:rsidRPr="00C854B1">
              <w:rPr>
                <w:rFonts w:cs="Times New Roman"/>
                <w:sz w:val="22"/>
                <w:szCs w:val="22"/>
              </w:rPr>
              <w:t>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  <w:lang w:val="ru-MD"/>
              </w:rPr>
            </w:pPr>
            <w:r w:rsidRPr="00C854B1">
              <w:rPr>
                <w:rFonts w:cs="Times New Roman"/>
                <w:sz w:val="22"/>
                <w:szCs w:val="22"/>
                <w:lang w:val="ru-MD"/>
              </w:rPr>
              <w:t>- на фьючерсный контракт на курс евро - доллар США;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золото;</w:t>
            </w:r>
          </w:p>
          <w:p w:rsidR="00917FE4" w:rsidRPr="00C854B1" w:rsidRDefault="00917FE4" w:rsidP="00071304">
            <w:pPr>
              <w:ind w:firstLine="0"/>
              <w:jc w:val="left"/>
              <w:rPr>
                <w:sz w:val="22"/>
                <w:szCs w:val="22"/>
              </w:rPr>
            </w:pPr>
            <w:r w:rsidRPr="00C854B1">
              <w:rPr>
                <w:sz w:val="22"/>
                <w:szCs w:val="22"/>
              </w:rPr>
              <w:t>- на фьючерсный контракт на обыкновенные акции АК «АЛРОСА» (ПАО);</w:t>
            </w:r>
          </w:p>
          <w:p w:rsidR="00917FE4" w:rsidRPr="00C854B1" w:rsidRDefault="00917FE4" w:rsidP="00071304">
            <w:pPr>
              <w:ind w:firstLine="0"/>
              <w:jc w:val="left"/>
              <w:rPr>
                <w:sz w:val="22"/>
                <w:szCs w:val="22"/>
              </w:rPr>
            </w:pPr>
            <w:r w:rsidRPr="00C854B1">
              <w:rPr>
                <w:sz w:val="22"/>
                <w:szCs w:val="22"/>
              </w:rPr>
              <w:t>- на фьючерсный контракт на курс фунт стерлингов – доллар США;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sz w:val="22"/>
                <w:szCs w:val="22"/>
              </w:rPr>
            </w:pPr>
            <w:r w:rsidRPr="00C854B1">
              <w:rPr>
                <w:sz w:val="22"/>
                <w:szCs w:val="22"/>
              </w:rPr>
              <w:t>- на фьючерсный контракт на курс доллар США – японская йена;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sz w:val="22"/>
                <w:szCs w:val="22"/>
              </w:rPr>
            </w:pPr>
            <w:r w:rsidRPr="00C854B1">
              <w:rPr>
                <w:sz w:val="22"/>
                <w:szCs w:val="22"/>
              </w:rPr>
              <w:t>- на фьючерсный контракт на курс доллар США – швейцарский франк;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sz w:val="22"/>
                <w:szCs w:val="22"/>
              </w:rPr>
            </w:pPr>
            <w:r w:rsidRPr="00C854B1">
              <w:rPr>
                <w:sz w:val="22"/>
                <w:szCs w:val="22"/>
              </w:rPr>
              <w:t>- на фьючерсный контракт на курс доллар США – канадский доллар;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обыкновенные акции ПАО «Полюс»;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lastRenderedPageBreak/>
              <w:t>- на фьючерсный контракт на обыкновенные акции ПАО «ММК;</w:t>
            </w:r>
          </w:p>
        </w:tc>
        <w:tc>
          <w:tcPr>
            <w:tcW w:w="4274" w:type="dxa"/>
            <w:vAlign w:val="center"/>
          </w:tcPr>
          <w:p w:rsidR="00917FE4" w:rsidRPr="00C854B1" w:rsidRDefault="00917FE4" w:rsidP="00071304">
            <w:pPr>
              <w:pStyle w:val="Text"/>
              <w:jc w:val="center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lastRenderedPageBreak/>
              <w:t>2 руб.</w:t>
            </w:r>
          </w:p>
        </w:tc>
      </w:tr>
      <w:tr w:rsidR="00917FE4" w:rsidRPr="00C854B1" w:rsidTr="00917FE4">
        <w:trPr>
          <w:trHeight w:val="1786"/>
        </w:trPr>
        <w:tc>
          <w:tcPr>
            <w:tcW w:w="5791" w:type="dxa"/>
            <w:vMerge w:val="restart"/>
          </w:tcPr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Индекс РТС;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Индекс голубых фишек;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привилегированные акции ПАО «</w:t>
            </w:r>
            <w:proofErr w:type="spellStart"/>
            <w:r w:rsidRPr="00C854B1">
              <w:rPr>
                <w:rFonts w:cs="Times New Roman"/>
                <w:sz w:val="22"/>
                <w:szCs w:val="22"/>
              </w:rPr>
              <w:t>Транснефть</w:t>
            </w:r>
            <w:proofErr w:type="spellEnd"/>
            <w:r w:rsidRPr="00C854B1">
              <w:rPr>
                <w:rFonts w:cs="Times New Roman"/>
                <w:sz w:val="22"/>
                <w:szCs w:val="22"/>
              </w:rPr>
              <w:t>»;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  <w:lang w:val="ru-MD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обыкновенные акции ПАО «ГМК «</w:t>
            </w:r>
            <w:r w:rsidRPr="00C854B1">
              <w:rPr>
                <w:rFonts w:cs="Times New Roman"/>
                <w:sz w:val="22"/>
                <w:szCs w:val="22"/>
                <w:lang w:val="ru-MD"/>
              </w:rPr>
              <w:t>Норильский никель»;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  <w:lang w:val="ru-MD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</w:t>
            </w:r>
            <w:r w:rsidRPr="00C854B1">
              <w:rPr>
                <w:rFonts w:cs="Times New Roman"/>
                <w:sz w:val="22"/>
                <w:szCs w:val="22"/>
                <w:lang w:val="ru-MD"/>
              </w:rPr>
              <w:t xml:space="preserve"> обыкновенные акции </w:t>
            </w:r>
            <w:r w:rsidRPr="00C854B1">
              <w:rPr>
                <w:rFonts w:cs="Times New Roman"/>
                <w:sz w:val="22"/>
                <w:szCs w:val="22"/>
              </w:rPr>
              <w:t>П</w:t>
            </w:r>
            <w:r w:rsidRPr="00C854B1">
              <w:rPr>
                <w:rFonts w:cs="Times New Roman"/>
                <w:sz w:val="22"/>
                <w:szCs w:val="22"/>
                <w:lang w:val="ru-MD"/>
              </w:rPr>
              <w:t>АО «</w:t>
            </w:r>
            <w:r w:rsidRPr="00C854B1">
              <w:rPr>
                <w:rFonts w:cs="Times New Roman"/>
                <w:sz w:val="22"/>
                <w:szCs w:val="22"/>
              </w:rPr>
              <w:t>Северсталь</w:t>
            </w:r>
            <w:r w:rsidRPr="00C854B1">
              <w:rPr>
                <w:rFonts w:cs="Times New Roman"/>
                <w:sz w:val="22"/>
                <w:szCs w:val="22"/>
                <w:lang w:val="ru-MD"/>
              </w:rPr>
              <w:t>»;</w:t>
            </w:r>
          </w:p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- на фьючерсный контракт на серебро;</w:t>
            </w:r>
          </w:p>
          <w:p w:rsidR="00917FE4" w:rsidRPr="000764ED" w:rsidRDefault="00917FE4" w:rsidP="00071304">
            <w:pPr>
              <w:ind w:firstLine="0"/>
              <w:jc w:val="left"/>
              <w:rPr>
                <w:iCs/>
                <w:sz w:val="22"/>
                <w:szCs w:val="22"/>
              </w:rPr>
            </w:pPr>
            <w:r w:rsidRPr="00C854B1">
              <w:rPr>
                <w:iCs/>
                <w:sz w:val="22"/>
                <w:szCs w:val="22"/>
              </w:rPr>
              <w:t>- на фьючерсный контракт на платину;</w:t>
            </w:r>
          </w:p>
        </w:tc>
        <w:tc>
          <w:tcPr>
            <w:tcW w:w="4274" w:type="dxa"/>
            <w:vMerge w:val="restart"/>
            <w:vAlign w:val="center"/>
          </w:tcPr>
          <w:p w:rsidR="00917FE4" w:rsidRPr="00C854B1" w:rsidRDefault="00917FE4" w:rsidP="00071304">
            <w:pPr>
              <w:pStyle w:val="Text"/>
              <w:jc w:val="center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4 руб.</w:t>
            </w:r>
          </w:p>
        </w:tc>
      </w:tr>
      <w:tr w:rsidR="00917FE4" w:rsidRPr="00C854B1" w:rsidTr="00917FE4">
        <w:trPr>
          <w:trHeight w:val="528"/>
        </w:trPr>
        <w:tc>
          <w:tcPr>
            <w:tcW w:w="5791" w:type="dxa"/>
            <w:vMerge/>
          </w:tcPr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74" w:type="dxa"/>
            <w:vMerge/>
            <w:vAlign w:val="center"/>
          </w:tcPr>
          <w:p w:rsidR="00917FE4" w:rsidRPr="00C854B1" w:rsidRDefault="00917FE4" w:rsidP="00071304">
            <w:pPr>
              <w:pStyle w:val="Tex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17FE4" w:rsidRPr="00C854B1" w:rsidTr="00917FE4">
        <w:trPr>
          <w:trHeight w:val="528"/>
        </w:trPr>
        <w:tc>
          <w:tcPr>
            <w:tcW w:w="5791" w:type="dxa"/>
            <w:vAlign w:val="center"/>
          </w:tcPr>
          <w:p w:rsidR="00917FE4" w:rsidRPr="00C854B1" w:rsidRDefault="00917FE4" w:rsidP="0007130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 xml:space="preserve">- на фьючерсный контракт на Индекс </w:t>
            </w:r>
            <w:proofErr w:type="spellStart"/>
            <w:r w:rsidRPr="00C854B1">
              <w:rPr>
                <w:rFonts w:cs="Times New Roman"/>
                <w:sz w:val="22"/>
                <w:szCs w:val="22"/>
              </w:rPr>
              <w:t>МосБиржи</w:t>
            </w:r>
            <w:proofErr w:type="spellEnd"/>
            <w:r w:rsidRPr="00C854B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4274" w:type="dxa"/>
            <w:vAlign w:val="center"/>
          </w:tcPr>
          <w:p w:rsidR="00917FE4" w:rsidRPr="00C854B1" w:rsidRDefault="00917FE4" w:rsidP="00071304">
            <w:pPr>
              <w:pStyle w:val="Text"/>
              <w:jc w:val="center"/>
              <w:rPr>
                <w:rFonts w:cs="Times New Roman"/>
                <w:sz w:val="22"/>
                <w:szCs w:val="22"/>
              </w:rPr>
            </w:pPr>
            <w:r w:rsidRPr="00C854B1">
              <w:rPr>
                <w:rFonts w:cs="Times New Roman"/>
                <w:sz w:val="22"/>
                <w:szCs w:val="22"/>
              </w:rPr>
              <w:t>6 руб.</w:t>
            </w:r>
          </w:p>
        </w:tc>
      </w:tr>
      <w:tr w:rsidR="00917FE4" w:rsidRPr="008F5E1D" w:rsidTr="00917FE4">
        <w:trPr>
          <w:trHeight w:val="528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E4" w:rsidRPr="00917FE4" w:rsidRDefault="00917FE4" w:rsidP="00917FE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917FE4">
              <w:rPr>
                <w:rFonts w:cs="Times New Roman"/>
                <w:sz w:val="22"/>
                <w:szCs w:val="22"/>
              </w:rPr>
              <w:t>Комиссионное вознаграждение за клиринговые услуги по открытию Торгово-клирингового счета 3-го уровня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E4" w:rsidRPr="00917FE4" w:rsidRDefault="00917FE4" w:rsidP="00917FE4">
            <w:pPr>
              <w:pStyle w:val="Text"/>
              <w:jc w:val="center"/>
              <w:rPr>
                <w:rFonts w:cs="Times New Roman"/>
                <w:sz w:val="22"/>
                <w:szCs w:val="22"/>
              </w:rPr>
            </w:pPr>
            <w:r w:rsidRPr="00917FE4">
              <w:rPr>
                <w:rFonts w:cs="Times New Roman"/>
                <w:sz w:val="22"/>
                <w:szCs w:val="22"/>
              </w:rPr>
              <w:t>120 руб.</w:t>
            </w:r>
          </w:p>
        </w:tc>
      </w:tr>
      <w:tr w:rsidR="00917FE4" w:rsidRPr="008F5E1D" w:rsidTr="00917FE4">
        <w:trPr>
          <w:trHeight w:val="528"/>
        </w:trPr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E4" w:rsidRPr="00917FE4" w:rsidRDefault="00917FE4" w:rsidP="00917FE4">
            <w:pPr>
              <w:pStyle w:val="Text"/>
              <w:jc w:val="left"/>
              <w:rPr>
                <w:rFonts w:cs="Times New Roman"/>
                <w:sz w:val="22"/>
                <w:szCs w:val="22"/>
              </w:rPr>
            </w:pPr>
            <w:r w:rsidRPr="00917FE4">
              <w:rPr>
                <w:rFonts w:cs="Times New Roman"/>
                <w:sz w:val="22"/>
                <w:szCs w:val="22"/>
              </w:rPr>
              <w:t>Комиссионное вознаграждение за клиринговые услуги по ведению Торгово-клирингового счета 3-го уровня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FE4" w:rsidRPr="00917FE4" w:rsidRDefault="00917FE4" w:rsidP="00917FE4">
            <w:pPr>
              <w:pStyle w:val="Text"/>
              <w:jc w:val="center"/>
              <w:rPr>
                <w:rFonts w:cs="Times New Roman"/>
                <w:sz w:val="22"/>
                <w:szCs w:val="22"/>
              </w:rPr>
            </w:pPr>
            <w:r w:rsidRPr="00917FE4">
              <w:rPr>
                <w:rFonts w:cs="Times New Roman"/>
                <w:sz w:val="22"/>
                <w:szCs w:val="22"/>
              </w:rPr>
              <w:t>120 руб.</w:t>
            </w:r>
          </w:p>
        </w:tc>
      </w:tr>
    </w:tbl>
    <w:p w:rsidR="00600FA0" w:rsidRDefault="00917FE4">
      <w:bookmarkStart w:id="1" w:name="_GoBack"/>
      <w:bookmarkEnd w:id="1"/>
    </w:p>
    <w:sectPr w:rsidR="00600FA0" w:rsidSect="00917F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E4"/>
    <w:rsid w:val="00917FE4"/>
    <w:rsid w:val="00D931D0"/>
    <w:rsid w:val="00E2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6330D-D961-4E8C-BE04-206C9DF8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E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qFormat/>
    <w:rsid w:val="00917FE4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Бандакова</dc:creator>
  <cp:keywords/>
  <dc:description/>
  <cp:lastModifiedBy>Екатерина Бандакова</cp:lastModifiedBy>
  <cp:revision>1</cp:revision>
  <dcterms:created xsi:type="dcterms:W3CDTF">2020-04-06T11:17:00Z</dcterms:created>
  <dcterms:modified xsi:type="dcterms:W3CDTF">2020-04-06T11:21:00Z</dcterms:modified>
</cp:coreProperties>
</file>