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3E" w:rsidRDefault="00EF2A3E">
      <w:r>
        <w:rPr>
          <w:rFonts w:ascii="Tahoma-Bold" w:hAnsi="Tahoma-Bold" w:cs="Tahoma-Bold"/>
          <w:b/>
          <w:bCs/>
          <w:sz w:val="20"/>
          <w:szCs w:val="20"/>
        </w:rPr>
        <w:t>Тарифы за клиринговые услуги Банка НКЦ (АО)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1557"/>
        <w:gridCol w:w="1558"/>
      </w:tblGrid>
      <w:tr w:rsidR="00A10A6A" w:rsidTr="00A10A6A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Default="00A10A6A" w:rsidP="00200FC5">
            <w:r>
              <w:t xml:space="preserve">Наименование </w:t>
            </w:r>
            <w:r w:rsidR="00200FC5">
              <w:t>комиссионного вознаграждения за оказание услуги</w:t>
            </w:r>
            <w:r>
              <w:t>/</w:t>
            </w:r>
            <w:r w:rsidR="00200FC5">
              <w:t xml:space="preserve">осуществление </w:t>
            </w:r>
            <w:r>
              <w:t>операции</w:t>
            </w:r>
          </w:p>
        </w:tc>
        <w:tc>
          <w:tcPr>
            <w:tcW w:w="3115" w:type="dxa"/>
            <w:gridSpan w:val="2"/>
          </w:tcPr>
          <w:p w:rsidR="00A10A6A" w:rsidRDefault="00A10A6A">
            <w:r>
              <w:t>Тариф (в рублях, НДС не облагается)</w:t>
            </w:r>
          </w:p>
        </w:tc>
      </w:tr>
      <w:tr w:rsidR="00A10A6A" w:rsidRPr="00EF2A3E" w:rsidTr="00A10A6A">
        <w:tc>
          <w:tcPr>
            <w:tcW w:w="704" w:type="dxa"/>
          </w:tcPr>
          <w:p w:rsidR="00A10A6A" w:rsidRPr="00EF2A3E" w:rsidRDefault="00200FC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26" w:type="dxa"/>
          </w:tcPr>
          <w:p w:rsidR="00A10A6A" w:rsidRPr="00EF2A3E" w:rsidRDefault="00200FC5" w:rsidP="00200F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Комиссионное вознаграждение за предоставление отчетов </w:t>
            </w:r>
            <w:r w:rsidR="00A10A6A" w:rsidRPr="00EF2A3E">
              <w:rPr>
                <w:b/>
              </w:rPr>
              <w:t>и иной информации</w:t>
            </w:r>
            <w:r>
              <w:rPr>
                <w:b/>
              </w:rPr>
              <w:t xml:space="preserve"> </w:t>
            </w:r>
            <w:r w:rsidR="00A10A6A" w:rsidRPr="00EF2A3E">
              <w:rPr>
                <w:b/>
              </w:rPr>
              <w:t>по итогам клиринга и иные клиринговые</w:t>
            </w:r>
            <w:r>
              <w:rPr>
                <w:b/>
              </w:rPr>
              <w:t xml:space="preserve"> </w:t>
            </w:r>
            <w:r w:rsidR="00A10A6A" w:rsidRPr="00EF2A3E">
              <w:rPr>
                <w:b/>
              </w:rPr>
              <w:t>услуги</w:t>
            </w:r>
          </w:p>
        </w:tc>
        <w:tc>
          <w:tcPr>
            <w:tcW w:w="3115" w:type="dxa"/>
            <w:gridSpan w:val="2"/>
          </w:tcPr>
          <w:p w:rsidR="00A10A6A" w:rsidRPr="00EF2A3E" w:rsidRDefault="00A10A6A">
            <w:pPr>
              <w:rPr>
                <w:b/>
              </w:rPr>
            </w:pPr>
          </w:p>
        </w:tc>
      </w:tr>
      <w:tr w:rsidR="00A10A6A" w:rsidTr="009B4B8F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Предоставление копии отчета по итогам клиринга за</w:t>
            </w:r>
          </w:p>
          <w:p w:rsidR="00A10A6A" w:rsidRDefault="00A10A6A" w:rsidP="00A10A6A">
            <w:r w:rsidRPr="00EF2A3E">
              <w:t>дату, отстоящую от даты получения запроса на срок:</w:t>
            </w:r>
          </w:p>
        </w:tc>
        <w:tc>
          <w:tcPr>
            <w:tcW w:w="1557" w:type="dxa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на бумажном носителе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(за один лист отчета,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но не менее 500 и не</w:t>
            </w:r>
          </w:p>
          <w:p w:rsidR="00A10A6A" w:rsidRDefault="00A10A6A" w:rsidP="00A10A6A">
            <w:r w:rsidRPr="00EF2A3E">
              <w:t>более 3000 за один отчет)</w:t>
            </w:r>
          </w:p>
        </w:tc>
        <w:tc>
          <w:tcPr>
            <w:tcW w:w="1558" w:type="dxa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в электронном виде</w:t>
            </w:r>
          </w:p>
          <w:p w:rsidR="00A10A6A" w:rsidRDefault="00A10A6A" w:rsidP="00A10A6A">
            <w:r w:rsidRPr="00EF2A3E">
              <w:t>(за один отчет)</w:t>
            </w:r>
          </w:p>
        </w:tc>
      </w:tr>
      <w:tr w:rsidR="00A10A6A" w:rsidTr="00D73644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Default="00A10A6A">
            <w:r w:rsidRPr="00EF2A3E">
              <w:t>менее 1 месяца</w:t>
            </w:r>
          </w:p>
        </w:tc>
        <w:tc>
          <w:tcPr>
            <w:tcW w:w="1557" w:type="dxa"/>
          </w:tcPr>
          <w:p w:rsidR="00A10A6A" w:rsidRDefault="00A10A6A">
            <w:r>
              <w:t>100</w:t>
            </w:r>
          </w:p>
        </w:tc>
        <w:tc>
          <w:tcPr>
            <w:tcW w:w="1558" w:type="dxa"/>
          </w:tcPr>
          <w:p w:rsidR="00A10A6A" w:rsidRDefault="00A10A6A">
            <w:r>
              <w:t>50</w:t>
            </w:r>
          </w:p>
        </w:tc>
      </w:tr>
      <w:tr w:rsidR="00A10A6A" w:rsidTr="009350FC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Default="00A10A6A">
            <w:r w:rsidRPr="00EF2A3E">
              <w:t>от 1 месяца до 1 года</w:t>
            </w:r>
          </w:p>
        </w:tc>
        <w:tc>
          <w:tcPr>
            <w:tcW w:w="1557" w:type="dxa"/>
          </w:tcPr>
          <w:p w:rsidR="00A10A6A" w:rsidRDefault="00A10A6A">
            <w:r>
              <w:t>150</w:t>
            </w:r>
          </w:p>
        </w:tc>
        <w:tc>
          <w:tcPr>
            <w:tcW w:w="1558" w:type="dxa"/>
          </w:tcPr>
          <w:p w:rsidR="00A10A6A" w:rsidRDefault="00A10A6A">
            <w:r>
              <w:t>100</w:t>
            </w:r>
          </w:p>
        </w:tc>
      </w:tr>
      <w:tr w:rsidR="00A10A6A" w:rsidTr="00B52CB8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Default="00A10A6A">
            <w:r w:rsidRPr="00EF2A3E">
              <w:t>более 1 года</w:t>
            </w:r>
          </w:p>
        </w:tc>
        <w:tc>
          <w:tcPr>
            <w:tcW w:w="1557" w:type="dxa"/>
          </w:tcPr>
          <w:p w:rsidR="00A10A6A" w:rsidRDefault="00A10A6A">
            <w:r>
              <w:t>200</w:t>
            </w:r>
          </w:p>
        </w:tc>
        <w:tc>
          <w:tcPr>
            <w:tcW w:w="1558" w:type="dxa"/>
          </w:tcPr>
          <w:p w:rsidR="00A10A6A" w:rsidRDefault="00A10A6A">
            <w:r>
              <w:t>150</w:t>
            </w:r>
          </w:p>
        </w:tc>
      </w:tr>
      <w:tr w:rsidR="00A10A6A" w:rsidTr="003477A7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Предоставление отчета по итогам клиринга в</w:t>
            </w:r>
          </w:p>
          <w:p w:rsidR="00A10A6A" w:rsidRDefault="00A10A6A" w:rsidP="00A10A6A">
            <w:r w:rsidRPr="00EF2A3E">
              <w:t>нестандартной форме</w:t>
            </w:r>
          </w:p>
        </w:tc>
        <w:tc>
          <w:tcPr>
            <w:tcW w:w="1557" w:type="dxa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на бумажном носителе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(за один лист отчета, но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не более 10000 за один</w:t>
            </w:r>
          </w:p>
          <w:p w:rsidR="00A10A6A" w:rsidRDefault="00A10A6A" w:rsidP="00A10A6A">
            <w:r w:rsidRPr="00EF2A3E">
              <w:t>отчет)</w:t>
            </w:r>
          </w:p>
        </w:tc>
        <w:tc>
          <w:tcPr>
            <w:tcW w:w="1558" w:type="dxa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в электронном виде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(за каждые 20 Кбайт отчета,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но не менее 1000 и не более</w:t>
            </w:r>
          </w:p>
          <w:p w:rsidR="00A10A6A" w:rsidRDefault="00A10A6A" w:rsidP="00A10A6A">
            <w:r w:rsidRPr="00EF2A3E">
              <w:t>8000 за один отчет)</w:t>
            </w:r>
          </w:p>
        </w:tc>
      </w:tr>
      <w:tr w:rsidR="00A10A6A" w:rsidTr="000413D9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Default="00A10A6A"/>
        </w:tc>
        <w:tc>
          <w:tcPr>
            <w:tcW w:w="1557" w:type="dxa"/>
          </w:tcPr>
          <w:p w:rsidR="00A10A6A" w:rsidRDefault="00A10A6A">
            <w:r>
              <w:t>1000</w:t>
            </w:r>
          </w:p>
        </w:tc>
        <w:tc>
          <w:tcPr>
            <w:tcW w:w="1558" w:type="dxa"/>
          </w:tcPr>
          <w:p w:rsidR="00A10A6A" w:rsidRDefault="00A10A6A">
            <w:r>
              <w:t>1000</w:t>
            </w:r>
          </w:p>
        </w:tc>
      </w:tr>
      <w:tr w:rsidR="00A10A6A" w:rsidTr="00A10A6A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Предоставление подтверждений для аудиторов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остатков обеспечения и неисполненных</w:t>
            </w:r>
          </w:p>
          <w:p w:rsidR="00A10A6A" w:rsidRDefault="00A10A6A" w:rsidP="00A10A6A">
            <w:r w:rsidRPr="00EF2A3E">
              <w:t>обязательств</w:t>
            </w:r>
          </w:p>
        </w:tc>
        <w:tc>
          <w:tcPr>
            <w:tcW w:w="3115" w:type="dxa"/>
            <w:gridSpan w:val="2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2000</w:t>
            </w:r>
          </w:p>
          <w:p w:rsidR="00A10A6A" w:rsidRDefault="00A10A6A" w:rsidP="00A10A6A">
            <w:r w:rsidRPr="00EF2A3E">
              <w:t>(за каждое подтверждение)</w:t>
            </w:r>
          </w:p>
        </w:tc>
      </w:tr>
      <w:tr w:rsidR="00A10A6A" w:rsidTr="00A10A6A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Ручная обработка входящего платежного документа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в целях учета в Клиринговой системе денежных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средств, перечисленных в качестве обеспечения или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взноса в Гарантийный фонд (в случае несоблюдения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участником клиринга или его клиентом правил</w:t>
            </w:r>
          </w:p>
          <w:p w:rsidR="00A10A6A" w:rsidRDefault="00A10A6A" w:rsidP="00A10A6A">
            <w:r w:rsidRPr="00EF2A3E">
              <w:t>заполнения назначения платежа)</w:t>
            </w:r>
          </w:p>
        </w:tc>
        <w:tc>
          <w:tcPr>
            <w:tcW w:w="3115" w:type="dxa"/>
            <w:gridSpan w:val="2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100</w:t>
            </w:r>
          </w:p>
          <w:p w:rsidR="00A10A6A" w:rsidRDefault="00A10A6A" w:rsidP="00A10A6A">
            <w:r w:rsidRPr="00EF2A3E">
              <w:t>(за каждый платежный документ)</w:t>
            </w:r>
          </w:p>
        </w:tc>
      </w:tr>
      <w:tr w:rsidR="00A10A6A" w:rsidTr="00A10A6A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Предоставление реквизитов платежного документа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по возврату денежных средств, учитываемых в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качестве обеспечения или взноса в Гарантийный</w:t>
            </w:r>
          </w:p>
          <w:p w:rsidR="00A10A6A" w:rsidRDefault="00A10A6A" w:rsidP="00A10A6A">
            <w:r w:rsidRPr="00EF2A3E">
              <w:t>фонд</w:t>
            </w:r>
          </w:p>
        </w:tc>
        <w:tc>
          <w:tcPr>
            <w:tcW w:w="3115" w:type="dxa"/>
            <w:gridSpan w:val="2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250</w:t>
            </w:r>
          </w:p>
          <w:p w:rsidR="00A10A6A" w:rsidRDefault="00A10A6A" w:rsidP="00A10A6A">
            <w:r w:rsidRPr="00EF2A3E">
              <w:t>(за каждый запрос)</w:t>
            </w:r>
          </w:p>
        </w:tc>
      </w:tr>
      <w:tr w:rsidR="00A10A6A" w:rsidTr="00A10A6A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Отмена подготовленных к исполнению платежных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документов на возврат денежных средств,</w:t>
            </w:r>
          </w:p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учитываемых в качестве обеспечения или взноса в</w:t>
            </w:r>
          </w:p>
          <w:p w:rsidR="00A10A6A" w:rsidRDefault="00A10A6A" w:rsidP="00A10A6A">
            <w:r w:rsidRPr="00EF2A3E">
              <w:t>Гарантийный фонд (при наличии возможности)</w:t>
            </w:r>
          </w:p>
        </w:tc>
        <w:tc>
          <w:tcPr>
            <w:tcW w:w="3115" w:type="dxa"/>
            <w:gridSpan w:val="2"/>
          </w:tcPr>
          <w:p w:rsidR="00A10A6A" w:rsidRPr="00EF2A3E" w:rsidRDefault="00A10A6A" w:rsidP="00A10A6A">
            <w:pPr>
              <w:autoSpaceDE w:val="0"/>
              <w:autoSpaceDN w:val="0"/>
              <w:adjustRightInd w:val="0"/>
            </w:pPr>
            <w:r w:rsidRPr="00EF2A3E">
              <w:t>250</w:t>
            </w:r>
          </w:p>
          <w:p w:rsidR="00A10A6A" w:rsidRDefault="00A10A6A" w:rsidP="00A10A6A">
            <w:r w:rsidRPr="00EF2A3E">
              <w:t>(за каждый платежный документ)</w:t>
            </w:r>
          </w:p>
        </w:tc>
      </w:tr>
      <w:tr w:rsidR="00A10A6A" w:rsidRPr="00EF2A3E" w:rsidTr="00A10A6A">
        <w:tc>
          <w:tcPr>
            <w:tcW w:w="704" w:type="dxa"/>
          </w:tcPr>
          <w:p w:rsidR="00A10A6A" w:rsidRPr="00EF2A3E" w:rsidRDefault="00200FC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26" w:type="dxa"/>
          </w:tcPr>
          <w:p w:rsidR="00A10A6A" w:rsidRPr="00EF2A3E" w:rsidRDefault="00E77749" w:rsidP="00E77749">
            <w:pPr>
              <w:rPr>
                <w:b/>
              </w:rPr>
            </w:pPr>
            <w:r>
              <w:rPr>
                <w:b/>
              </w:rPr>
              <w:t>Комиссионное вознаграждение за процедуру Перевода обязательств и Обеспечения</w:t>
            </w:r>
          </w:p>
        </w:tc>
        <w:tc>
          <w:tcPr>
            <w:tcW w:w="3115" w:type="dxa"/>
            <w:gridSpan w:val="2"/>
          </w:tcPr>
          <w:p w:rsidR="00A10A6A" w:rsidRPr="00EF2A3E" w:rsidRDefault="00E77749">
            <w:pPr>
              <w:rPr>
                <w:b/>
              </w:rPr>
            </w:pPr>
            <w:r w:rsidRPr="00F753D6">
              <w:rPr>
                <w:rFonts w:cs="Arial"/>
                <w:b/>
                <w:noProof/>
              </w:rPr>
              <w:t>В российских рублях, за одну процедуру, на каждом биржевом рынке, взимается с Участника клиринга – реципиента, к которому были переведены обязательства и Обеспечение</w:t>
            </w:r>
          </w:p>
        </w:tc>
      </w:tr>
      <w:tr w:rsidR="00A10A6A" w:rsidTr="00A10A6A">
        <w:tc>
          <w:tcPr>
            <w:tcW w:w="704" w:type="dxa"/>
          </w:tcPr>
          <w:p w:rsidR="00A10A6A" w:rsidRDefault="00A10A6A"/>
        </w:tc>
        <w:tc>
          <w:tcPr>
            <w:tcW w:w="5526" w:type="dxa"/>
          </w:tcPr>
          <w:p w:rsidR="00A10A6A" w:rsidRDefault="00E77749" w:rsidP="00EF2A3E">
            <w:r>
              <w:rPr>
                <w:rFonts w:cs="Arial"/>
                <w:noProof/>
              </w:rPr>
              <w:t>за исключением процедуры Перевода обязательств и Обеспечения, проводимой при предоставлении поручения Базового Участника клиринга</w:t>
            </w:r>
            <w:r>
              <w:t xml:space="preserve"> </w:t>
            </w:r>
            <w:r w:rsidRPr="00395777">
              <w:rPr>
                <w:rFonts w:cs="Arial"/>
                <w:noProof/>
              </w:rPr>
              <w:t>на перевод обязательств и Обеспечения</w:t>
            </w:r>
          </w:p>
        </w:tc>
        <w:tc>
          <w:tcPr>
            <w:tcW w:w="3115" w:type="dxa"/>
            <w:gridSpan w:val="2"/>
          </w:tcPr>
          <w:p w:rsidR="00E77749" w:rsidRPr="00E77749" w:rsidRDefault="00E77749" w:rsidP="00E04F56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ind w:rightChars="42" w:right="92"/>
              <w:textAlignment w:val="baseline"/>
              <w:rPr>
                <w:rFonts w:ascii="Times New Roman" w:eastAsia="MS Mincho" w:hAnsi="Times New Roman" w:cs="Arial"/>
                <w:noProof/>
                <w:lang w:eastAsia="ru-RU"/>
              </w:rPr>
            </w:pPr>
            <w:r w:rsidRPr="00E77749">
              <w:rPr>
                <w:rFonts w:ascii="Times New Roman" w:eastAsia="MS Mincho" w:hAnsi="Times New Roman" w:cs="Arial"/>
                <w:noProof/>
                <w:lang w:eastAsia="ru-RU"/>
              </w:rPr>
              <w:t>3 000 руб.</w:t>
            </w:r>
          </w:p>
          <w:p w:rsidR="00A10A6A" w:rsidRPr="00EF2A3E" w:rsidRDefault="00A10A6A"/>
        </w:tc>
      </w:tr>
      <w:tr w:rsidR="00E77749" w:rsidTr="00A10A6A">
        <w:tc>
          <w:tcPr>
            <w:tcW w:w="704" w:type="dxa"/>
          </w:tcPr>
          <w:p w:rsidR="00E77749" w:rsidRDefault="00E77749" w:rsidP="00E77749"/>
        </w:tc>
        <w:tc>
          <w:tcPr>
            <w:tcW w:w="5526" w:type="dxa"/>
          </w:tcPr>
          <w:p w:rsidR="00E77749" w:rsidRPr="006527EA" w:rsidRDefault="00E77749" w:rsidP="00E04F56">
            <w:pPr>
              <w:tabs>
                <w:tab w:val="right" w:pos="9356"/>
              </w:tabs>
              <w:rPr>
                <w:rFonts w:cs="Arial"/>
                <w:noProof/>
              </w:rPr>
            </w:pPr>
            <w:r w:rsidRPr="006527EA">
              <w:rPr>
                <w:rFonts w:cs="Arial"/>
                <w:noProof/>
              </w:rPr>
              <w:t>проводимую при предоставлении поручения Базового Участника клиринга на перевод обязательств и Обеспечения</w:t>
            </w:r>
          </w:p>
        </w:tc>
        <w:tc>
          <w:tcPr>
            <w:tcW w:w="3115" w:type="dxa"/>
            <w:gridSpan w:val="2"/>
          </w:tcPr>
          <w:p w:rsidR="00E77749" w:rsidRPr="006527EA" w:rsidRDefault="00D158BF" w:rsidP="00E77749">
            <w:r w:rsidRPr="006527EA">
              <w:rPr>
                <w:rFonts w:cs="Arial"/>
                <w:noProof/>
              </w:rPr>
              <w:t>4</w:t>
            </w:r>
            <w:r w:rsidR="00E77749" w:rsidRPr="006527EA">
              <w:rPr>
                <w:rFonts w:cs="Arial"/>
                <w:noProof/>
              </w:rPr>
              <w:t xml:space="preserve">00 000 руб. </w:t>
            </w:r>
            <w:r w:rsidR="00E77749" w:rsidRPr="006527EA">
              <w:rPr>
                <w:rFonts w:cs="Arial"/>
                <w:noProof/>
              </w:rPr>
              <w:br/>
              <w:t>за каждый Расчетный код</w:t>
            </w:r>
          </w:p>
        </w:tc>
      </w:tr>
      <w:tr w:rsidR="00E77749" w:rsidRPr="00EF2A3E" w:rsidTr="00A10A6A">
        <w:tc>
          <w:tcPr>
            <w:tcW w:w="704" w:type="dxa"/>
          </w:tcPr>
          <w:p w:rsidR="00E77749" w:rsidRPr="00EF2A3E" w:rsidRDefault="00076AB3" w:rsidP="00E7774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26" w:type="dxa"/>
          </w:tcPr>
          <w:p w:rsidR="00E77749" w:rsidRPr="00EF2A3E" w:rsidRDefault="00605082" w:rsidP="00E77749">
            <w:pPr>
              <w:rPr>
                <w:b/>
              </w:rPr>
            </w:pPr>
            <w:r w:rsidRPr="00605082">
              <w:rPr>
                <w:b/>
              </w:rPr>
              <w:t>Комиссионное вознаграждение за учет индивидуального клирингового и иного обеспечени</w:t>
            </w:r>
            <w:r>
              <w:rPr>
                <w:b/>
              </w:rPr>
              <w:t>я (1)</w:t>
            </w:r>
          </w:p>
        </w:tc>
        <w:tc>
          <w:tcPr>
            <w:tcW w:w="3115" w:type="dxa"/>
            <w:gridSpan w:val="2"/>
          </w:tcPr>
          <w:p w:rsidR="00E77749" w:rsidRPr="00EF2A3E" w:rsidRDefault="00605082" w:rsidP="00E77749">
            <w:pPr>
              <w:rPr>
                <w:b/>
              </w:rPr>
            </w:pPr>
            <w:r w:rsidRPr="00605082">
              <w:rPr>
                <w:b/>
              </w:rPr>
              <w:t>В российских рублях, за месяц оказания услуг</w:t>
            </w:r>
          </w:p>
        </w:tc>
      </w:tr>
      <w:tr w:rsidR="00480E33" w:rsidRPr="00EF2A3E" w:rsidTr="00A10A6A">
        <w:tc>
          <w:tcPr>
            <w:tcW w:w="704" w:type="dxa"/>
          </w:tcPr>
          <w:p w:rsidR="00480E33" w:rsidRDefault="00480E33" w:rsidP="00480E33">
            <w:pPr>
              <w:rPr>
                <w:b/>
              </w:rPr>
            </w:pPr>
          </w:p>
        </w:tc>
        <w:tc>
          <w:tcPr>
            <w:tcW w:w="5526" w:type="dxa"/>
          </w:tcPr>
          <w:p w:rsidR="00480E33" w:rsidRDefault="00480E33" w:rsidP="006050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иностранной валюте</w:t>
            </w:r>
            <w:r w:rsidR="00605082">
              <w:t xml:space="preserve"> (4)</w:t>
            </w:r>
          </w:p>
        </w:tc>
        <w:tc>
          <w:tcPr>
            <w:tcW w:w="3115" w:type="dxa"/>
            <w:gridSpan w:val="2"/>
          </w:tcPr>
          <w:p w:rsidR="00480E33" w:rsidRPr="00135C97" w:rsidRDefault="00480E33" w:rsidP="00135C97">
            <w:pPr>
              <w:pStyle w:val="Default"/>
              <w:jc w:val="both"/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</w:pPr>
            <w:r w:rsidRPr="00135C97"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 xml:space="preserve">Взимается с Участника клиринга, на Счетах обеспечения, Счетах гарантийных фондов, Счетах обеспечения под стресс которого учитываются денежные средства в иностранной валюте </w:t>
            </w:r>
          </w:p>
        </w:tc>
      </w:tr>
      <w:tr w:rsidR="00480E33" w:rsidRPr="00EF2A3E" w:rsidTr="00A10A6A">
        <w:tc>
          <w:tcPr>
            <w:tcW w:w="704" w:type="dxa"/>
          </w:tcPr>
          <w:p w:rsidR="00480E33" w:rsidRDefault="00480E33" w:rsidP="00480E33">
            <w:pPr>
              <w:rPr>
                <w:b/>
              </w:rPr>
            </w:pPr>
          </w:p>
        </w:tc>
        <w:tc>
          <w:tcPr>
            <w:tcW w:w="5526" w:type="dxa"/>
          </w:tcPr>
          <w:p w:rsidR="00480E33" w:rsidRDefault="00480E33" w:rsidP="00480E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евро </w:t>
            </w:r>
          </w:p>
        </w:tc>
        <w:tc>
          <w:tcPr>
            <w:tcW w:w="3115" w:type="dxa"/>
            <w:gridSpan w:val="2"/>
          </w:tcPr>
          <w:p w:rsidR="00480E33" w:rsidRPr="00135C97" w:rsidRDefault="00480E33" w:rsidP="00135C97">
            <w:pPr>
              <w:pStyle w:val="Default"/>
              <w:jc w:val="both"/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</w:pPr>
            <w:r w:rsidRPr="00135C97"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 xml:space="preserve">ставка Европейского центрального банка на последний день месяца оказания услуг (в % годовых) + (-0,2%) годовых </w:t>
            </w:r>
          </w:p>
        </w:tc>
      </w:tr>
      <w:tr w:rsidR="00480E33" w:rsidRPr="00EF2A3E" w:rsidTr="00A10A6A">
        <w:tc>
          <w:tcPr>
            <w:tcW w:w="704" w:type="dxa"/>
          </w:tcPr>
          <w:p w:rsidR="00480E33" w:rsidRDefault="00480E33" w:rsidP="00480E33">
            <w:pPr>
              <w:rPr>
                <w:b/>
              </w:rPr>
            </w:pPr>
          </w:p>
        </w:tc>
        <w:tc>
          <w:tcPr>
            <w:tcW w:w="5526" w:type="dxa"/>
          </w:tcPr>
          <w:p w:rsidR="00480E33" w:rsidRDefault="00480E33" w:rsidP="00480E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швейцарских франках </w:t>
            </w:r>
          </w:p>
        </w:tc>
        <w:tc>
          <w:tcPr>
            <w:tcW w:w="3115" w:type="dxa"/>
            <w:gridSpan w:val="2"/>
          </w:tcPr>
          <w:p w:rsidR="00480E33" w:rsidRPr="00135C97" w:rsidRDefault="00480E33" w:rsidP="00135C97">
            <w:pPr>
              <w:pStyle w:val="Default"/>
              <w:jc w:val="both"/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</w:pPr>
            <w:r w:rsidRPr="00135C97"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 xml:space="preserve">ставка Национального Банка Швейцарии на последний день месяца оказания услуг (в % годовых) + (-0,5%) годовых </w:t>
            </w:r>
          </w:p>
        </w:tc>
      </w:tr>
      <w:tr w:rsidR="00480E33" w:rsidRPr="00EF2A3E" w:rsidTr="00A10A6A">
        <w:tc>
          <w:tcPr>
            <w:tcW w:w="704" w:type="dxa"/>
          </w:tcPr>
          <w:p w:rsidR="00480E33" w:rsidRDefault="00480E33" w:rsidP="00480E33">
            <w:pPr>
              <w:rPr>
                <w:b/>
              </w:rPr>
            </w:pPr>
          </w:p>
        </w:tc>
        <w:tc>
          <w:tcPr>
            <w:tcW w:w="5526" w:type="dxa"/>
          </w:tcPr>
          <w:p w:rsidR="00480E33" w:rsidRDefault="00480E33" w:rsidP="00605082">
            <w:pPr>
              <w:pStyle w:val="Default"/>
              <w:rPr>
                <w:sz w:val="13"/>
                <w:szCs w:val="13"/>
              </w:rPr>
            </w:pPr>
            <w:r>
              <w:rPr>
                <w:sz w:val="22"/>
                <w:szCs w:val="22"/>
              </w:rPr>
              <w:t>в драгоценном металле</w:t>
            </w:r>
            <w:r w:rsidR="00605082">
              <w:t xml:space="preserve"> (2,4)</w:t>
            </w:r>
          </w:p>
        </w:tc>
        <w:tc>
          <w:tcPr>
            <w:tcW w:w="3115" w:type="dxa"/>
            <w:gridSpan w:val="2"/>
          </w:tcPr>
          <w:p w:rsidR="00480E33" w:rsidRPr="00135C97" w:rsidRDefault="00480E33" w:rsidP="00135C97">
            <w:pPr>
              <w:pStyle w:val="Default"/>
              <w:jc w:val="both"/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</w:pPr>
            <w:r w:rsidRPr="00135C97"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 xml:space="preserve">Взимается с Участника клиринга, на </w:t>
            </w:r>
            <w:r w:rsidR="00135C97" w:rsidRPr="00135C97">
              <w:rPr>
                <w:rFonts w:asciiTheme="minorHAnsi" w:hAnsiTheme="minorHAnsi" w:cs="Arial"/>
                <w:noProof/>
                <w:color w:val="auto"/>
                <w:sz w:val="22"/>
                <w:szCs w:val="22"/>
              </w:rPr>
              <w:t>торговом банковском счете в соответствующем драгоценном металле / Счетах обеспечения в драгоценном металле которого учитываются драгоценные металлы</w:t>
            </w:r>
          </w:p>
        </w:tc>
      </w:tr>
      <w:tr w:rsidR="00480E33" w:rsidRPr="00EF2A3E" w:rsidTr="00A10A6A">
        <w:tc>
          <w:tcPr>
            <w:tcW w:w="704" w:type="dxa"/>
          </w:tcPr>
          <w:p w:rsidR="00480E33" w:rsidRDefault="00480E33" w:rsidP="00480E33">
            <w:pPr>
              <w:rPr>
                <w:b/>
              </w:rPr>
            </w:pPr>
          </w:p>
        </w:tc>
        <w:tc>
          <w:tcPr>
            <w:tcW w:w="5526" w:type="dxa"/>
          </w:tcPr>
          <w:p w:rsidR="00480E33" w:rsidRPr="00EF2A3E" w:rsidRDefault="00480E33" w:rsidP="00480E3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5" w:type="dxa"/>
            <w:gridSpan w:val="2"/>
          </w:tcPr>
          <w:p w:rsidR="00480E33" w:rsidRPr="00135C97" w:rsidRDefault="00135C97" w:rsidP="00605082">
            <w:r w:rsidRPr="00135C97">
              <w:t xml:space="preserve">В соответствии со ставками, установленными иностранной кредитной организацией, в которой Клиринговым центром открыт обезличенный металлический счет для учета обеспечения в соответствующем драгоценном металле, и тарифами, установленными организацией, осуществляющей хранение слитков соответствующих драгоценных металлов на основании договора, заключенного с Клиринговым центром </w:t>
            </w:r>
            <w:r w:rsidR="00605082">
              <w:t>(3)</w:t>
            </w:r>
          </w:p>
        </w:tc>
      </w:tr>
    </w:tbl>
    <w:p w:rsidR="00076AB3" w:rsidRDefault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r>
        <w:rPr>
          <w:rFonts w:ascii="Times New Roman" w:eastAsia="MS Mincho" w:hAnsi="Times New Roman" w:cs="Arial"/>
          <w:iCs/>
          <w:lang w:eastAsia="ru-RU"/>
        </w:rPr>
        <w:t xml:space="preserve">(1) - </w:t>
      </w:r>
      <w:r w:rsidRPr="00605082">
        <w:rPr>
          <w:rFonts w:ascii="Times New Roman" w:eastAsia="MS Mincho" w:hAnsi="Times New Roman" w:cs="Arial"/>
          <w:iCs/>
          <w:lang w:eastAsia="ru-RU"/>
        </w:rPr>
        <w:t>Тариф не применяется к Участнику клиринга – кредитной организации, у которого Банком России отозвана (аннулирована) лицензия на осуществление банковских операций или которому назначена временная администрация по управлению Участником клиринга в рамках мер по предупреждению банкротства кредитной организации и введен мораторий на удовлетворение требований кредиторов Участника клиринга – Кредитной организации, и к Участнику клиринга – некредитной организации в случае введения в отношении Участника клиринга одной из процедур банкротства или назначения в отношении Участника клиринга временной администрации и в случае проведения процедуры урегулирования обязательств в случае прекращения допуска Участника клиринга к клиринговому обслуживанию (ликвидационный неттинг в отношении Участника клиринга), в месяц отзыва (аннулирования) лицензии / введения одной из процедур банкротства / назначения временной администрации и за месяц, предшествующий месяцу отзыва (аннулирования) лицензии / введения одной из процедур банкротства / назначения временной администрации / проведения процедуры ликвидационного неттинга в отношении Участника клиринга, если указанный тариф не был рассчитан и не взимался до даты отзыва (аннулирования) лицензии.</w:t>
      </w:r>
    </w:p>
    <w:p w:rsidR="00605082" w:rsidRDefault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r>
        <w:rPr>
          <w:rFonts w:ascii="Times New Roman" w:eastAsia="MS Mincho" w:hAnsi="Times New Roman" w:cs="Arial"/>
          <w:iCs/>
          <w:lang w:eastAsia="ru-RU"/>
        </w:rPr>
        <w:t xml:space="preserve">(2) - </w:t>
      </w:r>
      <w:r w:rsidRPr="00605082">
        <w:rPr>
          <w:rFonts w:ascii="Times New Roman" w:eastAsia="MS Mincho" w:hAnsi="Times New Roman" w:cs="Arial"/>
          <w:iCs/>
          <w:lang w:eastAsia="ru-RU"/>
        </w:rPr>
        <w:t>для драгоценного металла в рамках каждого вида индивидуального клирингового и иного обеспечения (Обеспечения, имущества, составляющего имущественный пул, Обеспечения под стресс, Гарантийного фонда) и каждого биржевого рынка (в отношении Обеспечения) тариф применяется с даты, установленной решением Клирингового центра.</w:t>
      </w:r>
    </w:p>
    <w:p w:rsidR="00605082" w:rsidRPr="00605082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r>
        <w:rPr>
          <w:rFonts w:ascii="Times New Roman" w:eastAsia="MS Mincho" w:hAnsi="Times New Roman" w:cs="Arial"/>
          <w:iCs/>
          <w:lang w:eastAsia="ru-RU"/>
        </w:rPr>
        <w:t xml:space="preserve">(3) - </w:t>
      </w:r>
      <w:r w:rsidRPr="00605082">
        <w:rPr>
          <w:rFonts w:ascii="Times New Roman" w:eastAsia="MS Mincho" w:hAnsi="Times New Roman" w:cs="Arial"/>
          <w:iCs/>
          <w:lang w:eastAsia="ru-RU"/>
        </w:rPr>
        <w:t>Клиринговый центр ежемесячно, не позднее 25 числа календарного месяца, следующего за месяцем оказания услуг, рассчитывает эффективную ставку комиссионного вознаграждения за учет индивидуального клирингового и иного обеспечения (в процентах годовых) и раскрывает ее на Сайте Клирингового центра.</w:t>
      </w:r>
    </w:p>
    <w:p w:rsidR="00605082" w:rsidRPr="00605082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r w:rsidRPr="00605082">
        <w:rPr>
          <w:rFonts w:ascii="Times New Roman" w:eastAsia="MS Mincho" w:hAnsi="Times New Roman" w:cs="Arial"/>
          <w:iCs/>
          <w:lang w:eastAsia="ru-RU"/>
        </w:rPr>
        <w:t>Эффективная ставка рассчитывается как отношение общей суммы процентов, уплаченных Клиринговым центром в пользу кредитных организаций, в т.ч. иностранных кредитных организаций, в которых Клиринговым центром открыты обезличенные металлические счета для учета обеспечения в соответствующем драгоценном металле и общей стоимости платы за хранение слитков соответствующих драгоценных металлов, уплаченной Клиринговым центром организациям, осуществляющим хранение слитков соответствующих драгоценных металлов на основании договоров, заключенных с Клиринговым центром, к общей сумме индивидуального клирингового и иного обеспечения в соответствующем драгоценном металле, учитываемого Клиринговым центром в каждый календарный день отчетного месяца.</w:t>
      </w:r>
    </w:p>
    <w:p w:rsidR="00605082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r w:rsidRPr="00605082">
        <w:rPr>
          <w:rFonts w:ascii="Times New Roman" w:eastAsia="MS Mincho" w:hAnsi="Times New Roman" w:cs="Arial"/>
          <w:iCs/>
          <w:lang w:eastAsia="ru-RU"/>
        </w:rPr>
        <w:t>Эффективная ставка рассчитывается с точностью до 10-ти (десяти) знаков после запятой путем округления остальных знаков.</w:t>
      </w:r>
      <w:r w:rsidRPr="00605082">
        <w:t xml:space="preserve"> </w:t>
      </w:r>
      <w:r w:rsidRPr="00605082">
        <w:rPr>
          <w:rFonts w:ascii="Times New Roman" w:eastAsia="MS Mincho" w:hAnsi="Times New Roman" w:cs="Arial"/>
          <w:iCs/>
          <w:lang w:eastAsia="ru-RU"/>
        </w:rPr>
        <w:t>Эффективная ставка, рассчитанная Клиринговым центром, раскрывается на Сайте Клирингового центра.</w:t>
      </w:r>
    </w:p>
    <w:p w:rsidR="00605082" w:rsidRPr="00605082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r>
        <w:rPr>
          <w:rFonts w:ascii="Times New Roman" w:eastAsia="MS Mincho" w:hAnsi="Times New Roman" w:cs="Arial"/>
          <w:iCs/>
          <w:lang w:eastAsia="ru-RU"/>
        </w:rPr>
        <w:t xml:space="preserve">(4) - </w:t>
      </w:r>
      <w:r w:rsidRPr="00605082">
        <w:rPr>
          <w:rFonts w:ascii="Times New Roman" w:eastAsia="MS Mincho" w:hAnsi="Times New Roman" w:cs="Arial"/>
          <w:iCs/>
          <w:lang w:eastAsia="ru-RU"/>
        </w:rPr>
        <w:t>Сумма комиссионного вознаграждения за учет индивидуального клирингового и иного обеспечения, подлежащая уплате Участником клиринга, рассчитывается по Счету обеспечения в соответствующей иностранной валюте / торговому банковскому счету в соответствующем драгоценном металле по формуле:</w:t>
      </w:r>
    </w:p>
    <w:p w:rsidR="00605082" w:rsidRPr="00605082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val="en-US" w:eastAsia="ru-RU"/>
        </w:rPr>
      </w:pPr>
      <w:r w:rsidRPr="00605082">
        <w:rPr>
          <w:rFonts w:ascii="Times New Roman" w:eastAsia="MS Mincho" w:hAnsi="Times New Roman" w:cs="Arial"/>
          <w:iCs/>
          <w:lang w:val="en-US" w:eastAsia="ru-RU"/>
        </w:rPr>
        <w:t>m</w:t>
      </w:r>
    </w:p>
    <w:p w:rsidR="00605082" w:rsidRPr="00605082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val="en-US" w:eastAsia="ru-RU"/>
        </w:rPr>
      </w:pPr>
      <w:r w:rsidRPr="00605082">
        <w:rPr>
          <w:rFonts w:ascii="Times New Roman" w:eastAsia="MS Mincho" w:hAnsi="Times New Roman" w:cs="Arial"/>
          <w:iCs/>
          <w:lang w:val="en-US" w:eastAsia="ru-RU"/>
        </w:rPr>
        <w:t xml:space="preserve">Fee = </w:t>
      </w:r>
      <w:r w:rsidRPr="00605082">
        <w:rPr>
          <w:rFonts w:ascii="Times New Roman" w:eastAsia="MS Mincho" w:hAnsi="Times New Roman" w:cs="Arial"/>
          <w:iCs/>
          <w:lang w:eastAsia="ru-RU"/>
        </w:rPr>
        <w:t>ОКРУГЛ</w:t>
      </w:r>
      <w:r w:rsidRPr="00605082">
        <w:rPr>
          <w:rFonts w:ascii="Times New Roman" w:eastAsia="MS Mincho" w:hAnsi="Times New Roman" w:cs="Arial"/>
          <w:iCs/>
          <w:lang w:val="en-US" w:eastAsia="ru-RU"/>
        </w:rPr>
        <w:t>((</w:t>
      </w:r>
      <w:r w:rsidRPr="00605082">
        <w:rPr>
          <w:rFonts w:ascii="Times New Roman" w:eastAsia="MS Mincho" w:hAnsi="Times New Roman" w:cs="Arial"/>
          <w:iCs/>
          <w:lang w:eastAsia="ru-RU"/>
        </w:rPr>
        <w:t>Σ</w:t>
      </w:r>
      <w:r w:rsidRPr="00605082">
        <w:rPr>
          <w:rFonts w:ascii="Times New Roman" w:eastAsia="MS Mincho" w:hAnsi="Times New Roman" w:cs="Arial"/>
          <w:iCs/>
          <w:lang w:val="en-US" w:eastAsia="ru-RU"/>
        </w:rPr>
        <w:t xml:space="preserve"> cl_bali × S / (y × 100)) × z;2), </w:t>
      </w:r>
      <w:r w:rsidRPr="00605082">
        <w:rPr>
          <w:rFonts w:ascii="Times New Roman" w:eastAsia="MS Mincho" w:hAnsi="Times New Roman" w:cs="Arial"/>
          <w:iCs/>
          <w:lang w:eastAsia="ru-RU"/>
        </w:rPr>
        <w:t>где</w:t>
      </w:r>
    </w:p>
    <w:p w:rsidR="00605082" w:rsidRPr="00605082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r w:rsidRPr="00605082">
        <w:rPr>
          <w:rFonts w:ascii="Times New Roman" w:eastAsia="MS Mincho" w:hAnsi="Times New Roman" w:cs="Arial"/>
          <w:iCs/>
          <w:lang w:eastAsia="ru-RU"/>
        </w:rPr>
        <w:t>i=1</w:t>
      </w:r>
    </w:p>
    <w:p w:rsidR="00605082" w:rsidRPr="00605082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r w:rsidRPr="00605082">
        <w:rPr>
          <w:rFonts w:ascii="Times New Roman" w:eastAsia="MS Mincho" w:hAnsi="Times New Roman" w:cs="Arial"/>
          <w:iCs/>
          <w:lang w:eastAsia="ru-RU"/>
        </w:rPr>
        <w:t>Fee – сумма комиссионного вознаграждения за учет индивидуального клирингового и иного обеспечения по Счету обеспечения в соответствующей иностранной валюте / торговому банковскому счету в соответствующем драгоценном металле, подлежащая уплате Участником клиринга,</w:t>
      </w:r>
    </w:p>
    <w:p w:rsidR="00605082" w:rsidRPr="00605082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r w:rsidRPr="00605082">
        <w:rPr>
          <w:rFonts w:ascii="Times New Roman" w:eastAsia="MS Mincho" w:hAnsi="Times New Roman" w:cs="Arial"/>
          <w:iCs/>
          <w:lang w:eastAsia="ru-RU"/>
        </w:rPr>
        <w:t>cl_bali – входящий остаток индивидуального клирингового и иного обеспечения в соответствующей иностранной валюте / в соответствующем драгоценном металле по Счету обеспечения в соответствующей иностранной валюте / торговому банковскому счету в соответствующем драгоценном металле в i-й календарный день месяца (значение поля «OPENING_BALANCE» из Отчета о движении денежных средств (CCX99)), для дня (дней), не являющегося Расчетным днем – исходящий остаток за последний Расчетный день (значение поля «CLOSING_BALANCE» из Отчета о движении денежных средств (CCX99)),</w:t>
      </w:r>
    </w:p>
    <w:p w:rsidR="00605082" w:rsidRPr="00605082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r w:rsidRPr="00605082">
        <w:rPr>
          <w:rFonts w:ascii="Times New Roman" w:eastAsia="MS Mincho" w:hAnsi="Times New Roman" w:cs="Arial"/>
          <w:iCs/>
          <w:lang w:eastAsia="ru-RU"/>
        </w:rPr>
        <w:t>S – ставка комиссионного вознаграждения за учет индивидуального клирингового и иного обеспечения (в процентах годовых) в соответствующей иностранной валюте / соответствующем драгоценном металле: ставка, установленная Тарифами Клирингового центра / эффективная ставка, рассчитанная Клиринговым центром и раскрытая на Сайте Клирингового центра.</w:t>
      </w:r>
    </w:p>
    <w:p w:rsidR="00605082" w:rsidRDefault="00605082" w:rsidP="00605082">
      <w:pPr>
        <w:spacing w:before="120" w:after="0" w:line="240" w:lineRule="auto"/>
        <w:jc w:val="both"/>
      </w:pPr>
      <w:r w:rsidRPr="00605082">
        <w:rPr>
          <w:rFonts w:ascii="Times New Roman" w:eastAsia="MS Mincho" w:hAnsi="Times New Roman" w:cs="Arial"/>
          <w:iCs/>
          <w:lang w:eastAsia="ru-RU"/>
        </w:rPr>
        <w:t>m – количество календарных дней в отчетном месяце,</w:t>
      </w:r>
      <w:r w:rsidRPr="00605082">
        <w:t xml:space="preserve"> </w:t>
      </w:r>
    </w:p>
    <w:p w:rsidR="00605082" w:rsidRPr="00605082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bookmarkStart w:id="0" w:name="_GoBack"/>
      <w:bookmarkEnd w:id="0"/>
      <w:r w:rsidRPr="00605082">
        <w:rPr>
          <w:rFonts w:ascii="Times New Roman" w:eastAsia="MS Mincho" w:hAnsi="Times New Roman" w:cs="Arial"/>
          <w:iCs/>
          <w:lang w:eastAsia="ru-RU"/>
        </w:rPr>
        <w:t>y – количество календарных дней в году, в который входит отчетный месяц,</w:t>
      </w:r>
    </w:p>
    <w:p w:rsidR="00605082" w:rsidRPr="004A4E53" w:rsidRDefault="00605082" w:rsidP="00605082">
      <w:pPr>
        <w:spacing w:before="120" w:after="0" w:line="240" w:lineRule="auto"/>
        <w:jc w:val="both"/>
        <w:rPr>
          <w:rFonts w:ascii="Times New Roman" w:eastAsia="MS Mincho" w:hAnsi="Times New Roman" w:cs="Arial"/>
          <w:iCs/>
          <w:lang w:eastAsia="ru-RU"/>
        </w:rPr>
      </w:pPr>
      <w:r w:rsidRPr="00605082">
        <w:rPr>
          <w:rFonts w:ascii="Times New Roman" w:eastAsia="MS Mincho" w:hAnsi="Times New Roman" w:cs="Arial"/>
          <w:iCs/>
          <w:lang w:eastAsia="ru-RU"/>
        </w:rPr>
        <w:t>z – курс иностранной валюты к российскому рублю, установленный Банком России на последний рабочий день месяца оказания услуг. z = 1, если плата за хранение слитков соответствующих драгоценных металлов уплачена Клиринговым центром в российских рублях.</w:t>
      </w:r>
    </w:p>
    <w:sectPr w:rsidR="00605082" w:rsidRPr="004A4E53" w:rsidSect="005A6BB2">
      <w:footnotePr>
        <w:numStart w:val="3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B3" w:rsidRDefault="00076AB3" w:rsidP="00076AB3">
      <w:pPr>
        <w:spacing w:after="0" w:line="240" w:lineRule="auto"/>
      </w:pPr>
      <w:r>
        <w:separator/>
      </w:r>
    </w:p>
  </w:endnote>
  <w:endnote w:type="continuationSeparator" w:id="0">
    <w:p w:rsidR="00076AB3" w:rsidRDefault="00076AB3" w:rsidP="0007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B3" w:rsidRDefault="00076AB3" w:rsidP="00076AB3">
      <w:pPr>
        <w:spacing w:after="0" w:line="240" w:lineRule="auto"/>
      </w:pPr>
      <w:r>
        <w:separator/>
      </w:r>
    </w:p>
  </w:footnote>
  <w:footnote w:type="continuationSeparator" w:id="0">
    <w:p w:rsidR="00076AB3" w:rsidRDefault="00076AB3" w:rsidP="00076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6A"/>
    <w:rsid w:val="00076AB3"/>
    <w:rsid w:val="00135C97"/>
    <w:rsid w:val="00200FC5"/>
    <w:rsid w:val="002141AC"/>
    <w:rsid w:val="00223834"/>
    <w:rsid w:val="004418EC"/>
    <w:rsid w:val="00480E33"/>
    <w:rsid w:val="004A4E53"/>
    <w:rsid w:val="00585AF3"/>
    <w:rsid w:val="005A6BB2"/>
    <w:rsid w:val="00605082"/>
    <w:rsid w:val="006527EA"/>
    <w:rsid w:val="008D1485"/>
    <w:rsid w:val="009B4F37"/>
    <w:rsid w:val="00A10A6A"/>
    <w:rsid w:val="00C46D97"/>
    <w:rsid w:val="00D158BF"/>
    <w:rsid w:val="00D931D0"/>
    <w:rsid w:val="00E04F56"/>
    <w:rsid w:val="00E24E90"/>
    <w:rsid w:val="00E77749"/>
    <w:rsid w:val="00EF2A3E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85D2"/>
  <w15:chartTrackingRefBased/>
  <w15:docId w15:val="{93701697-ADFB-47E9-AE57-04153B63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qFormat/>
    <w:rsid w:val="00585AF3"/>
    <w:pPr>
      <w:spacing w:after="0" w:line="240" w:lineRule="auto"/>
      <w:jc w:val="both"/>
    </w:pPr>
    <w:rPr>
      <w:rFonts w:ascii="Times New Roman" w:eastAsia="MS Mincho" w:hAnsi="Times New Roman" w:cs="Arial"/>
      <w:i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8BF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076A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6A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76AB3"/>
    <w:rPr>
      <w:vertAlign w:val="superscript"/>
    </w:rPr>
  </w:style>
  <w:style w:type="paragraph" w:customStyle="1" w:styleId="Default">
    <w:name w:val="Default"/>
    <w:rsid w:val="00480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2164-48C2-4041-9DC9-B27A465A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Екатерина Бандакова</cp:lastModifiedBy>
  <cp:revision>3</cp:revision>
  <cp:lastPrinted>2018-10-26T08:27:00Z</cp:lastPrinted>
  <dcterms:created xsi:type="dcterms:W3CDTF">2020-04-06T12:01:00Z</dcterms:created>
  <dcterms:modified xsi:type="dcterms:W3CDTF">2020-04-06T12:06:00Z</dcterms:modified>
</cp:coreProperties>
</file>