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1E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</w:rPr>
      </w:pPr>
    </w:p>
    <w:p w:rsidR="00CC531E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</w:rPr>
      </w:pPr>
    </w:p>
    <w:p w:rsidR="00CC531E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</w:rPr>
      </w:pPr>
    </w:p>
    <w:p w:rsidR="00CC531E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</w:rPr>
      </w:pPr>
    </w:p>
    <w:p w:rsidR="00CC531E" w:rsidRPr="0022539B" w:rsidRDefault="00371DF8" w:rsidP="00802D7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</w:t>
      </w:r>
    </w:p>
    <w:p w:rsidR="00802D7F" w:rsidRDefault="00802D7F" w:rsidP="00802D7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Pr="0022539B">
        <w:rPr>
          <w:rFonts w:ascii="Tahoma" w:hAnsi="Tahoma" w:cs="Tahoma"/>
          <w:b/>
          <w:sz w:val="20"/>
          <w:szCs w:val="20"/>
        </w:rPr>
        <w:t>ереч</w:t>
      </w:r>
      <w:r>
        <w:rPr>
          <w:rFonts w:ascii="Tahoma" w:hAnsi="Tahoma" w:cs="Tahoma"/>
          <w:b/>
          <w:sz w:val="20"/>
          <w:szCs w:val="20"/>
        </w:rPr>
        <w:t>ень</w:t>
      </w:r>
      <w:r w:rsidRPr="0022539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:rsidR="00802D7F" w:rsidRDefault="00802D7F" w:rsidP="00802D7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в отношении которых допускается подача Индикативных котировок </w:t>
      </w:r>
    </w:p>
    <w:p w:rsidR="00802D7F" w:rsidRPr="0022539B" w:rsidRDefault="00802D7F" w:rsidP="00802D7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в Системе индикативных котировок </w:t>
      </w: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802D7F" w:rsidRPr="00802D7F" w:rsidRDefault="00802D7F" w:rsidP="00802D7F">
      <w:pPr>
        <w:spacing w:after="240" w:line="240" w:lineRule="auto"/>
        <w:ind w:right="283"/>
        <w:jc w:val="both"/>
        <w:rPr>
          <w:rFonts w:ascii="Tahoma" w:hAnsi="Tahoma" w:cs="Tahoma"/>
          <w:sz w:val="20"/>
          <w:szCs w:val="20"/>
        </w:rPr>
      </w:pPr>
      <w:r w:rsidRPr="00802D7F">
        <w:rPr>
          <w:rFonts w:ascii="Tahoma" w:hAnsi="Tahoma" w:cs="Tahoma"/>
          <w:sz w:val="20"/>
          <w:szCs w:val="20"/>
        </w:rPr>
        <w:t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определен в Таблице 1, с учетом следующего:</w:t>
      </w:r>
    </w:p>
    <w:p w:rsidR="00B4244A" w:rsidRDefault="00B4244A" w:rsidP="0060347B">
      <w:pPr>
        <w:pStyle w:val="a6"/>
        <w:numPr>
          <w:ilvl w:val="1"/>
          <w:numId w:val="1"/>
        </w:numPr>
        <w:spacing w:after="240" w:line="240" w:lineRule="auto"/>
        <w:ind w:left="1134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 контракты) – группа контрактов по типам базовых активов;</w:t>
      </w:r>
    </w:p>
    <w:p w:rsidR="00EF44FE" w:rsidRDefault="00B4244A" w:rsidP="0060347B">
      <w:pPr>
        <w:pStyle w:val="a6"/>
        <w:numPr>
          <w:ilvl w:val="1"/>
          <w:numId w:val="1"/>
        </w:numPr>
        <w:spacing w:after="240" w:line="240" w:lineRule="auto"/>
        <w:ind w:left="1134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О) – вид контракта: </w:t>
      </w:r>
    </w:p>
    <w:p w:rsidR="00EF44FE" w:rsidRDefault="00B4244A" w:rsidP="00EF44FE">
      <w:pPr>
        <w:pStyle w:val="a6"/>
        <w:numPr>
          <w:ilvl w:val="0"/>
          <w:numId w:val="3"/>
        </w:numPr>
        <w:spacing w:after="240" w:line="240" w:lineRule="auto"/>
        <w:ind w:left="1560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:rsidR="00B4244A" w:rsidRDefault="00B4244A" w:rsidP="00EF44FE">
      <w:pPr>
        <w:pStyle w:val="a6"/>
        <w:numPr>
          <w:ilvl w:val="0"/>
          <w:numId w:val="3"/>
        </w:numPr>
        <w:spacing w:after="240" w:line="240" w:lineRule="auto"/>
        <w:ind w:left="1560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маржируемый опцион на фьючерсный контракт (О)</w:t>
      </w:r>
      <w:r w:rsidR="0086356A">
        <w:rPr>
          <w:rFonts w:ascii="Tahoma" w:hAnsi="Tahoma" w:cs="Tahoma"/>
          <w:sz w:val="20"/>
          <w:szCs w:val="20"/>
        </w:rPr>
        <w:t xml:space="preserve"> (далее – опцион)</w:t>
      </w:r>
      <w:r>
        <w:rPr>
          <w:rFonts w:ascii="Tahoma" w:hAnsi="Tahoma" w:cs="Tahoma"/>
          <w:sz w:val="20"/>
          <w:szCs w:val="20"/>
        </w:rPr>
        <w:t>;</w:t>
      </w:r>
    </w:p>
    <w:p w:rsidR="00EF44FE" w:rsidRDefault="00EF44FE" w:rsidP="0060347B">
      <w:pPr>
        <w:pStyle w:val="a6"/>
        <w:numPr>
          <w:ilvl w:val="1"/>
          <w:numId w:val="1"/>
        </w:numPr>
        <w:spacing w:after="240" w:line="240" w:lineRule="auto"/>
        <w:ind w:left="1134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:rsidR="00EF44FE" w:rsidRDefault="00EF44FE" w:rsidP="00EF44FE">
      <w:pPr>
        <w:pStyle w:val="a6"/>
        <w:numPr>
          <w:ilvl w:val="0"/>
          <w:numId w:val="4"/>
        </w:numPr>
        <w:spacing w:after="240" w:line="240" w:lineRule="auto"/>
        <w:ind w:left="1560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:rsidR="00EF44FE" w:rsidRDefault="00EF44FE" w:rsidP="00EF44FE">
      <w:pPr>
        <w:pStyle w:val="a6"/>
        <w:numPr>
          <w:ilvl w:val="0"/>
          <w:numId w:val="4"/>
        </w:numPr>
        <w:spacing w:after="240" w:line="240" w:lineRule="auto"/>
        <w:ind w:left="1560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:rsidR="00746283" w:rsidRDefault="00746283" w:rsidP="0060347B">
      <w:pPr>
        <w:pStyle w:val="a6"/>
        <w:numPr>
          <w:ilvl w:val="1"/>
          <w:numId w:val="1"/>
        </w:numPr>
        <w:spacing w:after="240" w:line="240" w:lineRule="auto"/>
        <w:ind w:left="1134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– код фьючерсного контракта, являющегося базовым активом соответствующего опциона, указываемый в Коде (обозначении) опциона;</w:t>
      </w:r>
    </w:p>
    <w:p w:rsidR="0060347B" w:rsidRDefault="00081956" w:rsidP="0060347B">
      <w:pPr>
        <w:pStyle w:val="a6"/>
        <w:numPr>
          <w:ilvl w:val="1"/>
          <w:numId w:val="1"/>
        </w:numPr>
        <w:spacing w:after="240" w:line="240" w:lineRule="auto"/>
        <w:ind w:left="1134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="0060347B" w:rsidRPr="0060347B">
        <w:rPr>
          <w:rFonts w:ascii="Tahoma" w:hAnsi="Tahoma" w:cs="Tahoma"/>
          <w:sz w:val="20"/>
          <w:szCs w:val="20"/>
        </w:rPr>
        <w:t>(к</w:t>
      </w:r>
      <w:r w:rsidR="00400C76" w:rsidRPr="0060347B">
        <w:rPr>
          <w:rFonts w:ascii="Tahoma" w:hAnsi="Tahoma" w:cs="Tahoma"/>
          <w:sz w:val="20"/>
          <w:szCs w:val="20"/>
        </w:rPr>
        <w:t>вартальный, месячный, недельный</w:t>
      </w:r>
      <w:r w:rsidR="0060347B" w:rsidRPr="0060347B">
        <w:rPr>
          <w:rFonts w:ascii="Tahoma" w:hAnsi="Tahoma" w:cs="Tahoma"/>
          <w:sz w:val="20"/>
          <w:szCs w:val="20"/>
        </w:rPr>
        <w:t xml:space="preserve">) </w:t>
      </w:r>
      <w:r w:rsidR="0060347B">
        <w:rPr>
          <w:rFonts w:ascii="Tahoma" w:hAnsi="Tahoma" w:cs="Tahoma"/>
          <w:sz w:val="20"/>
          <w:szCs w:val="20"/>
        </w:rPr>
        <w:t>–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 w:rsidR="0060347B">
        <w:rPr>
          <w:rFonts w:ascii="Tahoma" w:hAnsi="Tahoma" w:cs="Tahoma"/>
          <w:sz w:val="20"/>
          <w:szCs w:val="20"/>
        </w:rPr>
        <w:t>«квартальный», «месячный», «недельный»</w:t>
      </w:r>
      <w:r w:rsidR="00656405">
        <w:rPr>
          <w:rFonts w:ascii="Tahoma" w:hAnsi="Tahoma" w:cs="Tahoma"/>
          <w:sz w:val="20"/>
          <w:szCs w:val="20"/>
        </w:rPr>
        <w:t xml:space="preserve"> </w:t>
      </w:r>
      <w:r w:rsidR="0060347B">
        <w:rPr>
          <w:rFonts w:ascii="Tahoma" w:hAnsi="Tahoma" w:cs="Tahoma"/>
          <w:sz w:val="20"/>
          <w:szCs w:val="20"/>
        </w:rPr>
        <w:t>опцион</w:t>
      </w:r>
      <w:r w:rsidR="00656405">
        <w:rPr>
          <w:rFonts w:ascii="Tahoma" w:hAnsi="Tahoma" w:cs="Tahoma"/>
          <w:sz w:val="20"/>
          <w:szCs w:val="20"/>
        </w:rPr>
        <w:t>ы</w:t>
      </w:r>
      <w:r w:rsidR="0060347B">
        <w:rPr>
          <w:rFonts w:ascii="Tahoma" w:hAnsi="Tahoma" w:cs="Tahoma"/>
          <w:sz w:val="20"/>
          <w:szCs w:val="20"/>
        </w:rPr>
        <w:t xml:space="preserve"> как эти термины определены в Списке дат, являющихся последними днями заключения опционов, утверждаемом ПАО Московская Биржа;</w:t>
      </w:r>
    </w:p>
    <w:p w:rsidR="0060347B" w:rsidRPr="0060347B" w:rsidRDefault="0060347B" w:rsidP="0060347B">
      <w:pPr>
        <w:pStyle w:val="a6"/>
        <w:numPr>
          <w:ilvl w:val="1"/>
          <w:numId w:val="1"/>
        </w:numPr>
        <w:spacing w:after="240" w:line="240" w:lineRule="auto"/>
        <w:ind w:left="1134" w:right="283" w:hanging="425"/>
        <w:jc w:val="both"/>
        <w:rPr>
          <w:rFonts w:ascii="Tahoma" w:hAnsi="Tahoma" w:cs="Tahoma"/>
          <w:sz w:val="20"/>
          <w:szCs w:val="20"/>
        </w:rPr>
      </w:pPr>
      <w:r w:rsidRPr="0060347B">
        <w:rPr>
          <w:rFonts w:ascii="Tahoma" w:hAnsi="Tahoma" w:cs="Tahoma"/>
          <w:sz w:val="20"/>
          <w:szCs w:val="20"/>
        </w:rPr>
        <w:t>Серия опционов</w:t>
      </w:r>
      <w:r>
        <w:rPr>
          <w:rFonts w:ascii="Tahoma" w:hAnsi="Tahoma" w:cs="Tahoma"/>
          <w:sz w:val="20"/>
          <w:szCs w:val="20"/>
        </w:rPr>
        <w:t xml:space="preserve"> (1</w:t>
      </w:r>
      <w:r w:rsidR="007935F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7935F0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)</w:t>
      </w:r>
      <w:r w:rsidRPr="0060347B">
        <w:rPr>
          <w:rFonts w:ascii="Tahoma" w:hAnsi="Tahoma" w:cs="Tahoma"/>
          <w:sz w:val="20"/>
          <w:szCs w:val="20"/>
        </w:rPr>
        <w:t xml:space="preserve"> – Серия опционов </w:t>
      </w:r>
      <w:r w:rsidR="007935F0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как этот термин определен в Правилах организованных торгов на Срочном рынке ПАО Московская Биржа</w:t>
      </w:r>
      <w:r w:rsidR="007935F0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, </w:t>
      </w:r>
      <w:r w:rsidR="007935F0">
        <w:rPr>
          <w:rFonts w:ascii="Tahoma" w:hAnsi="Tahoma" w:cs="Tahoma"/>
          <w:sz w:val="20"/>
          <w:szCs w:val="20"/>
        </w:rPr>
        <w:t xml:space="preserve">начиная с которой </w:t>
      </w:r>
      <w:r w:rsidR="00AB3FF8">
        <w:rPr>
          <w:rFonts w:ascii="Tahoma" w:hAnsi="Tahoma" w:cs="Tahoma"/>
          <w:sz w:val="20"/>
          <w:szCs w:val="20"/>
        </w:rPr>
        <w:t>допускается подача Индикативных котировок в Системе индикативных котировок на Срочном рынке ПАО Московская Биржа, где:</w:t>
      </w:r>
      <w:r w:rsidRPr="0060347B">
        <w:rPr>
          <w:rFonts w:ascii="Tahoma" w:hAnsi="Tahoma" w:cs="Tahoma"/>
          <w:sz w:val="20"/>
          <w:szCs w:val="20"/>
        </w:rPr>
        <w:t xml:space="preserve"> </w:t>
      </w:r>
    </w:p>
    <w:p w:rsidR="00400C76" w:rsidRPr="00EF44FE" w:rsidRDefault="00CC531E" w:rsidP="00EF44FE">
      <w:pPr>
        <w:pStyle w:val="a6"/>
        <w:numPr>
          <w:ilvl w:val="0"/>
          <w:numId w:val="5"/>
        </w:numPr>
        <w:spacing w:after="240" w:line="240" w:lineRule="auto"/>
        <w:ind w:left="1560" w:right="283"/>
        <w:jc w:val="both"/>
        <w:rPr>
          <w:rFonts w:ascii="Tahoma" w:hAnsi="Tahoma" w:cs="Tahoma"/>
          <w:sz w:val="20"/>
          <w:szCs w:val="20"/>
        </w:rPr>
      </w:pPr>
      <w:r w:rsidRPr="00EF44FE">
        <w:rPr>
          <w:rFonts w:ascii="Tahoma" w:hAnsi="Tahoma" w:cs="Tahoma"/>
          <w:sz w:val="20"/>
          <w:szCs w:val="20"/>
        </w:rPr>
        <w:t>Серия опционов</w:t>
      </w:r>
      <w:r w:rsidR="00400C76" w:rsidRPr="00EF44FE">
        <w:rPr>
          <w:rFonts w:ascii="Tahoma" w:hAnsi="Tahoma" w:cs="Tahoma"/>
          <w:sz w:val="20"/>
          <w:szCs w:val="20"/>
        </w:rPr>
        <w:t xml:space="preserve"> </w:t>
      </w:r>
      <w:r w:rsidR="0060347B" w:rsidRPr="00EF44FE">
        <w:rPr>
          <w:rFonts w:ascii="Tahoma" w:hAnsi="Tahoma" w:cs="Tahoma"/>
          <w:sz w:val="20"/>
          <w:szCs w:val="20"/>
        </w:rPr>
        <w:t>(1)</w:t>
      </w:r>
      <w:r w:rsidRPr="00EF44FE">
        <w:rPr>
          <w:rFonts w:ascii="Tahoma" w:hAnsi="Tahoma" w:cs="Tahoma"/>
          <w:sz w:val="20"/>
          <w:szCs w:val="20"/>
        </w:rPr>
        <w:t xml:space="preserve"> </w:t>
      </w:r>
      <w:r w:rsidR="00400C76" w:rsidRPr="00EF44FE">
        <w:rPr>
          <w:rFonts w:ascii="Tahoma" w:hAnsi="Tahoma" w:cs="Tahoma"/>
          <w:sz w:val="20"/>
          <w:szCs w:val="20"/>
        </w:rPr>
        <w:t>– Серия опционов</w:t>
      </w:r>
      <w:r w:rsidR="0060347B" w:rsidRPr="00EF44FE">
        <w:rPr>
          <w:rFonts w:ascii="Tahoma" w:eastAsia="Times New Roman" w:hAnsi="Tahoma" w:cs="Tahoma"/>
          <w:sz w:val="20"/>
          <w:szCs w:val="24"/>
          <w:lang w:eastAsia="ru-RU"/>
        </w:rPr>
        <w:t xml:space="preserve"> с </w:t>
      </w:r>
      <w:r w:rsidR="002E32A7">
        <w:rPr>
          <w:rFonts w:ascii="Tahoma" w:eastAsia="Times New Roman" w:hAnsi="Tahoma" w:cs="Tahoma"/>
          <w:sz w:val="20"/>
          <w:szCs w:val="24"/>
          <w:lang w:eastAsia="ru-RU"/>
        </w:rPr>
        <w:t>ближайшим</w:t>
      </w:r>
      <w:r w:rsidR="0060347B" w:rsidRPr="00EF44FE">
        <w:rPr>
          <w:rFonts w:ascii="Tahoma" w:eastAsia="Times New Roman" w:hAnsi="Tahoma" w:cs="Tahoma"/>
          <w:sz w:val="20"/>
          <w:szCs w:val="24"/>
          <w:lang w:eastAsia="ru-RU"/>
        </w:rPr>
        <w:t xml:space="preserve"> сроком исполнения</w:t>
      </w:r>
      <w:r w:rsidR="00400C76" w:rsidRPr="00EF44FE">
        <w:rPr>
          <w:rFonts w:ascii="Tahoma" w:hAnsi="Tahoma" w:cs="Tahoma"/>
          <w:sz w:val="20"/>
          <w:szCs w:val="20"/>
        </w:rPr>
        <w:t>;</w:t>
      </w:r>
    </w:p>
    <w:p w:rsidR="0022340F" w:rsidRDefault="00400C76" w:rsidP="00081956">
      <w:pPr>
        <w:pStyle w:val="a6"/>
        <w:numPr>
          <w:ilvl w:val="0"/>
          <w:numId w:val="5"/>
        </w:numPr>
        <w:spacing w:after="240" w:line="240" w:lineRule="auto"/>
        <w:ind w:left="1560" w:right="283"/>
        <w:jc w:val="both"/>
        <w:rPr>
          <w:rFonts w:ascii="Tahoma" w:hAnsi="Tahoma" w:cs="Tahoma"/>
          <w:sz w:val="20"/>
          <w:szCs w:val="20"/>
        </w:rPr>
      </w:pPr>
      <w:r w:rsidRPr="00EF44FE">
        <w:rPr>
          <w:rFonts w:ascii="Tahoma" w:hAnsi="Tahoma" w:cs="Tahoma"/>
          <w:sz w:val="20"/>
          <w:szCs w:val="20"/>
        </w:rPr>
        <w:t>Сери</w:t>
      </w:r>
      <w:r w:rsidR="00AB3FF8">
        <w:rPr>
          <w:rFonts w:ascii="Tahoma" w:hAnsi="Tahoma" w:cs="Tahoma"/>
          <w:sz w:val="20"/>
          <w:szCs w:val="20"/>
        </w:rPr>
        <w:t>я</w:t>
      </w:r>
      <w:r w:rsidRPr="00EF44FE">
        <w:rPr>
          <w:rFonts w:ascii="Tahoma" w:hAnsi="Tahoma" w:cs="Tahoma"/>
          <w:sz w:val="20"/>
          <w:szCs w:val="20"/>
        </w:rPr>
        <w:t xml:space="preserve"> опционов </w:t>
      </w:r>
      <w:r w:rsidR="0060347B" w:rsidRPr="00EF44FE">
        <w:rPr>
          <w:rFonts w:ascii="Tahoma" w:hAnsi="Tahoma" w:cs="Tahoma"/>
          <w:sz w:val="20"/>
          <w:szCs w:val="20"/>
        </w:rPr>
        <w:t>(</w:t>
      </w:r>
      <w:r w:rsidRPr="00EF44FE">
        <w:rPr>
          <w:rFonts w:ascii="Tahoma" w:hAnsi="Tahoma" w:cs="Tahoma"/>
          <w:sz w:val="20"/>
          <w:szCs w:val="20"/>
        </w:rPr>
        <w:t>2</w:t>
      </w:r>
      <w:r w:rsidR="0060347B" w:rsidRPr="00EF44FE">
        <w:rPr>
          <w:rFonts w:ascii="Tahoma" w:hAnsi="Tahoma" w:cs="Tahoma"/>
          <w:sz w:val="20"/>
          <w:szCs w:val="20"/>
        </w:rPr>
        <w:t>)</w:t>
      </w:r>
      <w:r w:rsidR="007935F0">
        <w:rPr>
          <w:rFonts w:ascii="Tahoma" w:hAnsi="Tahoma" w:cs="Tahoma"/>
          <w:sz w:val="20"/>
          <w:szCs w:val="20"/>
        </w:rPr>
        <w:t xml:space="preserve"> </w:t>
      </w:r>
      <w:r w:rsidRPr="00EF44FE">
        <w:rPr>
          <w:rFonts w:ascii="Tahoma" w:hAnsi="Tahoma" w:cs="Tahoma"/>
          <w:sz w:val="20"/>
          <w:szCs w:val="20"/>
        </w:rPr>
        <w:t>– Сери</w:t>
      </w:r>
      <w:r w:rsidR="00AB3FF8">
        <w:rPr>
          <w:rFonts w:ascii="Tahoma" w:hAnsi="Tahoma" w:cs="Tahoma"/>
          <w:sz w:val="20"/>
          <w:szCs w:val="20"/>
        </w:rPr>
        <w:t>я</w:t>
      </w:r>
      <w:r w:rsidRPr="00EF44FE">
        <w:rPr>
          <w:rFonts w:ascii="Tahoma" w:hAnsi="Tahoma" w:cs="Tahoma"/>
          <w:sz w:val="20"/>
          <w:szCs w:val="20"/>
        </w:rPr>
        <w:t xml:space="preserve"> </w:t>
      </w:r>
      <w:r w:rsidR="0060347B" w:rsidRPr="00EF44FE">
        <w:rPr>
          <w:rFonts w:ascii="Tahoma" w:hAnsi="Tahoma" w:cs="Tahoma"/>
          <w:sz w:val="20"/>
          <w:szCs w:val="20"/>
        </w:rPr>
        <w:t>опционов с</w:t>
      </w:r>
      <w:r w:rsidR="002E32A7">
        <w:rPr>
          <w:rFonts w:ascii="Tahoma" w:hAnsi="Tahoma" w:cs="Tahoma"/>
          <w:sz w:val="20"/>
          <w:szCs w:val="20"/>
        </w:rPr>
        <w:t>о срок</w:t>
      </w:r>
      <w:r w:rsidR="00AB3FF8">
        <w:rPr>
          <w:rFonts w:ascii="Tahoma" w:hAnsi="Tahoma" w:cs="Tahoma"/>
          <w:sz w:val="20"/>
          <w:szCs w:val="20"/>
        </w:rPr>
        <w:t>ом</w:t>
      </w:r>
      <w:r w:rsidR="002E32A7">
        <w:rPr>
          <w:rFonts w:ascii="Tahoma" w:hAnsi="Tahoma" w:cs="Tahoma"/>
          <w:sz w:val="20"/>
          <w:szCs w:val="20"/>
        </w:rPr>
        <w:t xml:space="preserve"> исполнения, следующим за </w:t>
      </w:r>
      <w:r w:rsidR="0086356A">
        <w:rPr>
          <w:rFonts w:ascii="Tahoma" w:hAnsi="Tahoma" w:cs="Tahoma"/>
          <w:sz w:val="20"/>
          <w:szCs w:val="20"/>
        </w:rPr>
        <w:t xml:space="preserve">ближайшим </w:t>
      </w:r>
      <w:r w:rsidR="0086356A" w:rsidRPr="0023043D">
        <w:rPr>
          <w:rFonts w:ascii="Tahoma" w:hAnsi="Tahoma" w:cs="Tahoma"/>
          <w:sz w:val="20"/>
          <w:szCs w:val="20"/>
        </w:rPr>
        <w:t>сроком исполнения</w:t>
      </w:r>
      <w:r w:rsidR="0060347B" w:rsidRPr="0023043D">
        <w:rPr>
          <w:rFonts w:ascii="Tahoma" w:hAnsi="Tahoma" w:cs="Tahoma"/>
          <w:sz w:val="20"/>
          <w:szCs w:val="20"/>
        </w:rPr>
        <w:t xml:space="preserve"> </w:t>
      </w:r>
      <w:r w:rsidR="00746283" w:rsidRPr="0023043D">
        <w:rPr>
          <w:rFonts w:ascii="Tahoma" w:hAnsi="Tahoma" w:cs="Tahoma"/>
          <w:sz w:val="20"/>
          <w:szCs w:val="20"/>
        </w:rPr>
        <w:t>(в хронологическом порядке)</w:t>
      </w:r>
      <w:r w:rsidR="00081956" w:rsidRPr="0023043D">
        <w:rPr>
          <w:rFonts w:ascii="Tahoma" w:hAnsi="Tahoma" w:cs="Tahoma"/>
          <w:sz w:val="20"/>
          <w:szCs w:val="20"/>
        </w:rPr>
        <w:t>.</w:t>
      </w:r>
    </w:p>
    <w:p w:rsidR="0023043D" w:rsidRPr="0023043D" w:rsidRDefault="0023043D" w:rsidP="0023043D">
      <w:pPr>
        <w:pStyle w:val="a6"/>
        <w:spacing w:after="240" w:line="240" w:lineRule="auto"/>
        <w:ind w:left="1560" w:right="283"/>
        <w:jc w:val="both"/>
        <w:rPr>
          <w:rFonts w:ascii="Tahoma" w:hAnsi="Tahoma" w:cs="Tahoma"/>
          <w:sz w:val="20"/>
          <w:szCs w:val="20"/>
        </w:rPr>
      </w:pPr>
    </w:p>
    <w:p w:rsidR="00FB0316" w:rsidRDefault="00FB0316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C8383E" w:rsidRDefault="00C8383E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22340F" w:rsidRPr="004562B0" w:rsidRDefault="00D66323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lastRenderedPageBreak/>
        <w:t>Опционные контракты</w:t>
      </w:r>
    </w:p>
    <w:p w:rsidR="00081956" w:rsidRPr="00656405" w:rsidRDefault="00081956" w:rsidP="00656405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197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8"/>
        <w:gridCol w:w="709"/>
        <w:gridCol w:w="1843"/>
        <w:gridCol w:w="2197"/>
        <w:gridCol w:w="15"/>
        <w:gridCol w:w="703"/>
        <w:gridCol w:w="15"/>
        <w:gridCol w:w="1403"/>
        <w:gridCol w:w="15"/>
        <w:gridCol w:w="897"/>
        <w:gridCol w:w="992"/>
      </w:tblGrid>
      <w:tr w:rsidR="007935F0" w:rsidRPr="009F1D1A" w:rsidTr="004562B0">
        <w:trPr>
          <w:trHeight w:val="228"/>
          <w:jc w:val="center"/>
        </w:trPr>
        <w:tc>
          <w:tcPr>
            <w:tcW w:w="140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7935F0" w:rsidRPr="004562B0" w:rsidRDefault="007935F0" w:rsidP="001108BC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70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7935F0" w:rsidRPr="004562B0" w:rsidRDefault="007935F0" w:rsidP="00B424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055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7935F0" w:rsidRPr="004562B0" w:rsidRDefault="007935F0" w:rsidP="00EF44FE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4562B0" w:rsidRDefault="007935F0" w:rsidP="0074628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4562B0" w:rsidRDefault="007935F0" w:rsidP="00656405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:rsidR="007935F0" w:rsidRPr="004562B0" w:rsidRDefault="007935F0" w:rsidP="00656405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88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4562B0" w:rsidRDefault="007935F0" w:rsidP="009F1D1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7935F0" w:rsidRPr="009F1D1A" w:rsidTr="004562B0">
        <w:trPr>
          <w:trHeight w:val="316"/>
          <w:jc w:val="center"/>
        </w:trPr>
        <w:tc>
          <w:tcPr>
            <w:tcW w:w="140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7935F0" w:rsidRPr="004562B0" w:rsidRDefault="007935F0" w:rsidP="009F1D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7935F0" w:rsidRPr="004562B0" w:rsidRDefault="007935F0" w:rsidP="009F1D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7935F0" w:rsidRPr="004562B0" w:rsidRDefault="007935F0" w:rsidP="009F1D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935F0" w:rsidRPr="004562B0" w:rsidRDefault="007935F0" w:rsidP="009F1D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935F0" w:rsidRPr="004562B0" w:rsidRDefault="007935F0" w:rsidP="009F1D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4562B0" w:rsidRDefault="001108BC" w:rsidP="009F1D1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</w:t>
            </w:r>
            <w:r w:rsidR="007935F0"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4562B0" w:rsidRDefault="001108BC" w:rsidP="009F1D1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</w:t>
            </w:r>
            <w:r w:rsidR="007935F0"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)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70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74628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74628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74628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081956" w:rsidRDefault="007935F0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081956" w:rsidRDefault="007935F0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081956" w:rsidRDefault="007935F0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081956" w:rsidRDefault="007935F0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081956" w:rsidRDefault="007935F0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081956" w:rsidRDefault="007935F0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:rsidR="001108BC" w:rsidRPr="00081956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"АЛРОСА" (ПАО)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081956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GMKR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«РусГидро»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ОАО «Сургутнефтегаз»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им. В.Д. Шашина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ОАО «Сургутнефтегаз»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«Транснефть»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Валютные контракты</w:t>
            </w:r>
          </w:p>
        </w:tc>
        <w:tc>
          <w:tcPr>
            <w:tcW w:w="70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22340F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656405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656405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7935F0" w:rsidRPr="009F1D1A" w:rsidTr="00A32FEC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евро-доллар США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A32FEC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нефть </w:t>
            </w: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>Brent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47120E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47120E" w:rsidRPr="00081956" w:rsidRDefault="0047120E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47120E" w:rsidRPr="00656405" w:rsidRDefault="0047120E" w:rsidP="00656405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47120E" w:rsidRPr="00242F6E" w:rsidRDefault="00242F6E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D483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нефть</w:t>
            </w:r>
            <w:r w:rsidRPr="003D483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</w:t>
            </w:r>
            <w:r w:rsidRPr="003D483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сорта</w:t>
            </w:r>
            <w:r w:rsidRPr="003D483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Light Sweet Crude Oil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7120E" w:rsidRPr="00242F6E" w:rsidRDefault="00242F6E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CL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7120E" w:rsidRPr="00081956" w:rsidRDefault="000258B7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7120E" w:rsidRPr="00081956" w:rsidRDefault="000258B7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7120E" w:rsidRPr="00081956" w:rsidRDefault="0047120E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золото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платина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серебро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:rsidR="00B4244A" w:rsidRDefault="00B4244A"/>
    <w:p w:rsidR="00D66323" w:rsidRDefault="00D66323"/>
    <w:p w:rsidR="00D66323" w:rsidRDefault="00D66323"/>
    <w:p w:rsidR="00D66323" w:rsidRDefault="00D66323"/>
    <w:p w:rsidR="00D66323" w:rsidRDefault="00D66323"/>
    <w:p w:rsidR="00D66323" w:rsidRDefault="00D66323"/>
    <w:p w:rsidR="00D66323" w:rsidRDefault="00D66323"/>
    <w:p w:rsidR="00D66323" w:rsidRDefault="00D66323"/>
    <w:p w:rsidR="00D66323" w:rsidRDefault="00D66323"/>
    <w:p w:rsidR="00D66323" w:rsidRDefault="00D66323"/>
    <w:p w:rsidR="00D66323" w:rsidRDefault="00D66323"/>
    <w:p w:rsidR="00D66323" w:rsidRDefault="00D66323"/>
    <w:p w:rsidR="00D66323" w:rsidRDefault="00D66323"/>
    <w:p w:rsidR="00D66323" w:rsidRDefault="00D66323"/>
    <w:p w:rsidR="00D66323" w:rsidRDefault="00D66323"/>
    <w:p w:rsidR="00D66323" w:rsidRDefault="00D66323"/>
    <w:p w:rsidR="00D66323" w:rsidRDefault="00D66323"/>
    <w:p w:rsidR="00D66323" w:rsidRDefault="00D66323"/>
    <w:p w:rsidR="00D66323" w:rsidRDefault="00D66323"/>
    <w:p w:rsidR="00D66323" w:rsidRDefault="00D66323"/>
    <w:p w:rsidR="00D66323" w:rsidRDefault="00D66323"/>
    <w:p w:rsidR="00CF59B9" w:rsidRPr="00CF59B9" w:rsidRDefault="00CF59B9" w:rsidP="00CF59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F59B9">
        <w:rPr>
          <w:rFonts w:ascii="Tahoma" w:hAnsi="Tahoma" w:cs="Tahoma"/>
          <w:b/>
          <w:sz w:val="20"/>
          <w:szCs w:val="20"/>
        </w:rPr>
        <w:t>Об установлении</w:t>
      </w:r>
    </w:p>
    <w:p w:rsidR="00CF59B9" w:rsidRPr="00CF59B9" w:rsidRDefault="00CF59B9" w:rsidP="00CF59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F59B9">
        <w:rPr>
          <w:rFonts w:ascii="Tahoma" w:hAnsi="Tahoma" w:cs="Tahoma"/>
          <w:b/>
          <w:sz w:val="20"/>
          <w:szCs w:val="20"/>
        </w:rPr>
        <w:t xml:space="preserve">Перечня срочных фьючерсных контрактов, </w:t>
      </w:r>
    </w:p>
    <w:p w:rsidR="00CF59B9" w:rsidRPr="00CF59B9" w:rsidRDefault="00CF59B9" w:rsidP="00CF59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F59B9">
        <w:rPr>
          <w:rFonts w:ascii="Tahoma" w:hAnsi="Tahoma" w:cs="Tahoma"/>
          <w:b/>
          <w:sz w:val="20"/>
          <w:szCs w:val="20"/>
        </w:rPr>
        <w:t>в отношении которых допускается</w:t>
      </w:r>
    </w:p>
    <w:p w:rsidR="00CF59B9" w:rsidRPr="00CF59B9" w:rsidRDefault="00CF59B9" w:rsidP="00CF59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F59B9">
        <w:rPr>
          <w:rFonts w:ascii="Tahoma" w:hAnsi="Tahoma" w:cs="Tahoma"/>
          <w:b/>
          <w:sz w:val="20"/>
          <w:szCs w:val="20"/>
        </w:rPr>
        <w:t>подача Индикативных котировок в</w:t>
      </w:r>
    </w:p>
    <w:p w:rsidR="00CF59B9" w:rsidRPr="00CF59B9" w:rsidRDefault="00CF59B9" w:rsidP="00CF59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F59B9">
        <w:rPr>
          <w:rFonts w:ascii="Tahoma" w:hAnsi="Tahoma" w:cs="Tahoma"/>
          <w:b/>
          <w:sz w:val="20"/>
          <w:szCs w:val="20"/>
        </w:rPr>
        <w:t>Системе индикативных котировок</w:t>
      </w:r>
    </w:p>
    <w:p w:rsidR="00CF59B9" w:rsidRPr="00CF59B9" w:rsidRDefault="00CF59B9" w:rsidP="00CF59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F59B9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:rsidR="00CF59B9" w:rsidRPr="00CF59B9" w:rsidRDefault="00CF59B9" w:rsidP="00CF59B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CF59B9" w:rsidRPr="00CF59B9" w:rsidRDefault="00CF59B9" w:rsidP="00CF59B9">
      <w:pPr>
        <w:spacing w:after="240" w:line="240" w:lineRule="auto"/>
        <w:ind w:right="283"/>
        <w:contextualSpacing/>
        <w:jc w:val="both"/>
        <w:rPr>
          <w:rFonts w:ascii="Tahoma" w:hAnsi="Tahoma" w:cs="Tahoma"/>
          <w:sz w:val="20"/>
          <w:szCs w:val="20"/>
        </w:rPr>
      </w:pPr>
      <w:r w:rsidRPr="00CF59B9">
        <w:rPr>
          <w:rFonts w:ascii="Tahoma" w:hAnsi="Tahoma" w:cs="Tahoma"/>
          <w:sz w:val="20"/>
          <w:szCs w:val="20"/>
        </w:rPr>
        <w:t xml:space="preserve"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определен в Таблице </w:t>
      </w:r>
      <w:r w:rsidR="00537D6D">
        <w:rPr>
          <w:rFonts w:ascii="Tahoma" w:hAnsi="Tahoma" w:cs="Tahoma"/>
          <w:sz w:val="20"/>
          <w:szCs w:val="20"/>
        </w:rPr>
        <w:t>фьючерсных контрактов</w:t>
      </w:r>
      <w:r w:rsidRPr="00CF59B9">
        <w:rPr>
          <w:rFonts w:ascii="Tahoma" w:hAnsi="Tahoma" w:cs="Tahoma"/>
          <w:sz w:val="20"/>
          <w:szCs w:val="20"/>
        </w:rPr>
        <w:t>, с учетом следующего:</w:t>
      </w:r>
    </w:p>
    <w:p w:rsidR="00CF59B9" w:rsidRPr="00CF59B9" w:rsidRDefault="00CF59B9" w:rsidP="00CF59B9">
      <w:pPr>
        <w:numPr>
          <w:ilvl w:val="1"/>
          <w:numId w:val="7"/>
        </w:numPr>
        <w:spacing w:after="240" w:line="240" w:lineRule="auto"/>
        <w:ind w:right="283" w:hanging="371"/>
        <w:contextualSpacing/>
        <w:jc w:val="both"/>
        <w:rPr>
          <w:rFonts w:ascii="Tahoma" w:hAnsi="Tahoma" w:cs="Tahoma"/>
          <w:sz w:val="20"/>
          <w:szCs w:val="20"/>
        </w:rPr>
      </w:pPr>
      <w:r w:rsidRPr="00CF59B9">
        <w:rPr>
          <w:rFonts w:ascii="Tahoma" w:hAnsi="Tahoma" w:cs="Tahoma"/>
          <w:sz w:val="20"/>
          <w:szCs w:val="20"/>
        </w:rPr>
        <w:t>Группа (индексные, фондовые, валютные, товарные контракты) – группа контрактов по типам базовых активов;</w:t>
      </w:r>
    </w:p>
    <w:p w:rsidR="00CF59B9" w:rsidRPr="00CF59B9" w:rsidRDefault="00CF59B9" w:rsidP="00CF59B9">
      <w:pPr>
        <w:numPr>
          <w:ilvl w:val="1"/>
          <w:numId w:val="7"/>
        </w:numPr>
        <w:spacing w:after="240" w:line="240" w:lineRule="auto"/>
        <w:ind w:left="1134" w:right="283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CF59B9">
        <w:rPr>
          <w:rFonts w:ascii="Tahoma" w:hAnsi="Tahoma" w:cs="Tahoma"/>
          <w:sz w:val="20"/>
          <w:szCs w:val="20"/>
        </w:rPr>
        <w:t xml:space="preserve">Вид (Ф или О) – вид контракта: </w:t>
      </w:r>
    </w:p>
    <w:p w:rsidR="00CF59B9" w:rsidRPr="00CF59B9" w:rsidRDefault="00CF59B9" w:rsidP="00CF59B9">
      <w:pPr>
        <w:numPr>
          <w:ilvl w:val="0"/>
          <w:numId w:val="3"/>
        </w:numPr>
        <w:spacing w:after="240" w:line="240" w:lineRule="auto"/>
        <w:ind w:left="1560" w:right="283"/>
        <w:contextualSpacing/>
        <w:jc w:val="both"/>
        <w:rPr>
          <w:rFonts w:ascii="Tahoma" w:hAnsi="Tahoma" w:cs="Tahoma"/>
          <w:sz w:val="20"/>
          <w:szCs w:val="20"/>
        </w:rPr>
      </w:pPr>
      <w:r w:rsidRPr="00CF59B9"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:rsidR="00CF59B9" w:rsidRPr="00CF59B9" w:rsidRDefault="00CF59B9" w:rsidP="00CF59B9">
      <w:pPr>
        <w:numPr>
          <w:ilvl w:val="0"/>
          <w:numId w:val="3"/>
        </w:numPr>
        <w:spacing w:after="240" w:line="240" w:lineRule="auto"/>
        <w:ind w:left="1560" w:right="283"/>
        <w:contextualSpacing/>
        <w:jc w:val="both"/>
        <w:rPr>
          <w:rFonts w:ascii="Tahoma" w:hAnsi="Tahoma" w:cs="Tahoma"/>
          <w:sz w:val="20"/>
          <w:szCs w:val="20"/>
        </w:rPr>
      </w:pPr>
      <w:r w:rsidRPr="00CF59B9">
        <w:rPr>
          <w:rFonts w:ascii="Tahoma" w:hAnsi="Tahoma" w:cs="Tahoma"/>
          <w:sz w:val="20"/>
          <w:szCs w:val="20"/>
        </w:rPr>
        <w:t>маржируемый опцион на фьючерсный контракт (О) (далее – опцион);</w:t>
      </w:r>
    </w:p>
    <w:p w:rsidR="00CF59B9" w:rsidRPr="00CF59B9" w:rsidRDefault="00CF59B9" w:rsidP="00CF59B9">
      <w:pPr>
        <w:numPr>
          <w:ilvl w:val="1"/>
          <w:numId w:val="7"/>
        </w:numPr>
        <w:spacing w:after="240" w:line="240" w:lineRule="auto"/>
        <w:ind w:left="1134" w:right="283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CF59B9">
        <w:rPr>
          <w:rFonts w:ascii="Tahoma" w:hAnsi="Tahoma" w:cs="Tahoma"/>
          <w:sz w:val="20"/>
          <w:szCs w:val="20"/>
        </w:rPr>
        <w:t>Базовый актив – базовый актив:</w:t>
      </w:r>
    </w:p>
    <w:p w:rsidR="00CF59B9" w:rsidRPr="00CF59B9" w:rsidRDefault="00CF59B9" w:rsidP="00CF59B9">
      <w:pPr>
        <w:numPr>
          <w:ilvl w:val="0"/>
          <w:numId w:val="4"/>
        </w:numPr>
        <w:spacing w:after="240" w:line="240" w:lineRule="auto"/>
        <w:ind w:left="1560" w:right="283"/>
        <w:contextualSpacing/>
        <w:jc w:val="both"/>
        <w:rPr>
          <w:rFonts w:ascii="Tahoma" w:hAnsi="Tahoma" w:cs="Tahoma"/>
          <w:sz w:val="20"/>
          <w:szCs w:val="20"/>
        </w:rPr>
      </w:pPr>
      <w:r w:rsidRPr="00CF59B9"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:rsidR="00CF59B9" w:rsidRPr="00CF59B9" w:rsidRDefault="00CF59B9" w:rsidP="00CF59B9">
      <w:pPr>
        <w:numPr>
          <w:ilvl w:val="0"/>
          <w:numId w:val="4"/>
        </w:numPr>
        <w:spacing w:after="240" w:line="240" w:lineRule="auto"/>
        <w:ind w:left="1560" w:right="283"/>
        <w:contextualSpacing/>
        <w:jc w:val="both"/>
        <w:rPr>
          <w:rFonts w:ascii="Tahoma" w:hAnsi="Tahoma" w:cs="Tahoma"/>
          <w:sz w:val="20"/>
          <w:szCs w:val="20"/>
        </w:rPr>
      </w:pPr>
      <w:r w:rsidRPr="00CF59B9"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:rsidR="00CF59B9" w:rsidRPr="00CF59B9" w:rsidRDefault="00CF59B9" w:rsidP="00CF59B9">
      <w:pPr>
        <w:numPr>
          <w:ilvl w:val="1"/>
          <w:numId w:val="7"/>
        </w:numPr>
        <w:spacing w:after="240" w:line="240" w:lineRule="auto"/>
        <w:ind w:right="283" w:hanging="371"/>
        <w:contextualSpacing/>
        <w:jc w:val="both"/>
        <w:rPr>
          <w:rFonts w:ascii="Tahoma" w:hAnsi="Tahoma" w:cs="Tahoma"/>
          <w:sz w:val="20"/>
          <w:szCs w:val="20"/>
        </w:rPr>
      </w:pPr>
      <w:r w:rsidRPr="00CF59B9">
        <w:rPr>
          <w:rFonts w:ascii="Tahoma" w:hAnsi="Tahoma" w:cs="Tahoma"/>
          <w:sz w:val="20"/>
          <w:szCs w:val="20"/>
        </w:rPr>
        <w:t xml:space="preserve"> Код – код фьючерсного контракта, указываемый в Коде (обозначении) фьючерса;</w:t>
      </w:r>
    </w:p>
    <w:p w:rsidR="00CF59B9" w:rsidRPr="00CF59B9" w:rsidRDefault="00CF59B9" w:rsidP="00CF59B9">
      <w:pPr>
        <w:numPr>
          <w:ilvl w:val="1"/>
          <w:numId w:val="7"/>
        </w:numPr>
        <w:spacing w:after="240" w:line="240" w:lineRule="auto"/>
        <w:ind w:left="1134" w:right="283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CF59B9">
        <w:rPr>
          <w:rFonts w:ascii="Tahoma" w:hAnsi="Tahoma" w:cs="Tahoma"/>
          <w:sz w:val="20"/>
          <w:szCs w:val="20"/>
        </w:rPr>
        <w:t>Срок действия (квартальный, месячный) – «квартальный», «месячный» фьючерс как эти термины определены в Спецификациях фьючерсных контрактов, утверждаемых ПАО Московская Биржа;</w:t>
      </w:r>
    </w:p>
    <w:p w:rsidR="00CF59B9" w:rsidRPr="00CF59B9" w:rsidRDefault="00CF59B9" w:rsidP="00CF59B9">
      <w:pPr>
        <w:numPr>
          <w:ilvl w:val="1"/>
          <w:numId w:val="7"/>
        </w:numPr>
        <w:spacing w:after="240" w:line="240" w:lineRule="auto"/>
        <w:ind w:left="1134" w:right="283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CF59B9">
        <w:rPr>
          <w:rFonts w:ascii="Tahoma" w:hAnsi="Tahoma" w:cs="Tahoma"/>
          <w:sz w:val="20"/>
          <w:szCs w:val="20"/>
        </w:rPr>
        <w:t>Срок – Срок обращения фьючерсов, в течение которого допускается подача Индикативных котировок в Системе индикативных котировок на Срочном рынке ПАО Московская Биржа. Срок обращения фьючерса – период начиная с даты, с которой возможно заключение фьючерсного контракта до даты его исполнения, где:</w:t>
      </w:r>
    </w:p>
    <w:p w:rsidR="00CF59B9" w:rsidRPr="00CF59B9" w:rsidRDefault="00CF59B9" w:rsidP="00CF59B9">
      <w:pPr>
        <w:spacing w:after="240" w:line="240" w:lineRule="auto"/>
        <w:ind w:left="1134" w:right="283"/>
        <w:contextualSpacing/>
        <w:jc w:val="both"/>
        <w:rPr>
          <w:rFonts w:ascii="Tahoma" w:hAnsi="Tahoma" w:cs="Tahoma"/>
          <w:sz w:val="20"/>
          <w:szCs w:val="20"/>
        </w:rPr>
      </w:pPr>
      <w:r w:rsidRPr="00CF59B9">
        <w:rPr>
          <w:rFonts w:ascii="Tahoma" w:hAnsi="Tahoma" w:cs="Tahoma"/>
          <w:sz w:val="20"/>
          <w:szCs w:val="20"/>
        </w:rPr>
        <w:t>Срок 1 – срок обращения фьючерсов с ближайшим сроком исполнения;</w:t>
      </w:r>
    </w:p>
    <w:p w:rsidR="00CF59B9" w:rsidRPr="00CF59B9" w:rsidRDefault="00CF59B9" w:rsidP="00CF59B9">
      <w:pPr>
        <w:spacing w:after="240" w:line="240" w:lineRule="auto"/>
        <w:ind w:left="1134" w:right="283"/>
        <w:contextualSpacing/>
        <w:jc w:val="both"/>
        <w:rPr>
          <w:rFonts w:ascii="Tahoma" w:hAnsi="Tahoma" w:cs="Tahoma"/>
          <w:sz w:val="20"/>
          <w:szCs w:val="20"/>
        </w:rPr>
      </w:pPr>
      <w:r w:rsidRPr="00CF59B9">
        <w:rPr>
          <w:rFonts w:ascii="Tahoma" w:hAnsi="Tahoma" w:cs="Tahoma"/>
          <w:sz w:val="20"/>
          <w:szCs w:val="20"/>
        </w:rPr>
        <w:t>Срок 2 и далее - срок обращения фьючерсов со сроком исполнения, следующим за ближайшим сроком исполнения (в хронологическом порядке)</w:t>
      </w:r>
    </w:p>
    <w:p w:rsidR="00CF59B9" w:rsidRDefault="00CF59B9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537D6D" w:rsidRDefault="00537D6D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537D6D" w:rsidRDefault="00537D6D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537D6D" w:rsidRDefault="00537D6D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537D6D" w:rsidRDefault="00537D6D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537D6D" w:rsidRDefault="00537D6D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537D6D" w:rsidRDefault="00537D6D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CF59B9" w:rsidRDefault="00CF59B9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CF59B9" w:rsidRDefault="00CF59B9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CF59B9" w:rsidRDefault="00CF59B9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CF59B9" w:rsidRDefault="00CF59B9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CF59B9" w:rsidRDefault="00CF59B9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CF59B9" w:rsidRDefault="00CF59B9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537D6D" w:rsidRDefault="00537D6D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537D6D" w:rsidRDefault="00537D6D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537D6D" w:rsidRDefault="00537D6D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537D6D" w:rsidRDefault="00537D6D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537D6D" w:rsidRDefault="00537D6D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537D6D" w:rsidRDefault="00537D6D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537D6D" w:rsidRDefault="00537D6D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537D6D" w:rsidRDefault="00537D6D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537D6D" w:rsidRDefault="00537D6D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537D6D" w:rsidRDefault="00537D6D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537D6D" w:rsidRDefault="00537D6D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537D6D" w:rsidRDefault="00537D6D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bookmarkStart w:id="0" w:name="_GoBack"/>
      <w:bookmarkEnd w:id="0"/>
    </w:p>
    <w:p w:rsidR="00CF59B9" w:rsidRDefault="00CF59B9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CF59B9" w:rsidRDefault="00CF59B9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CF59B9" w:rsidRDefault="00CF59B9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CF59B9" w:rsidRDefault="00CF59B9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D66323" w:rsidRDefault="00D66323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D66323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Фьючерсные контракты</w:t>
      </w:r>
    </w:p>
    <w:p w:rsidR="00D66323" w:rsidRPr="00D66323" w:rsidRDefault="00D66323" w:rsidP="00D66323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tbl>
      <w:tblPr>
        <w:tblW w:w="114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578"/>
        <w:gridCol w:w="2161"/>
        <w:gridCol w:w="861"/>
        <w:gridCol w:w="1451"/>
        <w:gridCol w:w="708"/>
        <w:gridCol w:w="709"/>
        <w:gridCol w:w="709"/>
        <w:gridCol w:w="709"/>
        <w:gridCol w:w="672"/>
        <w:gridCol w:w="672"/>
        <w:gridCol w:w="804"/>
      </w:tblGrid>
      <w:tr w:rsidR="00D66323" w:rsidRPr="00D66323" w:rsidTr="00CF59B9">
        <w:trPr>
          <w:trHeight w:val="255"/>
        </w:trPr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Базовый актив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632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срок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срок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срок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срок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срок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 срок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 срок и далее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 w:val="restart"/>
            <w:shd w:val="clear" w:color="auto" w:fill="auto"/>
            <w:noWrap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Фондовые контракты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"Аэрофлот"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 "Алроса" (ПАО)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"Северсталь"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"ФСК ЕЭС"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"Газпром"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GAZR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BMW AG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GBMW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Daimler AG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GDAI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Deutsche Bank AG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GDBK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GMKR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Siemens AG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GSIE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Volkswagen AG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GVW3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"РусГидро"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"Лукойл"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"Магнит"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"Московская Биржа"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MOEX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"МТС"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MTSI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"НЛМК"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"НОВАТЭК"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NOTK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"Роснефть"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"Ростелеком"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76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Сбербанк Привилегированные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SBPR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Сбербанк 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SBRF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76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ОАО "Сургутнефтегаз" Привилегированные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SNGP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ОАО "Сургутнефтегаз" 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SNGR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"Татнефть" им. В.Д.Шашина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TRNF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ВТБ ПАО</w:t>
            </w:r>
          </w:p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VTBR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 w:val="restart"/>
            <w:shd w:val="clear" w:color="auto" w:fill="auto"/>
            <w:noWrap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Товарные контракты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 BRENT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BR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672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672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804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</w:t>
            </w:r>
            <w:r w:rsidRPr="00D66323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сотра</w:t>
            </w:r>
            <w:r w:rsidRPr="00D66323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Light Sweet Crude Oil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CL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672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672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CU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GOLD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PLD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PLT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SILV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Сахар-сырец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SUGR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 w:val="restart"/>
            <w:shd w:val="clear" w:color="auto" w:fill="auto"/>
            <w:noWrap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Процентные контракты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MOSPRIME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MOPR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76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"Десятилетние" облигации федерального займа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OF10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76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"Пятнадцатилетние" облигации федерального займа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OF15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"Двухлетние" облигации федерального займа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OFZ2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76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"Четырехлетние" облигации федерального займа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OFZ4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76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"Шестилетние" облигации федерального займа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OFZ6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однодневных кредитов RUONIA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RUON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672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672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804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 w:val="restart"/>
            <w:shd w:val="clear" w:color="auto" w:fill="auto"/>
            <w:noWrap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Индексные контракты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MIX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 (мини)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MXI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672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672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804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</w:tr>
      <w:tr w:rsidR="00D66323" w:rsidRPr="00D66323" w:rsidTr="00CF59B9">
        <w:trPr>
          <w:trHeight w:val="255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голубых фишек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RTSS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Волатильность российского рынка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RVI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Акции американских эмитентов (US500)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U500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 w:val="restart"/>
            <w:shd w:val="clear" w:color="auto" w:fill="auto"/>
            <w:noWrap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Валютные контракты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австралийский доллар - доллар США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AUDU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китайский юань 0 российский рубль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CY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доллар США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ED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российский рубль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Eu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672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672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фунт стерлингов - доллар США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GBPU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российский рубль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2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672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804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канадский доллар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UCAD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швейцарский франк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UCHF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японская йена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UJPY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турецкая лира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UTRY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66323" w:rsidRPr="00D66323" w:rsidTr="00CF59B9">
        <w:trPr>
          <w:trHeight w:val="510"/>
        </w:trPr>
        <w:tc>
          <w:tcPr>
            <w:tcW w:w="1376" w:type="dxa"/>
            <w:vMerge/>
            <w:vAlign w:val="center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61" w:type="dxa"/>
            <w:shd w:val="clear" w:color="auto" w:fill="auto"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украинская гривна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UUAH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C6E0B4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IQS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shd w:val="clear" w:color="000000" w:fill="F2F2F2"/>
            <w:noWrap/>
            <w:vAlign w:val="bottom"/>
            <w:hideMark/>
          </w:tcPr>
          <w:p w:rsidR="00D66323" w:rsidRPr="00D66323" w:rsidRDefault="00D66323" w:rsidP="00D663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6632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D66323" w:rsidRDefault="00D66323"/>
    <w:sectPr w:rsidR="00D66323" w:rsidSect="004562B0">
      <w:headerReference w:type="default" r:id="rId8"/>
      <w:footerReference w:type="default" r:id="rId9"/>
      <w:pgSz w:w="11906" w:h="16838"/>
      <w:pgMar w:top="1134" w:right="56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9B9" w:rsidRDefault="00CF59B9" w:rsidP="00656405">
      <w:pPr>
        <w:spacing w:after="0" w:line="240" w:lineRule="auto"/>
      </w:pPr>
      <w:r>
        <w:separator/>
      </w:r>
    </w:p>
  </w:endnote>
  <w:endnote w:type="continuationSeparator" w:id="0">
    <w:p w:rsidR="00CF59B9" w:rsidRDefault="00CF59B9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39566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CF59B9" w:rsidRPr="00656405" w:rsidRDefault="00CF59B9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 w:rsidR="00537D6D">
          <w:rPr>
            <w:rFonts w:ascii="Tahoma" w:hAnsi="Tahoma" w:cs="Tahoma"/>
            <w:noProof/>
            <w:sz w:val="20"/>
            <w:szCs w:val="20"/>
          </w:rPr>
          <w:t>5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CF59B9" w:rsidRDefault="00CF59B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9B9" w:rsidRDefault="00CF59B9" w:rsidP="00656405">
      <w:pPr>
        <w:spacing w:after="0" w:line="240" w:lineRule="auto"/>
      </w:pPr>
      <w:r>
        <w:separator/>
      </w:r>
    </w:p>
  </w:footnote>
  <w:footnote w:type="continuationSeparator" w:id="0">
    <w:p w:rsidR="00CF59B9" w:rsidRDefault="00CF59B9" w:rsidP="0065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B9" w:rsidRDefault="00CF59B9" w:rsidP="00802D7F">
    <w:pPr>
      <w:pStyle w:val="a7"/>
      <w:jc w:val="right"/>
      <w:rPr>
        <w:rFonts w:ascii="Tahoma" w:hAnsi="Tahoma" w:cs="Tahoma"/>
        <w:b/>
        <w:color w:val="00B050"/>
        <w:sz w:val="20"/>
      </w:rPr>
    </w:pPr>
    <w:r>
      <w:rPr>
        <w:rFonts w:ascii="Tahoma" w:hAnsi="Tahoma" w:cs="Tahoma"/>
        <w:b/>
        <w:color w:val="00B050"/>
        <w:sz w:val="20"/>
      </w:rPr>
      <w:t>Действует</w:t>
    </w:r>
    <w:r>
      <w:rPr>
        <w:rFonts w:ascii="Tahoma" w:hAnsi="Tahoma" w:cs="Tahoma"/>
        <w:b/>
        <w:color w:val="00B050"/>
        <w:sz w:val="20"/>
        <w:lang w:val="en-US"/>
      </w:rPr>
      <w:t xml:space="preserve"> с </w:t>
    </w:r>
    <w:r>
      <w:rPr>
        <w:rFonts w:ascii="Tahoma" w:hAnsi="Tahoma" w:cs="Tahoma"/>
        <w:b/>
        <w:color w:val="00B050"/>
        <w:sz w:val="20"/>
      </w:rPr>
      <w:t>03</w:t>
    </w:r>
    <w:r>
      <w:rPr>
        <w:rFonts w:ascii="Tahoma" w:hAnsi="Tahoma" w:cs="Tahoma"/>
        <w:b/>
        <w:color w:val="00B050"/>
        <w:sz w:val="20"/>
        <w:lang w:val="en-US"/>
      </w:rPr>
      <w:t>.0</w:t>
    </w:r>
    <w:r>
      <w:rPr>
        <w:rFonts w:ascii="Tahoma" w:hAnsi="Tahoma" w:cs="Tahoma"/>
        <w:b/>
        <w:color w:val="00B050"/>
        <w:sz w:val="20"/>
      </w:rPr>
      <w:t>9</w:t>
    </w:r>
    <w:r>
      <w:rPr>
        <w:rFonts w:ascii="Tahoma" w:hAnsi="Tahoma" w:cs="Tahoma"/>
        <w:b/>
        <w:color w:val="00B050"/>
        <w:sz w:val="20"/>
        <w:lang w:val="en-US"/>
      </w:rPr>
      <w:t>.2018</w:t>
    </w:r>
  </w:p>
  <w:p w:rsidR="00CF59B9" w:rsidRDefault="00CF59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AC14EF3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1F"/>
    <w:rsid w:val="000258B7"/>
    <w:rsid w:val="00081956"/>
    <w:rsid w:val="000C30E6"/>
    <w:rsid w:val="000F17BB"/>
    <w:rsid w:val="001108BC"/>
    <w:rsid w:val="0022340F"/>
    <w:rsid w:val="0023043D"/>
    <w:rsid w:val="0024035B"/>
    <w:rsid w:val="00242F6E"/>
    <w:rsid w:val="00252DA2"/>
    <w:rsid w:val="002573D5"/>
    <w:rsid w:val="002A70C8"/>
    <w:rsid w:val="002E32A7"/>
    <w:rsid w:val="00371DF8"/>
    <w:rsid w:val="003D4836"/>
    <w:rsid w:val="00400C76"/>
    <w:rsid w:val="004562B0"/>
    <w:rsid w:val="00464827"/>
    <w:rsid w:val="00466174"/>
    <w:rsid w:val="0047120E"/>
    <w:rsid w:val="00537D6D"/>
    <w:rsid w:val="005D32D6"/>
    <w:rsid w:val="0060347B"/>
    <w:rsid w:val="00617915"/>
    <w:rsid w:val="006421D0"/>
    <w:rsid w:val="00656405"/>
    <w:rsid w:val="00746283"/>
    <w:rsid w:val="007935F0"/>
    <w:rsid w:val="007B1380"/>
    <w:rsid w:val="007B17DE"/>
    <w:rsid w:val="007B1B4E"/>
    <w:rsid w:val="007B34A7"/>
    <w:rsid w:val="00802D7F"/>
    <w:rsid w:val="008375B9"/>
    <w:rsid w:val="00846BA5"/>
    <w:rsid w:val="0085067E"/>
    <w:rsid w:val="0086356A"/>
    <w:rsid w:val="008E54CD"/>
    <w:rsid w:val="009359AA"/>
    <w:rsid w:val="009B6CE6"/>
    <w:rsid w:val="009C17E3"/>
    <w:rsid w:val="009C5BAF"/>
    <w:rsid w:val="009F1D1A"/>
    <w:rsid w:val="00A32FEC"/>
    <w:rsid w:val="00AA5D9D"/>
    <w:rsid w:val="00AB3FF8"/>
    <w:rsid w:val="00AD7F1F"/>
    <w:rsid w:val="00B008FE"/>
    <w:rsid w:val="00B4244A"/>
    <w:rsid w:val="00B64844"/>
    <w:rsid w:val="00B65BE0"/>
    <w:rsid w:val="00B80ECA"/>
    <w:rsid w:val="00B86564"/>
    <w:rsid w:val="00C1654E"/>
    <w:rsid w:val="00C8383E"/>
    <w:rsid w:val="00CC189B"/>
    <w:rsid w:val="00CC531E"/>
    <w:rsid w:val="00CD5875"/>
    <w:rsid w:val="00CF59B9"/>
    <w:rsid w:val="00D144C9"/>
    <w:rsid w:val="00D31827"/>
    <w:rsid w:val="00D5274A"/>
    <w:rsid w:val="00D66323"/>
    <w:rsid w:val="00DA7745"/>
    <w:rsid w:val="00DF26A8"/>
    <w:rsid w:val="00E35909"/>
    <w:rsid w:val="00E71A92"/>
    <w:rsid w:val="00E8109E"/>
    <w:rsid w:val="00E87CDC"/>
    <w:rsid w:val="00EF44FE"/>
    <w:rsid w:val="00F533A8"/>
    <w:rsid w:val="00F810DA"/>
    <w:rsid w:val="00FB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2008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D66323"/>
  </w:style>
  <w:style w:type="table" w:styleId="ad">
    <w:name w:val="Table Grid"/>
    <w:basedOn w:val="a1"/>
    <w:uiPriority w:val="39"/>
    <w:rsid w:val="00D66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D6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6632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D6632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663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663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66323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66323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6632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6632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6632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66323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6632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3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D66323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66323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66323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6632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6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6632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663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6632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6632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663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6632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755E6-C68F-423D-A400-F78978AA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3</cp:revision>
  <cp:lastPrinted>2018-05-14T12:10:00Z</cp:lastPrinted>
  <dcterms:created xsi:type="dcterms:W3CDTF">2018-09-04T15:14:00Z</dcterms:created>
  <dcterms:modified xsi:type="dcterms:W3CDTF">2018-09-04T15:21:00Z</dcterms:modified>
</cp:coreProperties>
</file>