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DAC6" w14:textId="77777777" w:rsidR="00CC531E" w:rsidRPr="0093472D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  <w:lang w:val="en-US"/>
        </w:rPr>
      </w:pPr>
    </w:p>
    <w:p w14:paraId="0C449F49" w14:textId="0A0BEC0C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9A55FA" w14:textId="705F57A9" w:rsidR="00BB3DFC" w:rsidRPr="00D21002" w:rsidRDefault="00371DF8" w:rsidP="00BB3DFC">
      <w:pPr>
        <w:spacing w:after="0" w:line="240" w:lineRule="auto"/>
        <w:ind w:left="2832" w:firstLine="3122"/>
        <w:jc w:val="right"/>
        <w:rPr>
          <w:rFonts w:ascii="Tahoma" w:hAnsi="Tahoma" w:cs="Tahoma"/>
          <w:b/>
          <w:color w:val="538135" w:themeColor="accent6" w:themeShade="BF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  <w:r w:rsidR="00BB3DFC">
        <w:rPr>
          <w:rFonts w:ascii="Tahoma" w:hAnsi="Tahoma" w:cs="Tahoma"/>
          <w:b/>
          <w:color w:val="538135" w:themeColor="accent6" w:themeShade="BF"/>
        </w:rPr>
        <w:t xml:space="preserve">Действует c </w:t>
      </w:r>
      <w:r w:rsidR="002A1AC8">
        <w:rPr>
          <w:rFonts w:ascii="Tahoma" w:hAnsi="Tahoma" w:cs="Tahoma"/>
          <w:b/>
          <w:color w:val="538135" w:themeColor="accent6" w:themeShade="BF"/>
        </w:rPr>
        <w:t>25 мая</w:t>
      </w:r>
      <w:r w:rsidR="009724DA">
        <w:rPr>
          <w:rFonts w:ascii="Tahoma" w:hAnsi="Tahoma" w:cs="Tahoma"/>
          <w:b/>
          <w:color w:val="538135" w:themeColor="accent6" w:themeShade="BF"/>
        </w:rPr>
        <w:t xml:space="preserve"> 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20</w:t>
      </w:r>
      <w:r w:rsidR="00BB3DFC">
        <w:rPr>
          <w:rFonts w:ascii="Tahoma" w:hAnsi="Tahoma" w:cs="Tahoma"/>
          <w:b/>
          <w:color w:val="538135" w:themeColor="accent6" w:themeShade="BF"/>
        </w:rPr>
        <w:t>2</w:t>
      </w:r>
      <w:r w:rsidR="00C92742">
        <w:rPr>
          <w:rFonts w:ascii="Tahoma" w:hAnsi="Tahoma" w:cs="Tahoma"/>
          <w:b/>
          <w:color w:val="538135" w:themeColor="accent6" w:themeShade="BF"/>
        </w:rPr>
        <w:t>1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2ED356B8" w14:textId="0BE0FFD6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E8BE979" w14:textId="62AECB8B" w:rsidR="00CC531E" w:rsidRDefault="00CC531E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6C36F48" w14:textId="50BFAF82" w:rsidR="00883FAF" w:rsidRDefault="00883FAF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A8FEA8C" w14:textId="5F34626B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BB3DFC">
        <w:rPr>
          <w:rFonts w:ascii="Tahoma" w:hAnsi="Tahoma" w:cs="Tahoma"/>
          <w:b/>
          <w:sz w:val="20"/>
          <w:szCs w:val="20"/>
        </w:rPr>
        <w:t>е</w:t>
      </w:r>
      <w:r w:rsidRPr="0022539B">
        <w:rPr>
          <w:rFonts w:ascii="Tahoma" w:hAnsi="Tahoma" w:cs="Tahoma"/>
          <w:b/>
          <w:sz w:val="20"/>
          <w:szCs w:val="20"/>
        </w:rPr>
        <w:t>н</w:t>
      </w:r>
      <w:r w:rsidR="00BB3DFC">
        <w:rPr>
          <w:rFonts w:ascii="Tahoma" w:hAnsi="Tahoma" w:cs="Tahoma"/>
          <w:b/>
          <w:sz w:val="20"/>
          <w:szCs w:val="20"/>
        </w:rPr>
        <w:t>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26E5D4BA" w:rsidR="00CC531E" w:rsidRPr="00CC531E" w:rsidRDefault="00CC531E" w:rsidP="0046233F">
      <w:pPr>
        <w:pStyle w:val="a6"/>
        <w:numPr>
          <w:ilvl w:val="0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32738A4E" w14:textId="77777777" w:rsidR="00DB00CE" w:rsidRDefault="00DB00CE" w:rsidP="00DB00CE">
      <w:pPr>
        <w:pStyle w:val="2"/>
        <w:jc w:val="both"/>
        <w:rPr>
          <w:rFonts w:ascii="Tahoma" w:eastAsia="Calibri" w:hAnsi="Tahoma" w:cs="Tahoma"/>
          <w:lang w:eastAsia="en-US"/>
        </w:rPr>
      </w:pPr>
    </w:p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524B6AEF" w14:textId="77777777" w:rsidR="009724DA" w:rsidRPr="00717337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5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11"/>
        <w:gridCol w:w="2593"/>
        <w:gridCol w:w="861"/>
        <w:gridCol w:w="1540"/>
        <w:gridCol w:w="703"/>
        <w:gridCol w:w="704"/>
        <w:gridCol w:w="704"/>
        <w:gridCol w:w="704"/>
        <w:gridCol w:w="672"/>
      </w:tblGrid>
      <w:tr w:rsidR="009724DA" w:rsidRPr="004D6206" w14:paraId="46D8343B" w14:textId="77777777" w:rsidTr="00CC1223">
        <w:trPr>
          <w:trHeight w:val="255"/>
        </w:trPr>
        <w:tc>
          <w:tcPr>
            <w:tcW w:w="1498" w:type="dxa"/>
            <w:shd w:val="clear" w:color="auto" w:fill="D9D9D9" w:themeFill="background1" w:themeFillShade="D9"/>
            <w:noWrap/>
            <w:vAlign w:val="center"/>
            <w:hideMark/>
          </w:tcPr>
          <w:p w14:paraId="3252289E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14ED0E6B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  <w:hideMark/>
          </w:tcPr>
          <w:p w14:paraId="654ECA41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1AB1FFF9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vAlign w:val="center"/>
            <w:hideMark/>
          </w:tcPr>
          <w:p w14:paraId="39B5BD9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3" w:type="dxa"/>
            <w:shd w:val="clear" w:color="auto" w:fill="D9D9D9" w:themeFill="background1" w:themeFillShade="D9"/>
            <w:noWrap/>
            <w:vAlign w:val="bottom"/>
            <w:hideMark/>
          </w:tcPr>
          <w:p w14:paraId="0C36097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1014FC8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1027D38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62E9D24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3F33F20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2A1AC8" w:rsidRPr="004D6206" w14:paraId="057B1C3E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F589EC9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D07FA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ABEF707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2B177F9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86989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999102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00CA71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072124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3475E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E9CE52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10042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6896D966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EF7171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83EB44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8964A6E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28B21A8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AF97B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25BFA96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DA8FB5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6BE66C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179F95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F608ED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655E74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5A3F93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1EFDE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5FED385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055814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1410CB0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49F4F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74728E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FFA08B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62CBDD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D7C33B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0D9571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CEFC6A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8672D2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9B7E9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E54486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269611D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4FBF985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44E0F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176E12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8A99B2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DB2AB5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63357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B0602E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0AAED8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89DA5F4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93B4A1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954A6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4548EFD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2AFE488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830E12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63B1A1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463EA4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820439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8CD0955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CEC052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8E8C0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728A980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2F4663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015CD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05455D0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1E6CEA0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59C8E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67C597F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B823D5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E783B8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58F71D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B103FB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969492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2E6112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DFB53C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DCA406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3149477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5790812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B7B2E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B56F37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1C6711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ECA7C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5ECD71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04190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41A1B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7A455787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F2D8C1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6436A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C919EE1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4988DB0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2478BB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DC79BB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DAE543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E272F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6045A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5D7AD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E3ECCD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540D9C5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13BC6F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D4C9B0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EE3C583" w14:textId="77777777" w:rsidR="002A1AC8" w:rsidRPr="004F7963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Yandex</w:t>
            </w:r>
            <w:proofErr w:type="spellEnd"/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N.V. </w:t>
            </w:r>
          </w:p>
          <w:p w14:paraId="031D238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FE801E1" w14:textId="77777777" w:rsidR="002A1AC8" w:rsidRPr="004F7963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29CCB7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64356918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00D9CA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53F91D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2CA3FD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400F6E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1AC8" w:rsidRPr="004D6206" w14:paraId="3A844537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932C57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BCD36C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ABA2E28" w14:textId="77777777" w:rsidR="002A1AC8" w:rsidRPr="00E16F2C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4389762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B872DF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BFADDC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21B09F6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25A071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2CE1C2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81BADA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8E0FE3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1AC8" w:rsidRPr="004D6206" w14:paraId="77D91E4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F60174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46A303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8C8D958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6C46C841" w14:textId="77777777" w:rsidR="002A1AC8" w:rsidRPr="00C17DFF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7D43C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A9ECF6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986E08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6618E6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A04DE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BD9338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69B1DF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7BD40FC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F6ADD8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1C0B71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93CD8A6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2E505CB4" w14:textId="77777777" w:rsidR="002A1AC8" w:rsidRPr="00C17DFF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013DB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6AA0EB1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5027B6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B444BB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618D77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0F987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5A21E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6373F78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16E5C9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E2430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03326C8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7563B76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D80925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879C61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2B0BDE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171986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DEFEF8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C4AE3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5B3E5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26D63A1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2EB16E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FD9C21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FF75B59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6F78364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C63C0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FA6981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DAE6F4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7EFC27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40460F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708C8C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70C885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A88F095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37FFDD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03B023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2D1E122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58B6C2A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571AD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6ADD2E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581645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FF3A88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947EE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8D66C6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0922C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82D2F0A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282635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2ABB7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6634B9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2D01600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8CE60B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061E4D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695C09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A0A0D3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EA9BED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0AF90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FF45F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4EB2F1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8725F9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6C9C5DF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B8E7AF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119CFF2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EF5B8E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3C2B30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F5A25B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06512E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093F23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6BF822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F0835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975E1A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D797B3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77BC5F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48283D8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3E08CEB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EEDC6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08A55C6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6097E9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54A7C1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8837C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5D0C5E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45FFD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EB3AE49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A5DD29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C65341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18D1207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7BF97A0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CC009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93F7FC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16478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5C36D3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40FED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97E4D1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D61096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582AD95B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E31DA9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99BDC45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B5E4836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B05374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2267BC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9676B1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F843D7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F374F4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7E94E7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739521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92CD66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06377CB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E1560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ADCF1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7EF6886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5689A01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8D064A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DB25EF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EF307B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C7C08C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D6928D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50674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597820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F765976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2F7844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C99A5D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D7B855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6B8285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1F0462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9BF467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A0015D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0525FD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333EF0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64FE2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A8F97E9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A52C80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4D17FC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420B69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6096D8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2BC00D5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178999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AA9D24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FF5187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8B8BE7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270C05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304CD8A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1C3720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1F95839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5BA3D9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4DA0DF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C55D4F5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3D77EE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D2BBA09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8CB08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D5C186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213BE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AC76083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A4DE3D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29F47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99354E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42D61E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C1102E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3A83B2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7F2BAC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F3920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35B91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0A50B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755D4841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DCE47E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DA81E6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5A296C6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797F2FD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F5AA24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100B3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98AB76F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9AC0CB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871B2B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CE0BF5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1A19D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1D2DE8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6A9E3F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E9A77F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6F9B372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4465FF65" w14:textId="77777777" w:rsidR="002A1AC8" w:rsidRPr="004E63EF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039D8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DBE599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A7F0B9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6ED23C9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828DC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85777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43D86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27ACF40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1AF064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291B97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B8445D1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C77695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11501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F39D37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871C7D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0CF7A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86568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B2591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D110F0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49E2F17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C6D6AD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CA8BAD6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014707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0,1 стоимости привилегированной акции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B2B856F" w14:textId="77777777" w:rsidR="002A1AC8" w:rsidRPr="00D61A4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TRNS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FAAC4FF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55451A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ECDB73B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4FB2F6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5705A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C815D3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1AC8" w:rsidRPr="004D6206" w14:paraId="3403F589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256F35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CC253E0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618C192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EC6C7FE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AF33FD3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0E478B7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7F7D016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8F69A08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800E08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6A71CAD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4D47E2C4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6EF56B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DDC0E7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43E60BE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812388E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E109021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6C761515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913B155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386B02B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21347D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1E79B92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23A97F9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9D351E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AFA809C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724AB27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АФК Система</w:t>
            </w:r>
          </w:p>
          <w:p w14:paraId="74C6BFC5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7B7E926" w14:textId="77777777" w:rsidR="002A1AC8" w:rsidRPr="006511C0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AFKS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577FE98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76ED200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17B4076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064CF61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6746DEB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BA99442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60FA5BE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88FC47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E715E40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E39A699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ТиСиЭс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Холдинг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ПиЭлСи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4B92468" w14:textId="77777777" w:rsidR="002A1AC8" w:rsidRPr="006511C0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TCSI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2DB6880B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E8DD4CE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229AF44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43581AC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3BC5F48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C9FFEAF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1F90AF7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FA3E4E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D91A97E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8202182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Икс 5 Ритейл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 </w:t>
            </w:r>
          </w:p>
          <w:p w14:paraId="33B27728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09207D4" w14:textId="77777777" w:rsidR="002A1AC8" w:rsidRPr="006511C0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FIVE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5D434919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7958324C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78E953B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FFC995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6E5281A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0405884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68757B6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0CA78D0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2DAB6AA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B9E5F2A" w14:textId="77777777" w:rsidR="002A1AC8" w:rsidRPr="006511C0" w:rsidRDefault="002A1AC8" w:rsidP="00CC1223">
            <w:pPr>
              <w:spacing w:after="0" w:line="240" w:lineRule="auto"/>
              <w:ind w:right="-10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Мэйл.ру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Лимитед глобальные депозитарные расписки (ГДР)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5B5AC12" w14:textId="77777777" w:rsidR="002A1AC8" w:rsidRPr="001349B4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1596F1E7" w14:textId="77777777" w:rsidR="002A1AC8" w:rsidRPr="002C5913" w:rsidRDefault="002A1AC8" w:rsidP="00CC1223">
            <w:pPr>
              <w:spacing w:after="0" w:line="240" w:lineRule="auto"/>
              <w:ind w:left="-124" w:right="-63" w:hanging="1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ACAE9B5" w14:textId="77777777" w:rsidR="002A1AC8" w:rsidRPr="001349B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574A6D6" w14:textId="77777777" w:rsidR="002A1AC8" w:rsidRPr="001349B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3130AA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24CA32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F6D8AE0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24C4C7DE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E0B276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CF49615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E2E657E" w14:textId="77777777" w:rsidR="002A1AC8" w:rsidRPr="006511C0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Полиметалл</w:t>
            </w:r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Интернэшнл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4F85FA6" w14:textId="77777777" w:rsidR="002A1AC8" w:rsidRPr="00816FA4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POLY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777A4B14" w14:textId="77777777" w:rsidR="002A1AC8" w:rsidRPr="002C5913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299F2E23" w14:textId="77777777" w:rsidR="002A1AC8" w:rsidRPr="00816FA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AB9AF88" w14:textId="77777777" w:rsidR="002A1AC8" w:rsidRPr="00816FA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8FE4CD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4951A2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6CD806D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121CE5D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C34433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C02D42A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3924AE4" w14:textId="77777777" w:rsidR="002A1AC8" w:rsidRPr="006511C0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«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 РАО ЕЭС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E4FDB94" w14:textId="77777777" w:rsidR="002A1AC8" w:rsidRPr="00816FA4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IRAO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8A792EF" w14:textId="77777777" w:rsidR="002A1AC8" w:rsidRPr="002C5913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0FBCB052" w14:textId="77777777" w:rsidR="002A1AC8" w:rsidRPr="00816FA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4C4F6EE" w14:textId="77777777" w:rsidR="002A1AC8" w:rsidRPr="00816FA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41EAB2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2D56729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FE36816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56CF2DDD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9A943E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D9E47CF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C35C336" w14:textId="77777777" w:rsidR="002A1AC8" w:rsidRPr="00816FA4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Озон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Холдингс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Пи Эл Си американские депозитарные расписки (АДР)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58EE7ED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OZON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6644BEF" w14:textId="77777777" w:rsidR="002A1AC8" w:rsidRPr="002C5913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0C1EBB0" w14:textId="77777777" w:rsidR="002A1AC8" w:rsidRPr="00D61A4E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6A7B8CF0" w14:textId="77777777" w:rsidR="002A1AC8" w:rsidRPr="00D61A4E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DAB067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0AE1166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0DE2F73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08057DB5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49EC1D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7F1A44" w14:textId="61C5B8D9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C1F6F48" w14:textId="280C52F6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SPDR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&amp;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500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ETF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Trust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инвестиционные паи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CFCE90F" w14:textId="158C186C" w:rsidR="002A1AC8" w:rsidRP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SPYF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1D85BE5E" w14:textId="174BD3C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2EE4CE6D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1AD000DE" w14:textId="53083370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8BE1340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EF5467A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29DBA6B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105B8DEF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51F498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C54476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843732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EA5CF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A20BDA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51806D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5CAF37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EA1CC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15ED94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EC1801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3AD35ED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360B74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650EF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FFCF01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59305E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455880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050D8C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899086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1E46DE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357FA0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11F953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3781DA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6FAAD2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9D2564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5451E8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7B15CC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A4278E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324C13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415DEB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60CA8C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B3C5E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1BB8F6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14CE7EDB" w14:textId="77777777" w:rsidTr="00CC1223">
        <w:trPr>
          <w:trHeight w:val="25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21690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6AB6EE9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9CAA14E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D9B242B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3C7891E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8E43BB5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E7E6E6" w:themeFill="background2"/>
            <w:noWrap/>
            <w:vAlign w:val="bottom"/>
          </w:tcPr>
          <w:p w14:paraId="76D379AC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EFC36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E28337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4A348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1AE6257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0E5608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AB564D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BE9D28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3FA4F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8A8A30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882EA5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165825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E46494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976046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F94CF6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F4A4D4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A375DA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90FD3D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F3DA2B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A98ED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7E698D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482A77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5EF93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D8A7D6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4FABA6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CCF7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B17F7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083A1C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4E2AC0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6EE8D1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A7918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F87EB7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C624B1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E7972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C9FBA2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6B4EFC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65FE3C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5F841D6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F74BB7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48DB8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21A003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A88014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EA691F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73B2E3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468BA4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BE84B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7F63B4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4D8BC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A93CC0E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00281D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B3BD97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21190B3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26E91C5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7F0EC14" w14:textId="77777777" w:rsidR="009724DA" w:rsidRPr="00901B32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09D972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8BB9AFD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035B91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80BB29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CF9DB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EE1E17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AAC124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307FA8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4238EF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32FBBB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40771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92504D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C36BBF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D4C34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F5338A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B146A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F0EC7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08DD9FD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06461C7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ABEBF92" w14:textId="77777777" w:rsidR="009724DA" w:rsidRPr="0050098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2C822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2E70A23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47C988A" w14:textId="77777777" w:rsidR="009724DA" w:rsidRPr="00FC0CB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AF4A5FA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6901201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00F945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0B9CD1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2FE4AF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599AA0E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CF0A1F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825F8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2971C4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A23A029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3C427B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734D473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C71D83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1C40D5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940D23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6CE763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48FC00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C1AC3B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D2ED2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BE0579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88E2490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01D6BD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3BE4A61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6384514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BEE1F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EE8D9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ABA34F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9C21445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9C6988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2D6073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7DF040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1AB1600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B77EF7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3299C0A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E540B51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942FA8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992715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134EC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0660FBF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59044B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AA96D1C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0CBA769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FE2319F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3968FB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5214D339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F806D4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D2AB3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A3BEAA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7A7188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3B061246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676FE8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E0E9F2F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1FDC5BB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Пшеница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F979A36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WH4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603C615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9D303DF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485F98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688456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4DB4B9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BEF010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77832865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2F7E6E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B617C0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5E062E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C3FE90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ADB7D9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16E181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9E3AE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C47DF3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4ABBD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13DFF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9D12A38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DB1909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004F24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8CE9C2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4862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902162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019AAC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3B9FD8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140A87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88CD24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D6C965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8CA2D1B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84D599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A72FF5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8BADF1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0D1C1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5FB9B1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07A6B9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7D972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41DA31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005977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90BDB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DF78DC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F314B8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12BA1B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1E8706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2D07B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38DFD3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936F5C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C7F96E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CC096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F92BD0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6B210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C0716F0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32C964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08DA2C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4AA20E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DBD26B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C84254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497285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F2EAF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2C03E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A9DB0E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E98191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999B8B7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707ECF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1BDD8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60F988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5A79B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CFCF83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FCB246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F41709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C8A436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F479BE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933F70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31139FE5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9501C3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57851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599507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B0DD4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D25531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BF18DF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CDF48A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CF3941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78563F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358CF3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AF75EE9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8E9DF5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F2A13E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C4B469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EDFBA03" w14:textId="77777777" w:rsidR="009724DA" w:rsidRPr="00CA03C7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7EFF6E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5BDFF8BF" w14:textId="77777777" w:rsidR="009724DA" w:rsidRPr="00CA03C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56A8C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94C72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A8471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1BBC16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22C829B1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F0110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6DC0768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2151704" w14:textId="77777777" w:rsidR="009724DA" w:rsidRPr="00D37C21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E20E66C" w14:textId="77777777" w:rsidR="009724DA" w:rsidRPr="00D37C21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F347B47" w14:textId="77777777" w:rsidR="009724DA" w:rsidRPr="00D37C21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B6A158E" w14:textId="77777777" w:rsidR="009724DA" w:rsidRPr="00D37C21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C9BC5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4BCBB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BD42C6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5B7AF2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563E8DE5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3F424C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337F9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AB3B98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BE11D8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63681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0C8A0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018C4F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14983C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C509AB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4B63C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DAF0930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8D67F8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E7491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EECCD0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826A2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F2FF1A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D565B3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4F6857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06A949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D47DA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9E5BDC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61B94A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F00344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E175D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5724C8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CEE192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547C5A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D76ABB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CA6D56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7560AF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AF070B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1FF58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35EEB0C9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B22F5F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742747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B7B0FD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B1B62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49805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7117F6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55126A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4489C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67024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CEDC8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F7A9B9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100DA0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8B8EB3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923E74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16B9FB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8DC5B3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8A5593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5BE72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BF6C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B91AD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46820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665D857" w14:textId="77777777" w:rsidTr="00CC1223">
        <w:trPr>
          <w:trHeight w:val="510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337143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30F857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580912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04C89D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350B1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9AFD48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97855C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7F388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A8D50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01780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29077BEE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C2965E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B38640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D634BF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655B1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64ECA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6D6C3D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22EEE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F342D2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FB4CFB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69263B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F8D8E56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F2A324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0D6A47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6FE2D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05F014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7C0646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AD8569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87F189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EDFB0C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68E6E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38EA9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4CCFF9BE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49A320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A7E77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0B4DF9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5F2199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3CC941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A5B09B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90312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3BB960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77DFC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D1204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71456AFE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1ACBF7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B3A497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6204EA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075B43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E8F2BC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590031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0D30B8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B6E1E3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A8A44E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583183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2F780101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F26912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59A666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F570E8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D42E3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FE25D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FFF4B0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FED364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486EF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7D557C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5E95AF6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9724DA" w:rsidRPr="004D6206" w14:paraId="4D559D9F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9CB486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6A4498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7A5211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F395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FB4517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3A5300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33107A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FFCD4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73632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FAEBB5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8C679F7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88CAC4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B9557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1088E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15FE0B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63C1F6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B8C726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60CB82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1024E0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077EE2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F8544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0E4B2E2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141E5D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1ABB7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496F96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EEAECB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587EB7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A611CE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A9EC09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4FC95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AEC9A1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E09C9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7260F4B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0AF7A8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6FC01C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CDE0C6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8DEF8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92C004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812F6D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A944A2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EEA9C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FF3A2F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0C0952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B45A802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A25973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26490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ACC990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16F18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93C1E3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260B00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24CBF6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5880C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F5042E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22989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3E935E3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A4B40E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40682A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8CF80F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B922E1C" w14:textId="77777777" w:rsidR="009724DA" w:rsidRPr="00500984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1FFC77B" w14:textId="77777777" w:rsidR="009724DA" w:rsidRPr="0050098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C949553" w14:textId="77777777" w:rsidR="009724DA" w:rsidRPr="009F2DC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B314A3F" w14:textId="77777777" w:rsidR="009724DA" w:rsidRPr="0050098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FA3C7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6EE521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FCFD9F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4C533E9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C654172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238C770D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EBFEFE2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46299DB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5B5177C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F52E157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499B92A8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70561EE1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32EB9480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2ACC898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9983DBF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308589A7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DFE872A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78941246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638DF439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7DF2505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269C0364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4A3ACD3F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4CE0D363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681A4D36" w14:textId="77777777" w:rsidR="009724DA" w:rsidRPr="00335A33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5410FF10" w14:textId="77777777" w:rsidR="009724DA" w:rsidRPr="00335A33" w:rsidRDefault="009724DA" w:rsidP="009724DA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5"/>
        <w:gridCol w:w="679"/>
        <w:gridCol w:w="1842"/>
        <w:gridCol w:w="2535"/>
        <w:gridCol w:w="521"/>
        <w:gridCol w:w="15"/>
        <w:gridCol w:w="1555"/>
        <w:gridCol w:w="692"/>
        <w:gridCol w:w="943"/>
      </w:tblGrid>
      <w:tr w:rsidR="009724DA" w:rsidRPr="00335A33" w14:paraId="6534F157" w14:textId="77777777" w:rsidTr="00CC1223">
        <w:trPr>
          <w:trHeight w:val="228"/>
          <w:jc w:val="center"/>
        </w:trPr>
        <w:tc>
          <w:tcPr>
            <w:tcW w:w="1415" w:type="dxa"/>
            <w:vMerge w:val="restart"/>
            <w:shd w:val="clear" w:color="auto" w:fill="D9D9D9"/>
            <w:vAlign w:val="center"/>
          </w:tcPr>
          <w:p w14:paraId="2B15D89D" w14:textId="77777777" w:rsidR="009724DA" w:rsidRPr="00335A33" w:rsidRDefault="009724DA" w:rsidP="00CC1223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679" w:type="dxa"/>
            <w:vMerge w:val="restart"/>
            <w:shd w:val="clear" w:color="auto" w:fill="D9D9D9"/>
            <w:vAlign w:val="center"/>
          </w:tcPr>
          <w:p w14:paraId="0023C3AC" w14:textId="77777777" w:rsidR="009724DA" w:rsidRPr="00335A33" w:rsidRDefault="009724DA" w:rsidP="00CC12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377" w:type="dxa"/>
            <w:gridSpan w:val="2"/>
            <w:vMerge w:val="restart"/>
            <w:shd w:val="clear" w:color="auto" w:fill="D9D9D9"/>
            <w:vAlign w:val="center"/>
          </w:tcPr>
          <w:p w14:paraId="77165FA5" w14:textId="77777777" w:rsidR="009724DA" w:rsidRPr="00335A33" w:rsidRDefault="009724DA" w:rsidP="00CC1223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6025B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555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92DCFA" w14:textId="77777777" w:rsidR="009724DA" w:rsidRPr="00335A33" w:rsidRDefault="009724DA" w:rsidP="00CC1223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64344F51" w14:textId="77777777" w:rsidR="009724DA" w:rsidRPr="00335A33" w:rsidRDefault="009724DA" w:rsidP="00CC1223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35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D3B0D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9724DA" w:rsidRPr="00335A33" w14:paraId="7FEE29AE" w14:textId="77777777" w:rsidTr="00CC1223">
        <w:trPr>
          <w:trHeight w:val="316"/>
          <w:jc w:val="center"/>
        </w:trPr>
        <w:tc>
          <w:tcPr>
            <w:tcW w:w="1415" w:type="dxa"/>
            <w:vMerge/>
          </w:tcPr>
          <w:p w14:paraId="3B1B7564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679" w:type="dxa"/>
            <w:vMerge/>
          </w:tcPr>
          <w:p w14:paraId="27734E8D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377" w:type="dxa"/>
            <w:gridSpan w:val="2"/>
            <w:vMerge/>
          </w:tcPr>
          <w:p w14:paraId="0D994D2B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4D322B35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8B08020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692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30065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43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712D9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9724DA" w:rsidRPr="00335A33" w14:paraId="60D85728" w14:textId="77777777" w:rsidTr="00CC1223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6EC1EAC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679" w:type="dxa"/>
            <w:shd w:val="clear" w:color="auto" w:fill="F2F2F2"/>
            <w:vAlign w:val="center"/>
          </w:tcPr>
          <w:p w14:paraId="2058A3C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039071F3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702A8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1C602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A25DB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F2E8C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0583C38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6947CF6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98AC4A1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0BA63779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AACE6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BD677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37FBF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CAA75E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87C2D8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AF0C79E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7226CD5D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55A1683D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28C4F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18817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2C386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7CB6C4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7FC4CE8B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EEB9A50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3F8BDC15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7386F67B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AAB94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91D41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8282A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D9E8C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5D843669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C34B50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4D1214ED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49B9AF33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830EF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E218F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4595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43BBB0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2772EE00" w14:textId="77777777" w:rsidTr="00CC1223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3428546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0A3BC43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1E38464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005AC753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359D6A35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3004FCA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01ED1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F2981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C1EF3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20B2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58C6DDC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F21422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9F2B472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F0145C4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EDE4D90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«Аэрофлот»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527398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AFLT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293F6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70FF59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00B90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5AB8483E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037861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D1FA0CE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168DC1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ED17092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D86CA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CE084F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2181E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819ED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70EF54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AB8692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FA62BCC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4EB00E8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68EAF4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E71F51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A94F2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4F48A4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A2868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5BC4F480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3E48CA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1F46657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806EDA0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2F2F2"/>
            <w:vAlign w:val="center"/>
          </w:tcPr>
          <w:p w14:paraId="0CD6DAAF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030F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B3087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5962F3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35DF5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5ED91DF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DE4B6A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3A41056E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B7A2D17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2F2F2"/>
            <w:vAlign w:val="center"/>
          </w:tcPr>
          <w:p w14:paraId="4920CD48" w14:textId="77777777" w:rsidR="009724DA" w:rsidRPr="00335A33" w:rsidRDefault="009724DA" w:rsidP="00CC1223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701BC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E73662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1DF5D8" w14:textId="77777777" w:rsidR="009724DA" w:rsidRPr="004548BE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6D0156" w14:textId="77777777" w:rsidR="009724DA" w:rsidRPr="004548BE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1089E906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A5FE29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B840AAD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39A708D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6DCCC09" w14:textId="77777777" w:rsidR="009724DA" w:rsidRPr="00335A33" w:rsidRDefault="009724DA" w:rsidP="00CC1223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C1DA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</w:t>
            </w: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5A8C34" w14:textId="77777777" w:rsidR="009724DA" w:rsidRPr="00AA2CE9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C15605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0DE15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3F758EF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5BD43A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8DA1C0A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2727D75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D43B277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226B9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85F05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62492B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9DD15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6B5F94E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BFB4E3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2F44057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F551176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D8BBD20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E345A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F2CC2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8F343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D2C400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2D7F4D3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E2A263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208CFA4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712A152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0C378FD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05769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A2B83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814B59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3498D5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432CC3C6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1D82D81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D566217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5FDD6FB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62D5817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993C5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AC316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F0939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5BBB4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2A09484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75F5E4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0B040A8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4AD1A5D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FD93782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3321E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A8BD8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7B2A93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1D1707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2F6F5728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126926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FCA4AC2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EA2E52C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1A3E83A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4D801F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39190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81ED73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F0855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0FFD19A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5D6F6EC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6FA7D13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29D0A23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D9A9815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C966C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7796CF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E172D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FF94D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3C5B4522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7BCDDB9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36DBAA6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39E2BC6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60230FC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1DF62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7948B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E7EC7F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68B7A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0DBCA58F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47808A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BF11708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B0D6D5D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D29725C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150AA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45F98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82F34E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BCDECF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55BDA0A1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9282A2E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4E6E846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9699CCC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2F2F2"/>
            <w:vAlign w:val="center"/>
          </w:tcPr>
          <w:p w14:paraId="03B11003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BFE4A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B3E941" w14:textId="77777777" w:rsidR="009724DA" w:rsidRPr="00986B2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0855DB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D2741E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28235CF6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6C81262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247627E6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3E5646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2F2F2"/>
            <w:vAlign w:val="center"/>
          </w:tcPr>
          <w:p w14:paraId="724A29BF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306C2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B250C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D129F2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43125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71BF2E23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FB21C8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EFDB3D3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5E86977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022BC7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A510F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880D7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78C014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6DAE2A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63FDF32E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E59ED5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AF35A41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4DA512C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1668CBA5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4D59376E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B0638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E739CF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1BF80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3C4A5F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1BB5EBD2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0670F4B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CC27315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AC5C75E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07E39B7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78EFC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939E6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2FB71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8FF4F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A81D5D" w14:paraId="5A00D2C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D249854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FF49B77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5FD12F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8CDC64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3C7A3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2A7E4F" w14:textId="77777777" w:rsidR="009724DA" w:rsidRPr="00FE3F2E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3C51D3" w14:textId="77777777" w:rsidR="009724DA" w:rsidRPr="00A81D5D" w:rsidRDefault="009724DA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1BDD2D" w14:textId="77777777" w:rsidR="009724DA" w:rsidRPr="00A81D5D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9724DA" w:rsidRPr="00A81D5D" w14:paraId="7D8C2DFC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CA3D8F0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4C6608D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972FAAF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B07CFE9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BFEA4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8C387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5F9C7B" w14:textId="77777777" w:rsidR="009724DA" w:rsidRPr="00A81D5D" w:rsidRDefault="009724DA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02CD55" w14:textId="77777777" w:rsidR="009724DA" w:rsidRPr="00A81D5D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67513" w:rsidRPr="00A81D5D" w14:paraId="093F31B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88C853D" w14:textId="77777777" w:rsidR="00367513" w:rsidRPr="00335A33" w:rsidRDefault="00367513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1E04C87" w14:textId="58637480" w:rsidR="00367513" w:rsidRDefault="00367513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4E4A8F1" w14:textId="77777777" w:rsidR="00367513" w:rsidRPr="00335A33" w:rsidRDefault="00367513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331ED7B" w14:textId="716D0356" w:rsidR="00367513" w:rsidRDefault="00367513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4834A4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АФК Система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706FE8" w14:textId="714BE792" w:rsidR="00367513" w:rsidRDefault="00367513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AFKS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820A86" w14:textId="1C1CD0AA" w:rsidR="00367513" w:rsidRDefault="00367513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DA783E" w14:textId="187DD537" w:rsidR="00367513" w:rsidRPr="00367513" w:rsidRDefault="00367513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43B9E3" w14:textId="77777777" w:rsidR="00367513" w:rsidRPr="00A81D5D" w:rsidRDefault="00367513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9724DA" w:rsidRPr="00A81D5D" w14:paraId="475E22C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5CD2346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9CED852" w14:textId="77777777" w:rsidR="009724DA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F4D9BD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F60E0C5" w14:textId="77777777" w:rsidR="009724DA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Яндекс Н.В.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9BD908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YNDF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E1DE39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171424" w14:textId="77777777" w:rsidR="009724DA" w:rsidRPr="00A81D5D" w:rsidRDefault="009724DA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6C5DFA" w14:textId="77777777" w:rsidR="009724DA" w:rsidRPr="00A81D5D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9724DA" w:rsidRPr="00A81D5D" w14:paraId="3C2DA2E2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169EA4B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74DEE3A" w14:textId="77777777" w:rsidR="009724DA" w:rsidRPr="006854FB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3B8FCA3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AC0EF27" w14:textId="77777777" w:rsidR="009724DA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Полиметалл Интернэшнл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A38142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POLY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A2B5DE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27C6E9" w14:textId="77777777" w:rsidR="009724DA" w:rsidRDefault="009724DA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06BA81" w14:textId="77777777" w:rsidR="009724DA" w:rsidRPr="00A81D5D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9724DA" w:rsidRPr="00A81D5D" w14:paraId="5DEA2718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DCE7E8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5D91DB8" w14:textId="77777777" w:rsidR="009724DA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555EE6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CA838CB" w14:textId="77777777" w:rsidR="009724DA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«Интер РАО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9786E2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IRAO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1E5C59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C9B0C6" w14:textId="77777777" w:rsidR="009724DA" w:rsidRDefault="009724DA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8F923E" w14:textId="77777777" w:rsidR="009724DA" w:rsidRPr="00A81D5D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9724DA" w:rsidRPr="00335A33" w14:paraId="6143387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AEAA400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6A27D80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72B567B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3459F8D5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ABD35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D7101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90FC6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30B2A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80ED11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ADB029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EFFBD10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404F70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D860796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DDCDE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2FCFB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3F471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970103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061141F1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B793DA5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53EC360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3DA0B05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EE5B42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3D276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1CFE6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584514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5EE8AE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0A22D29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F1B6F26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A83F247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72F24FBA" w14:textId="77777777" w:rsidR="009724DA" w:rsidRPr="00335A33" w:rsidRDefault="009724DA" w:rsidP="00CC1223">
            <w:pPr>
              <w:spacing w:after="0" w:line="240" w:lineRule="auto"/>
              <w:ind w:left="16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854FB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депозитарные расписки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54E98CC7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ТиСиЭс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Холдинг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ПиЭлСи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CA920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TCSI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50C0F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072324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DBCF0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4A521D45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8AB7422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493081C" w14:textId="77777777" w:rsidR="009724DA" w:rsidRPr="00177DC2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7AABFC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C8C62E8" w14:textId="77777777" w:rsidR="009724DA" w:rsidRPr="00177DC2" w:rsidRDefault="009724DA" w:rsidP="00CC1223">
            <w:pPr>
              <w:spacing w:after="0" w:line="240" w:lineRule="auto"/>
              <w:ind w:firstLine="175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Икс 5 Ритейл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Н.В </w:t>
            </w:r>
          </w:p>
          <w:p w14:paraId="00BB0C71" w14:textId="77777777" w:rsidR="009724DA" w:rsidRPr="00177DC2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D8FA5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FIVE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0859F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6FF17E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905D24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32EE3DDC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B39CF2F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3CE263B" w14:textId="77777777" w:rsidR="009724DA" w:rsidRPr="00177DC2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69D44FB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A6C16B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Мэйл.ру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 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 Лимитед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B059E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75AA3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0FDBC4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6EDBA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138E26AF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8C7FBBB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B113AD5" w14:textId="77777777" w:rsidR="009724DA" w:rsidRPr="00177DC2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F0AC7A2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6B996BEA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Озон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Холдингс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Пи Эл Си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CDD695" w14:textId="77777777" w:rsidR="009724DA" w:rsidRPr="006854FB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OZON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AE0598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196E9C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B54113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55761A6" w14:textId="77777777" w:rsidTr="00CC1223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4F6EC491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6777C2F8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787F8B31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0BD49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E8173F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D0BD08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F09A2B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69754FB9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44A0B3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079D7575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3EAFC49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16EDA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A86DC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88F94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CF4420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68899E6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4804CB7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590BE085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37B13891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D3DBE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A7325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42E0C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B66D3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21C9DFD8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28F3FDF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C920F0D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1A5832AE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</w:t>
            </w: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 -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9CF63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9F180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6A12F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669E0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3C4F102F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89D1EC2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EB1E8A6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2A36D88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1EBEE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8DFB9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FA4DC9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87081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411464B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02CB823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EA0E11F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CE923E6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130CE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E2549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4869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3D19BD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9724DA" w:rsidRPr="00335A33" w14:paraId="4F0BE94B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5C294E5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4D6F387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65494FD1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87F398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98F2E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AC265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48CDCC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9724DA" w:rsidRPr="00335A33" w14:paraId="383CB965" w14:textId="77777777" w:rsidTr="00CC1223">
        <w:trPr>
          <w:trHeight w:val="314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1701C87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A73B453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03D9B81C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78C97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D6868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F45CF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9E1FF4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550960A2" w14:textId="77777777" w:rsidTr="00CC1223">
        <w:trPr>
          <w:trHeight w:val="403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0CA124C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1D0D5611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23AB873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7030C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0C7201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7E41D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AFC445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160FCFDC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63CD115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D1E7B43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256B9893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C9141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13DA1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A39A1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5B8BD3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21D830C4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7A5DE5B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15050CB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7138440D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978B6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CCB33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04C81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7CABD1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B2C33B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DD39FBF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AA46CB4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50EB1B38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80076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A93FB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FDC031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C315E7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4925497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9C96DA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F80FFC7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2E15A26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4C2A2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FA563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CB38D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50E31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7864C94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6803F16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100F533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CCB86E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природный газ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045DC2" w14:textId="77777777" w:rsidR="009724DA" w:rsidRPr="00B45D1E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NG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8DBAA3" w14:textId="77777777" w:rsidR="009724DA" w:rsidRPr="00B45D1E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3DCCEB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EB14B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2634B37E" w14:textId="77777777" w:rsidR="009724DA" w:rsidRDefault="009724DA" w:rsidP="009724DA"/>
    <w:p w14:paraId="69A782F0" w14:textId="77777777" w:rsidR="004D6206" w:rsidRDefault="004D6206" w:rsidP="009724DA">
      <w:pPr>
        <w:spacing w:after="0" w:line="240" w:lineRule="auto"/>
        <w:textAlignment w:val="bottom"/>
      </w:pPr>
    </w:p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DC40" w14:textId="77777777" w:rsidR="007E5F19" w:rsidRDefault="007E5F19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7E5F19" w:rsidRDefault="007E5F19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126AA5C9" w:rsidR="007E5F19" w:rsidRPr="00656405" w:rsidRDefault="007E5F19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7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7E5F19" w:rsidRDefault="007E5F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3866" w14:textId="77777777" w:rsidR="007E5F19" w:rsidRDefault="007E5F19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7E5F19" w:rsidRDefault="007E5F19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54D3D"/>
    <w:rsid w:val="000644BE"/>
    <w:rsid w:val="00070BAC"/>
    <w:rsid w:val="00081956"/>
    <w:rsid w:val="00091BF4"/>
    <w:rsid w:val="000B13CD"/>
    <w:rsid w:val="000C30E6"/>
    <w:rsid w:val="000E186D"/>
    <w:rsid w:val="000F17BB"/>
    <w:rsid w:val="00105263"/>
    <w:rsid w:val="00106D43"/>
    <w:rsid w:val="001108BC"/>
    <w:rsid w:val="00110A27"/>
    <w:rsid w:val="00152567"/>
    <w:rsid w:val="001708CF"/>
    <w:rsid w:val="001935DD"/>
    <w:rsid w:val="0019688B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1AC8"/>
    <w:rsid w:val="002A70C8"/>
    <w:rsid w:val="002A7EF7"/>
    <w:rsid w:val="002E286F"/>
    <w:rsid w:val="002E32A7"/>
    <w:rsid w:val="002F4BF1"/>
    <w:rsid w:val="003038A7"/>
    <w:rsid w:val="00335A33"/>
    <w:rsid w:val="00367513"/>
    <w:rsid w:val="00370F30"/>
    <w:rsid w:val="00371DF8"/>
    <w:rsid w:val="00385F09"/>
    <w:rsid w:val="003D4836"/>
    <w:rsid w:val="003F18B7"/>
    <w:rsid w:val="00400C76"/>
    <w:rsid w:val="00400FB4"/>
    <w:rsid w:val="0043211B"/>
    <w:rsid w:val="004548BE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15344"/>
    <w:rsid w:val="00525E7D"/>
    <w:rsid w:val="005307DA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11C0"/>
    <w:rsid w:val="00653DB7"/>
    <w:rsid w:val="00656405"/>
    <w:rsid w:val="00675D62"/>
    <w:rsid w:val="006B5F51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7E5F19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724DA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3FF8"/>
    <w:rsid w:val="00AD060A"/>
    <w:rsid w:val="00AD78A7"/>
    <w:rsid w:val="00AD7F1F"/>
    <w:rsid w:val="00B008FE"/>
    <w:rsid w:val="00B1297D"/>
    <w:rsid w:val="00B13684"/>
    <w:rsid w:val="00B4244A"/>
    <w:rsid w:val="00B63D97"/>
    <w:rsid w:val="00B64844"/>
    <w:rsid w:val="00B65BE0"/>
    <w:rsid w:val="00B80ECA"/>
    <w:rsid w:val="00B86564"/>
    <w:rsid w:val="00B902DE"/>
    <w:rsid w:val="00B947E7"/>
    <w:rsid w:val="00BB3DFC"/>
    <w:rsid w:val="00BB4F0F"/>
    <w:rsid w:val="00BF423B"/>
    <w:rsid w:val="00C0202C"/>
    <w:rsid w:val="00C1654E"/>
    <w:rsid w:val="00C17DFF"/>
    <w:rsid w:val="00C42C1B"/>
    <w:rsid w:val="00C8383E"/>
    <w:rsid w:val="00C90172"/>
    <w:rsid w:val="00C92742"/>
    <w:rsid w:val="00C94307"/>
    <w:rsid w:val="00CA03C7"/>
    <w:rsid w:val="00CA35AB"/>
    <w:rsid w:val="00CA5F25"/>
    <w:rsid w:val="00CB1D24"/>
    <w:rsid w:val="00CC189B"/>
    <w:rsid w:val="00CC531E"/>
    <w:rsid w:val="00CD5875"/>
    <w:rsid w:val="00D05EEE"/>
    <w:rsid w:val="00D144C9"/>
    <w:rsid w:val="00D21BF2"/>
    <w:rsid w:val="00D31827"/>
    <w:rsid w:val="00D37C21"/>
    <w:rsid w:val="00D63F00"/>
    <w:rsid w:val="00D819A6"/>
    <w:rsid w:val="00DA02D7"/>
    <w:rsid w:val="00DA7745"/>
    <w:rsid w:val="00DB00CE"/>
    <w:rsid w:val="00DB0354"/>
    <w:rsid w:val="00DF26A8"/>
    <w:rsid w:val="00E06FEC"/>
    <w:rsid w:val="00E16F2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customStyle="1" w:styleId="2">
    <w:name w:val="Обычный2"/>
    <w:rsid w:val="00DB00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57C8-7541-4C9F-BB9D-75C41D0C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2018-10-16T07:23:00Z</cp:lastPrinted>
  <dcterms:created xsi:type="dcterms:W3CDTF">2021-05-24T08:54:00Z</dcterms:created>
  <dcterms:modified xsi:type="dcterms:W3CDTF">2021-05-24T08:56:00Z</dcterms:modified>
</cp:coreProperties>
</file>