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26EF" w14:textId="77777777" w:rsidR="00EF0077" w:rsidRDefault="001510F0" w:rsidP="00395EC0">
      <w:pPr>
        <w:jc w:val="center"/>
        <w:rPr>
          <w:sz w:val="28"/>
        </w:rPr>
      </w:pPr>
      <w:r w:rsidRPr="001510F0">
        <w:rPr>
          <w:sz w:val="28"/>
        </w:rPr>
        <w:t xml:space="preserve">Методические рекомендации </w:t>
      </w:r>
      <w:r w:rsidR="00DF7977">
        <w:rPr>
          <w:sz w:val="28"/>
        </w:rPr>
        <w:t>по оформлению допуск</w:t>
      </w:r>
      <w:r w:rsidR="00B344EC">
        <w:rPr>
          <w:sz w:val="28"/>
        </w:rPr>
        <w:t>а</w:t>
      </w:r>
      <w:r w:rsidR="00DF7977">
        <w:rPr>
          <w:sz w:val="28"/>
        </w:rPr>
        <w:t xml:space="preserve"> к торгам</w:t>
      </w:r>
      <w:r w:rsidR="009B5918">
        <w:rPr>
          <w:sz w:val="28"/>
        </w:rPr>
        <w:t>.</w:t>
      </w:r>
    </w:p>
    <w:p w14:paraId="0C94828F" w14:textId="77777777" w:rsidR="009B5918" w:rsidRPr="00FE213F" w:rsidRDefault="009B5918" w:rsidP="00395EC0">
      <w:pPr>
        <w:jc w:val="center"/>
        <w:rPr>
          <w:i/>
          <w:strike/>
        </w:rPr>
      </w:pPr>
    </w:p>
    <w:p w14:paraId="3861525C" w14:textId="77777777" w:rsidR="009B5918" w:rsidRPr="00713498" w:rsidRDefault="009B5918" w:rsidP="0056123E">
      <w:pPr>
        <w:pStyle w:val="21"/>
        <w:jc w:val="both"/>
        <w:rPr>
          <w:rFonts w:ascii="Times New Roman" w:hAnsi="Times New Roman"/>
          <w:b/>
          <w:color w:val="4472C4"/>
          <w:sz w:val="32"/>
          <w:szCs w:val="32"/>
          <w:lang w:val="ru-RU" w:eastAsia="ru-RU"/>
        </w:rPr>
      </w:pPr>
      <w:r w:rsidRPr="00713498">
        <w:rPr>
          <w:rFonts w:ascii="Times New Roman" w:hAnsi="Times New Roman"/>
          <w:b/>
          <w:color w:val="4472C4"/>
          <w:sz w:val="32"/>
          <w:szCs w:val="32"/>
          <w:lang w:val="ru-RU" w:eastAsia="ru-RU"/>
        </w:rPr>
        <w:t>Для участия в торгах необходимо:</w:t>
      </w:r>
    </w:p>
    <w:p w14:paraId="08A165EC" w14:textId="77777777" w:rsidR="00304C1B" w:rsidRPr="00D509BF" w:rsidRDefault="009B5918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3927651" w:history="1">
        <w:r w:rsidR="00304C1B" w:rsidRPr="00D7508F">
          <w:rPr>
            <w:rStyle w:val="a8"/>
            <w:iCs/>
            <w:noProof/>
          </w:rPr>
          <w:t>1.</w:t>
        </w:r>
        <w:r w:rsidR="00304C1B" w:rsidRPr="00D509BF">
          <w:rPr>
            <w:rFonts w:ascii="Calibri" w:hAnsi="Calibri"/>
            <w:noProof/>
            <w:sz w:val="22"/>
            <w:szCs w:val="22"/>
          </w:rPr>
          <w:tab/>
        </w:r>
        <w:r w:rsidR="00304C1B" w:rsidRPr="00D7508F">
          <w:rPr>
            <w:rStyle w:val="a8"/>
            <w:noProof/>
          </w:rPr>
          <w:t>Ознакомиться с нормативными документами. Общие положения.</w:t>
        </w:r>
        <w:r w:rsidR="00304C1B">
          <w:rPr>
            <w:noProof/>
            <w:webHidden/>
          </w:rPr>
          <w:tab/>
        </w:r>
        <w:r w:rsidR="00304C1B">
          <w:rPr>
            <w:noProof/>
            <w:webHidden/>
          </w:rPr>
          <w:fldChar w:fldCharType="begin"/>
        </w:r>
        <w:r w:rsidR="00304C1B">
          <w:rPr>
            <w:noProof/>
            <w:webHidden/>
          </w:rPr>
          <w:instrText xml:space="preserve"> PAGEREF _Toc93927651 \h </w:instrText>
        </w:r>
        <w:r w:rsidR="00304C1B">
          <w:rPr>
            <w:noProof/>
            <w:webHidden/>
          </w:rPr>
        </w:r>
        <w:r w:rsidR="00304C1B">
          <w:rPr>
            <w:noProof/>
            <w:webHidden/>
          </w:rPr>
          <w:fldChar w:fldCharType="separate"/>
        </w:r>
        <w:r w:rsidR="00304C1B">
          <w:rPr>
            <w:noProof/>
            <w:webHidden/>
          </w:rPr>
          <w:t>1</w:t>
        </w:r>
        <w:r w:rsidR="00304C1B">
          <w:rPr>
            <w:noProof/>
            <w:webHidden/>
          </w:rPr>
          <w:fldChar w:fldCharType="end"/>
        </w:r>
      </w:hyperlink>
    </w:p>
    <w:p w14:paraId="32CFC1B0" w14:textId="77777777" w:rsidR="00304C1B" w:rsidRPr="00D509BF" w:rsidRDefault="00200B03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3927652" w:history="1">
        <w:r w:rsidR="00304C1B" w:rsidRPr="00D7508F">
          <w:rPr>
            <w:rStyle w:val="a8"/>
            <w:iCs/>
            <w:noProof/>
          </w:rPr>
          <w:t>2.</w:t>
        </w:r>
        <w:r w:rsidR="00304C1B" w:rsidRPr="00D509BF">
          <w:rPr>
            <w:rFonts w:ascii="Calibri" w:hAnsi="Calibri"/>
            <w:noProof/>
            <w:sz w:val="22"/>
            <w:szCs w:val="22"/>
          </w:rPr>
          <w:tab/>
        </w:r>
        <w:r w:rsidR="00304C1B" w:rsidRPr="00D7508F">
          <w:rPr>
            <w:rStyle w:val="a8"/>
            <w:noProof/>
          </w:rPr>
          <w:t xml:space="preserve">Подать необходимые документы Агенту и получить подтверждение статуса в соответствующей категории </w:t>
        </w:r>
        <w:r w:rsidR="00304C1B" w:rsidRPr="00D7508F">
          <w:rPr>
            <w:rStyle w:val="a8"/>
            <w:i/>
            <w:iCs/>
            <w:noProof/>
          </w:rPr>
          <w:t>(Предоставление документов Агенту)</w:t>
        </w:r>
        <w:r w:rsidR="00304C1B">
          <w:rPr>
            <w:noProof/>
            <w:webHidden/>
          </w:rPr>
          <w:tab/>
        </w:r>
        <w:r w:rsidR="00304C1B">
          <w:rPr>
            <w:noProof/>
            <w:webHidden/>
          </w:rPr>
          <w:fldChar w:fldCharType="begin"/>
        </w:r>
        <w:r w:rsidR="00304C1B">
          <w:rPr>
            <w:noProof/>
            <w:webHidden/>
          </w:rPr>
          <w:instrText xml:space="preserve"> PAGEREF _Toc93927652 \h </w:instrText>
        </w:r>
        <w:r w:rsidR="00304C1B">
          <w:rPr>
            <w:noProof/>
            <w:webHidden/>
          </w:rPr>
        </w:r>
        <w:r w:rsidR="00304C1B">
          <w:rPr>
            <w:noProof/>
            <w:webHidden/>
          </w:rPr>
          <w:fldChar w:fldCharType="separate"/>
        </w:r>
        <w:r w:rsidR="00304C1B">
          <w:rPr>
            <w:noProof/>
            <w:webHidden/>
          </w:rPr>
          <w:t>1</w:t>
        </w:r>
        <w:r w:rsidR="00304C1B">
          <w:rPr>
            <w:noProof/>
            <w:webHidden/>
          </w:rPr>
          <w:fldChar w:fldCharType="end"/>
        </w:r>
      </w:hyperlink>
    </w:p>
    <w:p w14:paraId="67464431" w14:textId="77777777" w:rsidR="00304C1B" w:rsidRPr="00D509BF" w:rsidRDefault="00200B03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3927653" w:history="1">
        <w:r w:rsidR="00304C1B" w:rsidRPr="00D7508F">
          <w:rPr>
            <w:rStyle w:val="a8"/>
            <w:iCs/>
            <w:noProof/>
          </w:rPr>
          <w:t>3.</w:t>
        </w:r>
        <w:r w:rsidR="00304C1B" w:rsidRPr="00D509BF">
          <w:rPr>
            <w:rFonts w:ascii="Calibri" w:hAnsi="Calibri"/>
            <w:noProof/>
            <w:sz w:val="22"/>
            <w:szCs w:val="22"/>
          </w:rPr>
          <w:tab/>
        </w:r>
        <w:r w:rsidR="00304C1B" w:rsidRPr="00D7508F">
          <w:rPr>
            <w:rStyle w:val="a8"/>
            <w:noProof/>
          </w:rPr>
          <w:t xml:space="preserve">Получить Технический доступ к торгам </w:t>
        </w:r>
        <w:r w:rsidR="00304C1B" w:rsidRPr="00D7508F">
          <w:rPr>
            <w:rStyle w:val="a8"/>
            <w:i/>
            <w:iCs/>
            <w:noProof/>
          </w:rPr>
          <w:t>(Порядок оформления технического доступа)</w:t>
        </w:r>
        <w:r w:rsidR="00304C1B">
          <w:rPr>
            <w:noProof/>
            <w:webHidden/>
          </w:rPr>
          <w:tab/>
        </w:r>
        <w:r w:rsidR="00304C1B">
          <w:rPr>
            <w:noProof/>
            <w:webHidden/>
          </w:rPr>
          <w:fldChar w:fldCharType="begin"/>
        </w:r>
        <w:r w:rsidR="00304C1B">
          <w:rPr>
            <w:noProof/>
            <w:webHidden/>
          </w:rPr>
          <w:instrText xml:space="preserve"> PAGEREF _Toc93927653 \h </w:instrText>
        </w:r>
        <w:r w:rsidR="00304C1B">
          <w:rPr>
            <w:noProof/>
            <w:webHidden/>
          </w:rPr>
        </w:r>
        <w:r w:rsidR="00304C1B">
          <w:rPr>
            <w:noProof/>
            <w:webHidden/>
          </w:rPr>
          <w:fldChar w:fldCharType="separate"/>
        </w:r>
        <w:r w:rsidR="00304C1B">
          <w:rPr>
            <w:noProof/>
            <w:webHidden/>
          </w:rPr>
          <w:t>1</w:t>
        </w:r>
        <w:r w:rsidR="00304C1B">
          <w:rPr>
            <w:noProof/>
            <w:webHidden/>
          </w:rPr>
          <w:fldChar w:fldCharType="end"/>
        </w:r>
      </w:hyperlink>
    </w:p>
    <w:p w14:paraId="0DB3020B" w14:textId="77777777" w:rsidR="00304C1B" w:rsidRPr="00D509BF" w:rsidRDefault="00200B03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3927654" w:history="1">
        <w:r w:rsidR="00304C1B" w:rsidRPr="00D7508F">
          <w:rPr>
            <w:rStyle w:val="a8"/>
            <w:iCs/>
            <w:noProof/>
          </w:rPr>
          <w:t>4.</w:t>
        </w:r>
        <w:r w:rsidR="00304C1B" w:rsidRPr="00D509BF">
          <w:rPr>
            <w:rFonts w:ascii="Calibri" w:hAnsi="Calibri"/>
            <w:noProof/>
            <w:sz w:val="22"/>
            <w:szCs w:val="22"/>
          </w:rPr>
          <w:tab/>
        </w:r>
        <w:r w:rsidR="00304C1B" w:rsidRPr="00D7508F">
          <w:rPr>
            <w:rStyle w:val="a8"/>
            <w:noProof/>
          </w:rPr>
          <w:t>Подать необходимые документы на Биржу и заключить Договор об оказании услуг</w:t>
        </w:r>
        <w:r w:rsidR="00304C1B">
          <w:rPr>
            <w:noProof/>
            <w:webHidden/>
          </w:rPr>
          <w:tab/>
        </w:r>
        <w:r w:rsidR="00304C1B">
          <w:rPr>
            <w:noProof/>
            <w:webHidden/>
          </w:rPr>
          <w:fldChar w:fldCharType="begin"/>
        </w:r>
        <w:r w:rsidR="00304C1B">
          <w:rPr>
            <w:noProof/>
            <w:webHidden/>
          </w:rPr>
          <w:instrText xml:space="preserve"> PAGEREF _Toc93927654 \h </w:instrText>
        </w:r>
        <w:r w:rsidR="00304C1B">
          <w:rPr>
            <w:noProof/>
            <w:webHidden/>
          </w:rPr>
        </w:r>
        <w:r w:rsidR="00304C1B">
          <w:rPr>
            <w:noProof/>
            <w:webHidden/>
          </w:rPr>
          <w:fldChar w:fldCharType="separate"/>
        </w:r>
        <w:r w:rsidR="00304C1B">
          <w:rPr>
            <w:noProof/>
            <w:webHidden/>
          </w:rPr>
          <w:t>2</w:t>
        </w:r>
        <w:r w:rsidR="00304C1B">
          <w:rPr>
            <w:noProof/>
            <w:webHidden/>
          </w:rPr>
          <w:fldChar w:fldCharType="end"/>
        </w:r>
      </w:hyperlink>
    </w:p>
    <w:p w14:paraId="2762053D" w14:textId="77777777" w:rsidR="00304C1B" w:rsidRPr="00D509BF" w:rsidRDefault="00200B03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3927655" w:history="1">
        <w:r w:rsidR="00304C1B" w:rsidRPr="00D7508F">
          <w:rPr>
            <w:rStyle w:val="a8"/>
            <w:noProof/>
          </w:rPr>
          <w:t>Порядок оформления и предоставления документов на Биржу.</w:t>
        </w:r>
        <w:r w:rsidR="00304C1B">
          <w:rPr>
            <w:noProof/>
            <w:webHidden/>
          </w:rPr>
          <w:tab/>
        </w:r>
        <w:r w:rsidR="00304C1B">
          <w:rPr>
            <w:noProof/>
            <w:webHidden/>
          </w:rPr>
          <w:fldChar w:fldCharType="begin"/>
        </w:r>
        <w:r w:rsidR="00304C1B">
          <w:rPr>
            <w:noProof/>
            <w:webHidden/>
          </w:rPr>
          <w:instrText xml:space="preserve"> PAGEREF _Toc93927655 \h </w:instrText>
        </w:r>
        <w:r w:rsidR="00304C1B">
          <w:rPr>
            <w:noProof/>
            <w:webHidden/>
          </w:rPr>
        </w:r>
        <w:r w:rsidR="00304C1B">
          <w:rPr>
            <w:noProof/>
            <w:webHidden/>
          </w:rPr>
          <w:fldChar w:fldCharType="separate"/>
        </w:r>
        <w:r w:rsidR="00304C1B">
          <w:rPr>
            <w:noProof/>
            <w:webHidden/>
          </w:rPr>
          <w:t>2</w:t>
        </w:r>
        <w:r w:rsidR="00304C1B">
          <w:rPr>
            <w:noProof/>
            <w:webHidden/>
          </w:rPr>
          <w:fldChar w:fldCharType="end"/>
        </w:r>
      </w:hyperlink>
    </w:p>
    <w:p w14:paraId="766FB333" w14:textId="77777777" w:rsidR="00304C1B" w:rsidRPr="00D509BF" w:rsidRDefault="00200B03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3927660" w:history="1">
        <w:r w:rsidR="00304C1B" w:rsidRPr="00D7508F">
          <w:rPr>
            <w:rStyle w:val="a8"/>
            <w:iCs/>
            <w:noProof/>
          </w:rPr>
          <w:t>5.</w:t>
        </w:r>
        <w:r w:rsidR="00304C1B" w:rsidRPr="00D509BF">
          <w:rPr>
            <w:rFonts w:ascii="Calibri" w:hAnsi="Calibri"/>
            <w:noProof/>
            <w:sz w:val="22"/>
            <w:szCs w:val="22"/>
          </w:rPr>
          <w:tab/>
        </w:r>
        <w:r w:rsidR="00304C1B" w:rsidRPr="00D7508F">
          <w:rPr>
            <w:rStyle w:val="a8"/>
            <w:noProof/>
          </w:rPr>
          <w:t>Абонентская плата</w:t>
        </w:r>
        <w:r w:rsidR="00304C1B">
          <w:rPr>
            <w:noProof/>
            <w:webHidden/>
          </w:rPr>
          <w:tab/>
        </w:r>
        <w:r w:rsidR="00304C1B">
          <w:rPr>
            <w:noProof/>
            <w:webHidden/>
          </w:rPr>
          <w:fldChar w:fldCharType="begin"/>
        </w:r>
        <w:r w:rsidR="00304C1B">
          <w:rPr>
            <w:noProof/>
            <w:webHidden/>
          </w:rPr>
          <w:instrText xml:space="preserve"> PAGEREF _Toc93927660 \h </w:instrText>
        </w:r>
        <w:r w:rsidR="00304C1B">
          <w:rPr>
            <w:noProof/>
            <w:webHidden/>
          </w:rPr>
        </w:r>
        <w:r w:rsidR="00304C1B">
          <w:rPr>
            <w:noProof/>
            <w:webHidden/>
          </w:rPr>
          <w:fldChar w:fldCharType="separate"/>
        </w:r>
        <w:r w:rsidR="00304C1B">
          <w:rPr>
            <w:noProof/>
            <w:webHidden/>
          </w:rPr>
          <w:t>2</w:t>
        </w:r>
        <w:r w:rsidR="00304C1B">
          <w:rPr>
            <w:noProof/>
            <w:webHidden/>
          </w:rPr>
          <w:fldChar w:fldCharType="end"/>
        </w:r>
      </w:hyperlink>
    </w:p>
    <w:p w14:paraId="363A94A7" w14:textId="77777777" w:rsidR="00304C1B" w:rsidRPr="00D509BF" w:rsidRDefault="00200B03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3927661" w:history="1">
        <w:r w:rsidR="00304C1B" w:rsidRPr="00D7508F">
          <w:rPr>
            <w:rStyle w:val="a8"/>
            <w:iCs/>
            <w:noProof/>
          </w:rPr>
          <w:t>6.</w:t>
        </w:r>
        <w:r w:rsidR="00304C1B" w:rsidRPr="00D509BF">
          <w:rPr>
            <w:rFonts w:ascii="Calibri" w:hAnsi="Calibri"/>
            <w:noProof/>
            <w:sz w:val="22"/>
            <w:szCs w:val="22"/>
          </w:rPr>
          <w:tab/>
        </w:r>
        <w:r w:rsidR="00304C1B" w:rsidRPr="00D7508F">
          <w:rPr>
            <w:rStyle w:val="a8"/>
            <w:noProof/>
          </w:rPr>
          <w:t>Допуск к торгам</w:t>
        </w:r>
        <w:r w:rsidR="00304C1B">
          <w:rPr>
            <w:noProof/>
            <w:webHidden/>
          </w:rPr>
          <w:tab/>
        </w:r>
        <w:r w:rsidR="00304C1B">
          <w:rPr>
            <w:noProof/>
            <w:webHidden/>
          </w:rPr>
          <w:fldChar w:fldCharType="begin"/>
        </w:r>
        <w:r w:rsidR="00304C1B">
          <w:rPr>
            <w:noProof/>
            <w:webHidden/>
          </w:rPr>
          <w:instrText xml:space="preserve"> PAGEREF _Toc93927661 \h </w:instrText>
        </w:r>
        <w:r w:rsidR="00304C1B">
          <w:rPr>
            <w:noProof/>
            <w:webHidden/>
          </w:rPr>
        </w:r>
        <w:r w:rsidR="00304C1B">
          <w:rPr>
            <w:noProof/>
            <w:webHidden/>
          </w:rPr>
          <w:fldChar w:fldCharType="separate"/>
        </w:r>
        <w:r w:rsidR="00304C1B">
          <w:rPr>
            <w:noProof/>
            <w:webHidden/>
          </w:rPr>
          <w:t>2</w:t>
        </w:r>
        <w:r w:rsidR="00304C1B">
          <w:rPr>
            <w:noProof/>
            <w:webHidden/>
          </w:rPr>
          <w:fldChar w:fldCharType="end"/>
        </w:r>
      </w:hyperlink>
    </w:p>
    <w:p w14:paraId="00659E84" w14:textId="77777777" w:rsidR="00304C1B" w:rsidRPr="00D509BF" w:rsidRDefault="00200B03">
      <w:pPr>
        <w:pStyle w:val="11"/>
        <w:tabs>
          <w:tab w:val="left" w:pos="440"/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93927662" w:history="1">
        <w:r w:rsidR="00304C1B" w:rsidRPr="00D7508F">
          <w:rPr>
            <w:rStyle w:val="a8"/>
            <w:iCs/>
            <w:noProof/>
          </w:rPr>
          <w:t>7.</w:t>
        </w:r>
        <w:r w:rsidR="00304C1B" w:rsidRPr="00D509BF">
          <w:rPr>
            <w:rFonts w:ascii="Calibri" w:hAnsi="Calibri"/>
            <w:noProof/>
            <w:sz w:val="22"/>
            <w:szCs w:val="22"/>
          </w:rPr>
          <w:tab/>
        </w:r>
        <w:r w:rsidR="00304C1B" w:rsidRPr="00D7508F">
          <w:rPr>
            <w:rStyle w:val="a8"/>
            <w:noProof/>
          </w:rPr>
          <w:t>Гарантийный взнос</w:t>
        </w:r>
        <w:r w:rsidR="00304C1B">
          <w:rPr>
            <w:noProof/>
            <w:webHidden/>
          </w:rPr>
          <w:tab/>
        </w:r>
        <w:r w:rsidR="00304C1B">
          <w:rPr>
            <w:noProof/>
            <w:webHidden/>
          </w:rPr>
          <w:fldChar w:fldCharType="begin"/>
        </w:r>
        <w:r w:rsidR="00304C1B">
          <w:rPr>
            <w:noProof/>
            <w:webHidden/>
          </w:rPr>
          <w:instrText xml:space="preserve"> PAGEREF _Toc93927662 \h </w:instrText>
        </w:r>
        <w:r w:rsidR="00304C1B">
          <w:rPr>
            <w:noProof/>
            <w:webHidden/>
          </w:rPr>
        </w:r>
        <w:r w:rsidR="00304C1B">
          <w:rPr>
            <w:noProof/>
            <w:webHidden/>
          </w:rPr>
          <w:fldChar w:fldCharType="separate"/>
        </w:r>
        <w:r w:rsidR="00304C1B">
          <w:rPr>
            <w:noProof/>
            <w:webHidden/>
          </w:rPr>
          <w:t>3</w:t>
        </w:r>
        <w:r w:rsidR="00304C1B">
          <w:rPr>
            <w:noProof/>
            <w:webHidden/>
          </w:rPr>
          <w:fldChar w:fldCharType="end"/>
        </w:r>
      </w:hyperlink>
    </w:p>
    <w:p w14:paraId="557EEB3E" w14:textId="77777777" w:rsidR="00EF0077" w:rsidRPr="0091130C" w:rsidRDefault="009B5918" w:rsidP="0091130C">
      <w:r>
        <w:rPr>
          <w:b/>
          <w:bCs/>
        </w:rPr>
        <w:fldChar w:fldCharType="end"/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0"/>
        <w:gridCol w:w="1430"/>
      </w:tblGrid>
      <w:tr w:rsidR="000B61C7" w:rsidRPr="001510F0" w14:paraId="67FC004D" w14:textId="77777777" w:rsidTr="006C5259">
        <w:tc>
          <w:tcPr>
            <w:tcW w:w="9540" w:type="dxa"/>
            <w:gridSpan w:val="2"/>
          </w:tcPr>
          <w:p w14:paraId="011399B2" w14:textId="77777777" w:rsidR="000B61C7" w:rsidRPr="006850DC" w:rsidRDefault="0091130C" w:rsidP="00AD3575">
            <w:pPr>
              <w:pStyle w:val="a1"/>
              <w:rPr>
                <w:sz w:val="28"/>
                <w:szCs w:val="28"/>
              </w:rPr>
            </w:pPr>
            <w:bookmarkStart w:id="0" w:name="_Toc93927651"/>
            <w:r w:rsidRPr="006850DC">
              <w:rPr>
                <w:sz w:val="28"/>
                <w:szCs w:val="28"/>
              </w:rPr>
              <w:t xml:space="preserve">Ознакомиться с нормативными документами. </w:t>
            </w:r>
            <w:r w:rsidR="000B61C7" w:rsidRPr="006850DC">
              <w:rPr>
                <w:sz w:val="28"/>
                <w:szCs w:val="28"/>
              </w:rPr>
              <w:t>Общие положения</w:t>
            </w:r>
            <w:r w:rsidRPr="006850DC">
              <w:rPr>
                <w:sz w:val="28"/>
                <w:szCs w:val="28"/>
              </w:rPr>
              <w:t>.</w:t>
            </w:r>
            <w:bookmarkEnd w:id="0"/>
          </w:p>
        </w:tc>
      </w:tr>
      <w:tr w:rsidR="00173A69" w:rsidRPr="00B3704A" w14:paraId="6D7F0796" w14:textId="77777777" w:rsidTr="00355809">
        <w:tc>
          <w:tcPr>
            <w:tcW w:w="8110" w:type="dxa"/>
            <w:tcBorders>
              <w:right w:val="nil"/>
            </w:tcBorders>
          </w:tcPr>
          <w:p w14:paraId="49A4847B" w14:textId="7426C4A5" w:rsidR="00173A69" w:rsidRDefault="00173A69" w:rsidP="006850DC">
            <w:pPr>
              <w:pStyle w:val="210"/>
              <w:ind w:firstLine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0A2">
              <w:rPr>
                <w:rFonts w:ascii="Times New Roman" w:hAnsi="Times New Roman"/>
                <w:sz w:val="24"/>
                <w:szCs w:val="24"/>
              </w:rPr>
              <w:t>Документы, предоставляемые Кандидатом/Участником торгов, должны быть действительными на дату их предъявления Бирже.</w:t>
            </w:r>
          </w:p>
          <w:p w14:paraId="477B4750" w14:textId="6B4444D8" w:rsidR="00173A69" w:rsidRDefault="00041C66" w:rsidP="006850DC">
            <w:pPr>
              <w:pStyle w:val="210"/>
              <w:ind w:firstLine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нормативные</w:t>
            </w:r>
            <w:r w:rsidR="006C41B1">
              <w:rPr>
                <w:rFonts w:ascii="Times New Roman" w:hAnsi="Times New Roman"/>
                <w:sz w:val="24"/>
                <w:szCs w:val="24"/>
              </w:rPr>
              <w:t xml:space="preserve"> документы</w:t>
            </w:r>
            <w:r w:rsidR="00355809">
              <w:rPr>
                <w:rFonts w:ascii="Times New Roman" w:hAnsi="Times New Roman"/>
                <w:sz w:val="24"/>
                <w:szCs w:val="24"/>
              </w:rPr>
              <w:t>,</w:t>
            </w:r>
            <w:r w:rsidR="006C41B1">
              <w:rPr>
                <w:rFonts w:ascii="Times New Roman" w:hAnsi="Times New Roman"/>
                <w:sz w:val="24"/>
                <w:szCs w:val="24"/>
              </w:rPr>
              <w:t xml:space="preserve"> а также</w:t>
            </w:r>
            <w:r w:rsidR="00355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1B1">
              <w:rPr>
                <w:rFonts w:ascii="Times New Roman" w:hAnsi="Times New Roman"/>
                <w:sz w:val="24"/>
                <w:szCs w:val="24"/>
              </w:rPr>
              <w:t>формы документов и заявлений:</w:t>
            </w:r>
          </w:p>
          <w:p w14:paraId="4EFE2F68" w14:textId="35120FE6" w:rsidR="006C41B1" w:rsidRDefault="00200B03" w:rsidP="00656FE4">
            <w:pPr>
              <w:pStyle w:val="210"/>
              <w:ind w:firstLine="60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C41B1" w:rsidRPr="006C41B1">
                <w:rPr>
                  <w:rStyle w:val="a8"/>
                  <w:rFonts w:ascii="Times New Roman" w:hAnsi="Times New Roman"/>
                  <w:sz w:val="24"/>
                  <w:szCs w:val="24"/>
                </w:rPr>
                <w:t>Нормативные документы - Национальная Товарная Биржа (namex.org)</w:t>
              </w:r>
            </w:hyperlink>
          </w:p>
          <w:p w14:paraId="4E53FE90" w14:textId="6A85D061" w:rsidR="00173A69" w:rsidRDefault="00173A69" w:rsidP="0098386E">
            <w:pPr>
              <w:pStyle w:val="210"/>
              <w:ind w:firstLine="6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nil"/>
            </w:tcBorders>
          </w:tcPr>
          <w:p w14:paraId="5F6B9FBA" w14:textId="3622DC51" w:rsidR="0098386E" w:rsidRPr="00173A69" w:rsidRDefault="0098386E" w:rsidP="0098386E">
            <w:pPr>
              <w:pStyle w:val="210"/>
              <w:ind w:firstLine="0"/>
              <w:jc w:val="both"/>
              <w:rPr>
                <w:b/>
                <w:bCs/>
                <w:sz w:val="20"/>
              </w:rPr>
            </w:pPr>
          </w:p>
          <w:p w14:paraId="2F83C73C" w14:textId="09003C52" w:rsidR="00173A69" w:rsidRPr="00173A69" w:rsidRDefault="00173A69" w:rsidP="00173A6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B5918" w:rsidRPr="00B3704A" w14:paraId="308AC367" w14:textId="77777777" w:rsidTr="006C5259">
        <w:tc>
          <w:tcPr>
            <w:tcW w:w="9540" w:type="dxa"/>
            <w:gridSpan w:val="2"/>
          </w:tcPr>
          <w:p w14:paraId="3D52E793" w14:textId="05A627D4" w:rsidR="009B5918" w:rsidRPr="00713498" w:rsidRDefault="008E3C62" w:rsidP="00AD3575">
            <w:pPr>
              <w:pStyle w:val="a1"/>
              <w:rPr>
                <w:sz w:val="24"/>
              </w:rPr>
            </w:pPr>
            <w:bookmarkStart w:id="1" w:name="_Toc93927652"/>
            <w:r w:rsidRPr="006850DC">
              <w:rPr>
                <w:sz w:val="28"/>
                <w:szCs w:val="28"/>
              </w:rPr>
              <w:t>Подать необходимые документы Агенту и получить подтверждение статуса в соответствующей категории</w:t>
            </w:r>
            <w:r w:rsidRPr="00713498">
              <w:t xml:space="preserve"> </w:t>
            </w:r>
            <w:r w:rsidRPr="00713498">
              <w:rPr>
                <w:i/>
                <w:iCs/>
                <w:sz w:val="20"/>
                <w:szCs w:val="20"/>
              </w:rPr>
              <w:t>(Предоставление документов Агенту)</w:t>
            </w:r>
            <w:bookmarkEnd w:id="1"/>
          </w:p>
        </w:tc>
      </w:tr>
      <w:tr w:rsidR="00D13F4D" w:rsidRPr="001510F0" w14:paraId="612743B7" w14:textId="77777777" w:rsidTr="00355809">
        <w:tc>
          <w:tcPr>
            <w:tcW w:w="8110" w:type="dxa"/>
          </w:tcPr>
          <w:p w14:paraId="56770774" w14:textId="77777777" w:rsidR="00D13F4D" w:rsidRPr="006850DC" w:rsidRDefault="00D13F4D" w:rsidP="000F43E1">
            <w:pPr>
              <w:ind w:firstLine="540"/>
              <w:jc w:val="both"/>
            </w:pPr>
            <w:r w:rsidRPr="006850DC">
              <w:t>1. Предоставить комплект документов Агенту в соответствии с:</w:t>
            </w:r>
          </w:p>
          <w:p w14:paraId="7260B0E2" w14:textId="5CF0EA7A" w:rsidR="00D13F4D" w:rsidRPr="006850DC" w:rsidRDefault="00D13F4D" w:rsidP="002F548C">
            <w:pPr>
              <w:numPr>
                <w:ilvl w:val="0"/>
                <w:numId w:val="33"/>
              </w:numPr>
              <w:jc w:val="both"/>
            </w:pPr>
            <w:r w:rsidRPr="006850DC">
              <w:rPr>
                <w:b/>
                <w:bCs/>
              </w:rPr>
              <w:t>Приложением №01</w:t>
            </w:r>
            <w:r w:rsidRPr="006850DC">
              <w:t xml:space="preserve"> для Кандидата в Участники аукционов </w:t>
            </w:r>
          </w:p>
          <w:p w14:paraId="026EB9C7" w14:textId="26E5D2CE" w:rsidR="00D13F4D" w:rsidRPr="006850DC" w:rsidRDefault="00D13F4D" w:rsidP="000F43E1">
            <w:pPr>
              <w:ind w:firstLine="540"/>
              <w:jc w:val="both"/>
            </w:pPr>
            <w:r w:rsidRPr="006850DC">
              <w:t xml:space="preserve">2. </w:t>
            </w:r>
            <w:r w:rsidR="00EF2EE9" w:rsidRPr="006850DC">
              <w:t>Порядок предоставления документов описан в Приложени</w:t>
            </w:r>
            <w:r w:rsidR="002F548C" w:rsidRPr="006850DC">
              <w:t>и</w:t>
            </w:r>
            <w:r w:rsidR="00EF2EE9" w:rsidRPr="006850DC">
              <w:t xml:space="preserve"> №01</w:t>
            </w:r>
            <w:r w:rsidR="002F548C" w:rsidRPr="006850DC">
              <w:t xml:space="preserve"> </w:t>
            </w:r>
            <w:r w:rsidR="00EF2EE9" w:rsidRPr="006850DC">
              <w:t>и может быть предоставлен одним из следующих способов:</w:t>
            </w:r>
          </w:p>
          <w:p w14:paraId="6CD9BB84" w14:textId="77777777" w:rsidR="00EF2EE9" w:rsidRPr="006850DC" w:rsidRDefault="00EF2EE9" w:rsidP="0004254E">
            <w:pPr>
              <w:numPr>
                <w:ilvl w:val="0"/>
                <w:numId w:val="35"/>
              </w:numPr>
              <w:jc w:val="both"/>
            </w:pPr>
            <w:r w:rsidRPr="006850DC">
              <w:t>Документы на бумажном носителе по адресу Агента;</w:t>
            </w:r>
          </w:p>
          <w:p w14:paraId="77FBA7F2" w14:textId="056C4614" w:rsidR="00EF2EE9" w:rsidRDefault="00EF2EE9" w:rsidP="0004254E">
            <w:pPr>
              <w:pStyle w:val="Default"/>
              <w:numPr>
                <w:ilvl w:val="0"/>
                <w:numId w:val="35"/>
              </w:numPr>
              <w:spacing w:after="158"/>
              <w:jc w:val="both"/>
            </w:pPr>
            <w:r w:rsidRPr="006850DC">
              <w:t xml:space="preserve">Документы в электронном виде на электронный адрес </w:t>
            </w:r>
            <w:hyperlink r:id="rId9" w:history="1">
              <w:r w:rsidRPr="006850DC">
                <w:rPr>
                  <w:rStyle w:val="a8"/>
                  <w:lang w:val="en-US"/>
                </w:rPr>
                <w:t>I</w:t>
              </w:r>
              <w:r w:rsidRPr="006850DC">
                <w:rPr>
                  <w:rStyle w:val="a8"/>
                </w:rPr>
                <w:t>nterventions@moex.com</w:t>
              </w:r>
            </w:hyperlink>
            <w:r w:rsidR="0004254E" w:rsidRPr="006850DC">
              <w:t xml:space="preserve"> с отметкой</w:t>
            </w:r>
            <w:r w:rsidR="006C41B1" w:rsidRPr="006850DC">
              <w:t xml:space="preserve"> в теме письма</w:t>
            </w:r>
            <w:r w:rsidR="0004254E" w:rsidRPr="006850DC">
              <w:t xml:space="preserve">: </w:t>
            </w:r>
            <w:r w:rsidR="0004254E" w:rsidRPr="006850DC">
              <w:rPr>
                <w:b/>
                <w:bCs/>
              </w:rPr>
              <w:t>«Комплект документов для АГЕНТА</w:t>
            </w:r>
            <w:r w:rsidR="006C41B1" w:rsidRPr="006850DC">
              <w:rPr>
                <w:b/>
                <w:bCs/>
              </w:rPr>
              <w:t xml:space="preserve"> Наименование  организации</w:t>
            </w:r>
            <w:r w:rsidR="0004254E" w:rsidRPr="006850DC">
              <w:rPr>
                <w:b/>
                <w:bCs/>
              </w:rPr>
              <w:t xml:space="preserve">» </w:t>
            </w:r>
            <w:r w:rsidR="0004254E" w:rsidRPr="006850DC">
              <w:t>в соответствии с</w:t>
            </w:r>
            <w:r w:rsidR="0004254E" w:rsidRPr="006850DC">
              <w:rPr>
                <w:b/>
                <w:bCs/>
              </w:rPr>
              <w:t xml:space="preserve"> </w:t>
            </w:r>
            <w:r w:rsidR="0004254E" w:rsidRPr="006850DC">
              <w:t xml:space="preserve">порядком </w:t>
            </w:r>
            <w:r w:rsidR="002F548C" w:rsidRPr="006850DC">
              <w:t>предоставления документов.</w:t>
            </w:r>
          </w:p>
        </w:tc>
        <w:bookmarkStart w:id="2" w:name="_MON_1705472180"/>
        <w:bookmarkEnd w:id="2"/>
        <w:tc>
          <w:tcPr>
            <w:tcW w:w="1430" w:type="dxa"/>
          </w:tcPr>
          <w:p w14:paraId="3CCF4F11" w14:textId="774CD76F" w:rsidR="002F548C" w:rsidRDefault="00196C14" w:rsidP="00D13F4D">
            <w:pPr>
              <w:ind w:left="-106"/>
              <w:jc w:val="both"/>
            </w:pPr>
            <w:r>
              <w:object w:dxaOrig="1546" w:dyaOrig="1001" w14:anchorId="59F1B8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49" type="#_x0000_t75" style="width:77.25pt;height:50.25pt" o:ole="">
                  <v:imagedata r:id="rId10" o:title=""/>
                </v:shape>
                <o:OLEObject Type="Embed" ProgID="Word.Document.8" ShapeID="_x0000_i1549" DrawAspect="Icon" ObjectID="_1705741263" r:id="rId11">
                  <o:FieldCodes>\s</o:FieldCodes>
                </o:OLEObject>
              </w:object>
            </w:r>
          </w:p>
          <w:p w14:paraId="533F4BCF" w14:textId="04D12708" w:rsidR="002F548C" w:rsidRDefault="002F548C" w:rsidP="002F548C">
            <w:pPr>
              <w:ind w:left="-106"/>
              <w:jc w:val="both"/>
            </w:pPr>
          </w:p>
          <w:p w14:paraId="73633828" w14:textId="77777777" w:rsidR="002F548C" w:rsidRDefault="002F548C" w:rsidP="00D13F4D">
            <w:pPr>
              <w:ind w:left="-106"/>
              <w:jc w:val="both"/>
            </w:pPr>
          </w:p>
          <w:bookmarkStart w:id="3" w:name="_MON_1704540008"/>
          <w:bookmarkEnd w:id="3"/>
          <w:p w14:paraId="0C66DC8A" w14:textId="048531B9" w:rsidR="002F548C" w:rsidRPr="00664F0A" w:rsidRDefault="00196C14" w:rsidP="00D13F4D">
            <w:pPr>
              <w:ind w:left="-106"/>
              <w:jc w:val="both"/>
            </w:pPr>
            <w:r>
              <w:object w:dxaOrig="1538" w:dyaOrig="993" w14:anchorId="497741D3">
                <v:shape id="_x0000_i1550" type="#_x0000_t75" style="width:77.25pt;height:49.5pt" o:ole="">
                  <v:imagedata r:id="rId12" o:title=""/>
                </v:shape>
                <o:OLEObject Type="Embed" ProgID="Word.Document.12" ShapeID="_x0000_i1550" DrawAspect="Icon" ObjectID="_1705741264" r:id="rId13">
                  <o:FieldCodes>\s</o:FieldCodes>
                </o:OLEObject>
              </w:object>
            </w:r>
          </w:p>
        </w:tc>
      </w:tr>
      <w:tr w:rsidR="000B61C7" w:rsidRPr="001510F0" w14:paraId="7290D0ED" w14:textId="77777777" w:rsidTr="006C5259">
        <w:tc>
          <w:tcPr>
            <w:tcW w:w="9540" w:type="dxa"/>
            <w:gridSpan w:val="2"/>
          </w:tcPr>
          <w:p w14:paraId="31B47247" w14:textId="385B8E72" w:rsidR="000B61C7" w:rsidRPr="006850DC" w:rsidRDefault="008E3C62" w:rsidP="006850DC">
            <w:pPr>
              <w:pStyle w:val="a1"/>
              <w:jc w:val="both"/>
              <w:rPr>
                <w:i/>
                <w:sz w:val="28"/>
                <w:szCs w:val="28"/>
              </w:rPr>
            </w:pPr>
            <w:bookmarkStart w:id="4" w:name="_Порядок_оформления_и"/>
            <w:bookmarkStart w:id="5" w:name="_Toc93927654"/>
            <w:bookmarkStart w:id="6" w:name="_Toc106193331"/>
            <w:bookmarkStart w:id="7" w:name="_Toc106788623"/>
            <w:bookmarkStart w:id="8" w:name="_Toc107305655"/>
            <w:bookmarkStart w:id="9" w:name="_Toc244491782"/>
            <w:bookmarkStart w:id="10" w:name="_Toc280276926"/>
            <w:bookmarkStart w:id="11" w:name="_Toc409452452"/>
            <w:bookmarkStart w:id="12" w:name="_Toc507575445"/>
            <w:bookmarkEnd w:id="4"/>
            <w:r w:rsidRPr="006850DC">
              <w:rPr>
                <w:sz w:val="28"/>
                <w:szCs w:val="28"/>
              </w:rPr>
              <w:t>Подать необходимые документы на Биржу</w:t>
            </w:r>
            <w:r w:rsidR="00B911F1" w:rsidRPr="006850DC">
              <w:rPr>
                <w:sz w:val="28"/>
                <w:szCs w:val="28"/>
              </w:rPr>
              <w:t>,</w:t>
            </w:r>
            <w:r w:rsidRPr="006850DC">
              <w:rPr>
                <w:sz w:val="28"/>
                <w:szCs w:val="28"/>
              </w:rPr>
              <w:t xml:space="preserve"> заключить 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="006850DC" w:rsidRPr="006850DC">
              <w:rPr>
                <w:sz w:val="28"/>
                <w:szCs w:val="28"/>
              </w:rPr>
              <w:t xml:space="preserve">Договор об оказании услуг по проведению организованных торгов </w:t>
            </w:r>
            <w:r w:rsidR="00B911F1" w:rsidRPr="006850DC">
              <w:rPr>
                <w:sz w:val="28"/>
                <w:szCs w:val="28"/>
              </w:rPr>
              <w:t xml:space="preserve">и Лицензионный договор на использование программного обеспечения «MICEX Trade </w:t>
            </w:r>
            <w:proofErr w:type="spellStart"/>
            <w:r w:rsidR="00B911F1" w:rsidRPr="006850DC">
              <w:rPr>
                <w:sz w:val="28"/>
                <w:szCs w:val="28"/>
              </w:rPr>
              <w:t>Auction</w:t>
            </w:r>
            <w:proofErr w:type="spellEnd"/>
            <w:r w:rsidR="00B911F1" w:rsidRPr="006850DC">
              <w:rPr>
                <w:sz w:val="28"/>
                <w:szCs w:val="28"/>
              </w:rPr>
              <w:t>»</w:t>
            </w:r>
          </w:p>
        </w:tc>
      </w:tr>
      <w:tr w:rsidR="00F51AB3" w:rsidRPr="001510F0" w14:paraId="0268325A" w14:textId="77777777" w:rsidTr="00F51AB3">
        <w:trPr>
          <w:trHeight w:val="1926"/>
        </w:trPr>
        <w:tc>
          <w:tcPr>
            <w:tcW w:w="9540" w:type="dxa"/>
            <w:gridSpan w:val="2"/>
          </w:tcPr>
          <w:p w14:paraId="38AC1636" w14:textId="77777777" w:rsidR="00F51AB3" w:rsidRPr="006850DC" w:rsidRDefault="00F51AB3" w:rsidP="00F51AB3">
            <w:pPr>
              <w:pStyle w:val="1"/>
              <w:ind w:left="360"/>
              <w:rPr>
                <w:rFonts w:ascii="Times New Roman" w:hAnsi="Times New Roman"/>
              </w:rPr>
            </w:pPr>
            <w:bookmarkStart w:id="13" w:name="_Toc93927655"/>
            <w:r w:rsidRPr="006850DC">
              <w:rPr>
                <w:rFonts w:ascii="Times New Roman" w:hAnsi="Times New Roman"/>
              </w:rPr>
              <w:t>Порядок оформления и предоставления документов на Биржу.</w:t>
            </w:r>
            <w:bookmarkEnd w:id="13"/>
          </w:p>
          <w:p w14:paraId="3CDCEC76" w14:textId="60D24605" w:rsidR="00B911F1" w:rsidRPr="00713498" w:rsidRDefault="00F51AB3" w:rsidP="002A4B26">
            <w:pPr>
              <w:overflowPunct w:val="0"/>
              <w:autoSpaceDE w:val="0"/>
              <w:autoSpaceDN w:val="0"/>
              <w:adjustRightInd w:val="0"/>
              <w:ind w:left="709"/>
              <w:jc w:val="both"/>
              <w:textAlignment w:val="baseline"/>
            </w:pPr>
            <w:r w:rsidRPr="006850DC">
              <w:t>Документы, предоставляемые Кандидатом на Биржу, оформляются на государственном языке Российской Федерации, подписываются уполномоченным лицом, документы в бумажной форме заверяются печатью (при наличии). Помарки и исправления в документах не допускаются.</w:t>
            </w:r>
          </w:p>
        </w:tc>
      </w:tr>
      <w:tr w:rsidR="00F51AB3" w:rsidRPr="001510F0" w14:paraId="163A2842" w14:textId="77777777" w:rsidTr="00355809">
        <w:trPr>
          <w:hidden/>
        </w:trPr>
        <w:tc>
          <w:tcPr>
            <w:tcW w:w="8110" w:type="dxa"/>
          </w:tcPr>
          <w:p w14:paraId="7260651C" w14:textId="77777777" w:rsidR="00F51AB3" w:rsidRPr="00713498" w:rsidRDefault="00F51AB3" w:rsidP="006C5259">
            <w:pPr>
              <w:pStyle w:val="ad"/>
              <w:keepNext/>
              <w:numPr>
                <w:ilvl w:val="0"/>
                <w:numId w:val="28"/>
              </w:numPr>
              <w:spacing w:before="240" w:after="60"/>
              <w:outlineLvl w:val="0"/>
              <w:rPr>
                <w:rFonts w:ascii="Calibri Light" w:hAnsi="Calibri Light"/>
                <w:b/>
                <w:vanish/>
                <w:kern w:val="32"/>
                <w:sz w:val="28"/>
                <w:szCs w:val="32"/>
              </w:rPr>
            </w:pPr>
            <w:bookmarkStart w:id="14" w:name="_Toc93922401"/>
            <w:bookmarkStart w:id="15" w:name="_Toc93924942"/>
            <w:bookmarkStart w:id="16" w:name="_Toc93927656"/>
            <w:bookmarkEnd w:id="14"/>
            <w:bookmarkEnd w:id="15"/>
            <w:bookmarkEnd w:id="16"/>
          </w:p>
          <w:p w14:paraId="7713C8C6" w14:textId="77777777" w:rsidR="00F51AB3" w:rsidRPr="00713498" w:rsidRDefault="00F51AB3" w:rsidP="006C5259">
            <w:pPr>
              <w:pStyle w:val="ad"/>
              <w:keepNext/>
              <w:numPr>
                <w:ilvl w:val="0"/>
                <w:numId w:val="28"/>
              </w:numPr>
              <w:spacing w:before="240" w:after="60"/>
              <w:outlineLvl w:val="0"/>
              <w:rPr>
                <w:rFonts w:ascii="Calibri Light" w:hAnsi="Calibri Light"/>
                <w:b/>
                <w:vanish/>
                <w:kern w:val="32"/>
                <w:sz w:val="28"/>
                <w:szCs w:val="32"/>
              </w:rPr>
            </w:pPr>
            <w:bookmarkStart w:id="17" w:name="_Toc93922402"/>
            <w:bookmarkStart w:id="18" w:name="_Toc93924943"/>
            <w:bookmarkStart w:id="19" w:name="_Toc93927657"/>
            <w:bookmarkEnd w:id="17"/>
            <w:bookmarkEnd w:id="18"/>
            <w:bookmarkEnd w:id="19"/>
          </w:p>
          <w:p w14:paraId="4D0A5089" w14:textId="77777777" w:rsidR="00F51AB3" w:rsidRPr="00713498" w:rsidRDefault="00F51AB3" w:rsidP="006C5259">
            <w:pPr>
              <w:pStyle w:val="ad"/>
              <w:keepNext/>
              <w:numPr>
                <w:ilvl w:val="0"/>
                <w:numId w:val="28"/>
              </w:numPr>
              <w:spacing w:before="240" w:after="60"/>
              <w:outlineLvl w:val="0"/>
              <w:rPr>
                <w:rFonts w:ascii="Calibri Light" w:hAnsi="Calibri Light"/>
                <w:b/>
                <w:vanish/>
                <w:kern w:val="32"/>
                <w:sz w:val="28"/>
                <w:szCs w:val="32"/>
              </w:rPr>
            </w:pPr>
            <w:bookmarkStart w:id="20" w:name="_Toc93922403"/>
            <w:bookmarkStart w:id="21" w:name="_Toc93924944"/>
            <w:bookmarkStart w:id="22" w:name="_Toc93927658"/>
            <w:bookmarkEnd w:id="20"/>
            <w:bookmarkEnd w:id="21"/>
            <w:bookmarkEnd w:id="22"/>
          </w:p>
          <w:p w14:paraId="1FC0744F" w14:textId="77777777" w:rsidR="00F51AB3" w:rsidRPr="00713498" w:rsidRDefault="00F51AB3" w:rsidP="006C5259">
            <w:pPr>
              <w:pStyle w:val="ad"/>
              <w:keepNext/>
              <w:numPr>
                <w:ilvl w:val="0"/>
                <w:numId w:val="28"/>
              </w:numPr>
              <w:spacing w:before="240" w:after="60"/>
              <w:outlineLvl w:val="0"/>
              <w:rPr>
                <w:rFonts w:ascii="Calibri Light" w:hAnsi="Calibri Light"/>
                <w:b/>
                <w:vanish/>
                <w:kern w:val="32"/>
                <w:sz w:val="28"/>
                <w:szCs w:val="32"/>
              </w:rPr>
            </w:pPr>
            <w:bookmarkStart w:id="23" w:name="_Toc93922404"/>
            <w:bookmarkStart w:id="24" w:name="_Toc93924945"/>
            <w:bookmarkStart w:id="25" w:name="_Toc93927659"/>
            <w:bookmarkEnd w:id="23"/>
            <w:bookmarkEnd w:id="24"/>
            <w:bookmarkEnd w:id="25"/>
          </w:p>
          <w:p w14:paraId="48289270" w14:textId="166BD4CB" w:rsidR="00630867" w:rsidRDefault="00630867" w:rsidP="00F51AB3">
            <w:pPr>
              <w:overflowPunct w:val="0"/>
              <w:autoSpaceDE w:val="0"/>
              <w:autoSpaceDN w:val="0"/>
              <w:adjustRightInd w:val="0"/>
              <w:ind w:left="709"/>
              <w:jc w:val="both"/>
              <w:textAlignment w:val="baseline"/>
            </w:pPr>
            <w:r>
              <w:t>Кандидату необходимо предоставить:</w:t>
            </w:r>
          </w:p>
          <w:p w14:paraId="35B0E9C3" w14:textId="406A5E62" w:rsidR="002A4B26" w:rsidRPr="00E33678" w:rsidRDefault="00E33678" w:rsidP="00F51AB3">
            <w:pPr>
              <w:overflowPunct w:val="0"/>
              <w:autoSpaceDE w:val="0"/>
              <w:autoSpaceDN w:val="0"/>
              <w:adjustRightInd w:val="0"/>
              <w:ind w:left="709"/>
              <w:jc w:val="both"/>
              <w:textAlignment w:val="baseline"/>
              <w:rPr>
                <w:b/>
                <w:bCs/>
              </w:rPr>
            </w:pPr>
            <w:r>
              <w:t>1</w:t>
            </w:r>
            <w:r w:rsidR="00630867">
              <w:t>.</w:t>
            </w:r>
            <w:r>
              <w:t xml:space="preserve"> </w:t>
            </w:r>
            <w:r w:rsidR="008C3676">
              <w:t xml:space="preserve">    </w:t>
            </w:r>
            <w:r w:rsidR="00F51AB3" w:rsidRPr="00E33678">
              <w:t xml:space="preserve">Комплект документов в соответствии с </w:t>
            </w:r>
            <w:r w:rsidR="00F51AB3" w:rsidRPr="00E33678">
              <w:rPr>
                <w:b/>
                <w:bCs/>
              </w:rPr>
              <w:t>Приложением №02</w:t>
            </w:r>
            <w:r w:rsidR="002A4B26" w:rsidRPr="00E33678">
              <w:rPr>
                <w:b/>
                <w:bCs/>
              </w:rPr>
              <w:t>;</w:t>
            </w:r>
          </w:p>
          <w:p w14:paraId="1C80558A" w14:textId="392536D2" w:rsidR="002A4B26" w:rsidRPr="00E33678" w:rsidRDefault="00E33678" w:rsidP="00F51AB3">
            <w:pPr>
              <w:overflowPunct w:val="0"/>
              <w:autoSpaceDE w:val="0"/>
              <w:autoSpaceDN w:val="0"/>
              <w:adjustRightInd w:val="0"/>
              <w:ind w:left="709"/>
              <w:jc w:val="both"/>
              <w:textAlignment w:val="baseline"/>
              <w:rPr>
                <w:color w:val="333333"/>
              </w:rPr>
            </w:pPr>
            <w:r>
              <w:t>2</w:t>
            </w:r>
            <w:r w:rsidR="00630867">
              <w:t>.</w:t>
            </w:r>
            <w:r w:rsidR="008C3676">
              <w:t xml:space="preserve"> </w:t>
            </w:r>
            <w:hyperlink r:id="rId14" w:tooltip="Перейти" w:history="1">
              <w:r w:rsidR="00B911F1" w:rsidRPr="00E33678">
                <w:rPr>
                  <w:rStyle w:val="a8"/>
                  <w:b/>
                  <w:bCs/>
                </w:rPr>
                <w:t xml:space="preserve">Лицензионный договор «MICEX Trade </w:t>
              </w:r>
              <w:proofErr w:type="spellStart"/>
              <w:r w:rsidR="00B911F1" w:rsidRPr="00E33678">
                <w:rPr>
                  <w:rStyle w:val="a8"/>
                  <w:b/>
                  <w:bCs/>
                </w:rPr>
                <w:t>Auction</w:t>
              </w:r>
              <w:proofErr w:type="spellEnd"/>
              <w:r w:rsidR="00B911F1" w:rsidRPr="00E33678">
                <w:rPr>
                  <w:rStyle w:val="a8"/>
                  <w:b/>
                  <w:bCs/>
                </w:rPr>
                <w:t>»</w:t>
              </w:r>
            </w:hyperlink>
            <w:r w:rsidR="002A4B26" w:rsidRPr="00E33678">
              <w:rPr>
                <w:color w:val="333333"/>
              </w:rPr>
              <w:t xml:space="preserve"> - </w:t>
            </w:r>
            <w:r w:rsidR="002A4B26" w:rsidRPr="00E33678">
              <w:t xml:space="preserve">на использование программного обеспечения для технического доступа </w:t>
            </w:r>
            <w:r w:rsidR="002A4B26" w:rsidRPr="00E33678">
              <w:lastRenderedPageBreak/>
              <w:t>к торгам – удаленное рабочее место (далее – Договор УРМ) в 2 (двух) экземплярах</w:t>
            </w:r>
            <w:r w:rsidR="00630867">
              <w:t>.</w:t>
            </w:r>
          </w:p>
          <w:p w14:paraId="353ABAB0" w14:textId="6470C69D" w:rsidR="00F51AB3" w:rsidRPr="00E33678" w:rsidRDefault="00630867" w:rsidP="00F51AB3">
            <w:pPr>
              <w:overflowPunct w:val="0"/>
              <w:autoSpaceDE w:val="0"/>
              <w:autoSpaceDN w:val="0"/>
              <w:adjustRightInd w:val="0"/>
              <w:ind w:left="709"/>
              <w:jc w:val="both"/>
              <w:textAlignment w:val="baseline"/>
            </w:pPr>
            <w:r>
              <w:t xml:space="preserve">Документы </w:t>
            </w:r>
            <w:r w:rsidR="00F51AB3" w:rsidRPr="00E33678">
              <w:t>предоставляются на Биржу одним из следующих способов:</w:t>
            </w:r>
          </w:p>
          <w:p w14:paraId="2918D06C" w14:textId="22F6B12A" w:rsidR="00F51AB3" w:rsidRPr="00E33678" w:rsidRDefault="00F51AB3" w:rsidP="00951761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33678">
              <w:t xml:space="preserve">на бумажном носителе с приложением описи предоставляемого комплекта по адресу Биржи </w:t>
            </w:r>
            <w:r w:rsidRPr="00E33678">
              <w:rPr>
                <w:b/>
                <w:bCs/>
                <w:i/>
                <w:iCs/>
              </w:rPr>
              <w:t>(125009, г. Москва Б. Кисловский переулок, д.13 с пометкой на конверте «Интервенции»);</w:t>
            </w:r>
          </w:p>
          <w:p w14:paraId="158191AF" w14:textId="41176AFE" w:rsidR="00B911F1" w:rsidRPr="009B3A35" w:rsidRDefault="00F51AB3" w:rsidP="00B911F1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33678">
              <w:t>в электронном виде</w:t>
            </w:r>
            <w:r w:rsidR="009B3A35">
              <w:t xml:space="preserve"> </w:t>
            </w:r>
            <w:r w:rsidRPr="00E33678">
              <w:t xml:space="preserve">на электронный адрес </w:t>
            </w:r>
            <w:hyperlink r:id="rId15" w:history="1">
              <w:r w:rsidRPr="00E33678">
                <w:rPr>
                  <w:rStyle w:val="a8"/>
                </w:rPr>
                <w:t>Interventions@moex.com</w:t>
              </w:r>
            </w:hyperlink>
            <w:r w:rsidRPr="00E33678">
              <w:t xml:space="preserve"> с отметкой</w:t>
            </w:r>
            <w:r w:rsidR="00CD5BBF" w:rsidRPr="00E33678">
              <w:t xml:space="preserve"> в теме письма</w:t>
            </w:r>
            <w:r w:rsidRPr="00E33678">
              <w:t>: «</w:t>
            </w:r>
            <w:r w:rsidRPr="00E33678">
              <w:rPr>
                <w:b/>
                <w:bCs/>
              </w:rPr>
              <w:t xml:space="preserve">Комплект документов для </w:t>
            </w:r>
            <w:r w:rsidR="0091706F">
              <w:rPr>
                <w:b/>
                <w:bCs/>
              </w:rPr>
              <w:t xml:space="preserve"> АО </w:t>
            </w:r>
            <w:r w:rsidRPr="00E33678">
              <w:rPr>
                <w:b/>
                <w:bCs/>
              </w:rPr>
              <w:t>НТБ</w:t>
            </w:r>
            <w:r w:rsidRPr="00E33678">
              <w:t>» в соответствии</w:t>
            </w:r>
            <w:r w:rsidR="0091706F">
              <w:t xml:space="preserve"> с</w:t>
            </w:r>
            <w:r w:rsidRPr="00E33678">
              <w:t xml:space="preserve"> памяткой «</w:t>
            </w:r>
            <w:r w:rsidRPr="00E33678">
              <w:rPr>
                <w:i/>
                <w:iCs/>
              </w:rPr>
              <w:t>Предоставление документов в форме электронного документа с использованием усиленной квалифицированной электронной подписи (далее - УКЭП) Кандидата»</w:t>
            </w:r>
            <w:r w:rsidR="00B911F1" w:rsidRPr="00E33678">
              <w:rPr>
                <w:i/>
                <w:iCs/>
              </w:rPr>
              <w:t>.</w:t>
            </w:r>
          </w:p>
          <w:p w14:paraId="4C486ADE" w14:textId="6A333500" w:rsidR="009B3A35" w:rsidRDefault="009B3A35" w:rsidP="00B911F1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B3A35">
              <w:rPr>
                <w:b/>
                <w:bCs/>
              </w:rPr>
              <w:t>Примечание:</w:t>
            </w:r>
            <w:r>
              <w:br/>
            </w:r>
            <w:r w:rsidRPr="009B3A35">
              <w:t xml:space="preserve">Договор об оказании услуг по проведению организованных торгов и Лицензионный договор на использование программного обеспечения «MICEX Trade </w:t>
            </w:r>
            <w:proofErr w:type="spellStart"/>
            <w:r w:rsidRPr="009B3A35">
              <w:t>Auction</w:t>
            </w:r>
            <w:proofErr w:type="spellEnd"/>
            <w:r w:rsidRPr="009B3A35">
              <w:t>»</w:t>
            </w:r>
            <w:r>
              <w:t xml:space="preserve"> - предоставляются в 2-х экз. на бумажном носителе по адресу: </w:t>
            </w:r>
            <w:bookmarkStart w:id="26" w:name="_Hlk87614858"/>
            <w:bookmarkStart w:id="27" w:name="_Hlk87952607"/>
            <w:r w:rsidRPr="00450567">
              <w:rPr>
                <w:i/>
                <w:iCs/>
                <w:color w:val="000000"/>
              </w:rPr>
              <w:t>125009, г.</w:t>
            </w:r>
            <w:r>
              <w:rPr>
                <w:i/>
                <w:iCs/>
                <w:color w:val="000000"/>
              </w:rPr>
              <w:t xml:space="preserve"> </w:t>
            </w:r>
            <w:r w:rsidRPr="00450567">
              <w:rPr>
                <w:i/>
                <w:iCs/>
                <w:color w:val="000000"/>
              </w:rPr>
              <w:t>Москва Б.</w:t>
            </w:r>
            <w:r>
              <w:rPr>
                <w:i/>
                <w:iCs/>
                <w:color w:val="000000"/>
              </w:rPr>
              <w:t xml:space="preserve"> </w:t>
            </w:r>
            <w:r w:rsidRPr="00450567">
              <w:rPr>
                <w:i/>
                <w:iCs/>
                <w:color w:val="000000"/>
              </w:rPr>
              <w:t>Кисловский переулок, д.13</w:t>
            </w:r>
            <w:bookmarkEnd w:id="26"/>
            <w:r w:rsidRPr="00450567">
              <w:rPr>
                <w:i/>
                <w:iCs/>
                <w:color w:val="000000"/>
              </w:rPr>
              <w:t xml:space="preserve"> </w:t>
            </w:r>
            <w:bookmarkEnd w:id="27"/>
            <w:r w:rsidRPr="00450567">
              <w:rPr>
                <w:i/>
                <w:iCs/>
                <w:color w:val="000000"/>
              </w:rPr>
              <w:t xml:space="preserve">с пометкой на конверте </w:t>
            </w:r>
            <w:r>
              <w:rPr>
                <w:i/>
                <w:iCs/>
                <w:color w:val="000000"/>
              </w:rPr>
              <w:t>«ИНТЕРВЕНЦИИ</w:t>
            </w:r>
            <w:r w:rsidRPr="00450567">
              <w:rPr>
                <w:i/>
                <w:iCs/>
                <w:color w:val="000000"/>
              </w:rPr>
              <w:t>».</w:t>
            </w:r>
          </w:p>
          <w:p w14:paraId="33BF4406" w14:textId="77777777" w:rsidR="009B3A35" w:rsidRPr="00E33678" w:rsidRDefault="009B3A35" w:rsidP="009B3A35">
            <w:pPr>
              <w:overflowPunct w:val="0"/>
              <w:autoSpaceDE w:val="0"/>
              <w:autoSpaceDN w:val="0"/>
              <w:adjustRightInd w:val="0"/>
              <w:ind w:left="1068"/>
              <w:jc w:val="both"/>
              <w:textAlignment w:val="baseline"/>
            </w:pPr>
          </w:p>
          <w:p w14:paraId="38009AF3" w14:textId="3F9295ED" w:rsidR="00B911F1" w:rsidRPr="000B61C7" w:rsidRDefault="00B911F1" w:rsidP="00B911F1">
            <w:pPr>
              <w:overflowPunct w:val="0"/>
              <w:autoSpaceDE w:val="0"/>
              <w:autoSpaceDN w:val="0"/>
              <w:adjustRightInd w:val="0"/>
              <w:ind w:left="1068"/>
              <w:jc w:val="both"/>
              <w:textAlignment w:val="baseline"/>
            </w:pPr>
          </w:p>
        </w:tc>
        <w:tc>
          <w:tcPr>
            <w:tcW w:w="1430" w:type="dxa"/>
          </w:tcPr>
          <w:p w14:paraId="0A451C58" w14:textId="438DCB63" w:rsidR="00ED7F06" w:rsidRDefault="00ED7F06" w:rsidP="00F51AB3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</w:pPr>
          </w:p>
          <w:bookmarkStart w:id="28" w:name="_MON_1705741057"/>
          <w:bookmarkEnd w:id="28"/>
          <w:p w14:paraId="185D1B10" w14:textId="3776A332" w:rsidR="00ED7F06" w:rsidRDefault="00200B03" w:rsidP="00F51AB3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</w:pPr>
            <w:r>
              <w:object w:dxaOrig="1157" w:dyaOrig="748" w14:anchorId="5D5F75FA">
                <v:shape id="_x0000_i1548" type="#_x0000_t75" style="width:57.75pt;height:37.5pt" o:ole="">
                  <v:imagedata r:id="rId16" o:title=""/>
                </v:shape>
                <o:OLEObject Type="Embed" ProgID="Word.Document.12" ShapeID="_x0000_i1548" DrawAspect="Icon" ObjectID="_1705741265" r:id="rId17">
                  <o:FieldCodes>\s</o:FieldCodes>
                </o:OLEObject>
              </w:object>
            </w:r>
          </w:p>
          <w:p w14:paraId="5F6536EF" w14:textId="77777777" w:rsidR="0098386E" w:rsidRDefault="0098386E" w:rsidP="009838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6E3E60A" w14:textId="77777777" w:rsidR="00ED7F06" w:rsidRDefault="00ED7F06" w:rsidP="00F51AB3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</w:pPr>
          </w:p>
          <w:bookmarkStart w:id="29" w:name="_MON_1704539965"/>
          <w:bookmarkEnd w:id="29"/>
          <w:p w14:paraId="2FFCF470" w14:textId="5BB85AE2" w:rsidR="00F51AB3" w:rsidRPr="000B61C7" w:rsidRDefault="00355809" w:rsidP="0098386E">
            <w:pPr>
              <w:overflowPunct w:val="0"/>
              <w:autoSpaceDE w:val="0"/>
              <w:autoSpaceDN w:val="0"/>
              <w:adjustRightInd w:val="0"/>
              <w:ind w:left="-106"/>
              <w:jc w:val="both"/>
              <w:textAlignment w:val="baseline"/>
            </w:pPr>
            <w:r>
              <w:object w:dxaOrig="1041" w:dyaOrig="674" w14:anchorId="7BCF718B">
                <v:shape id="_x0000_i1547" type="#_x0000_t75" style="width:51.75pt;height:33.75pt" o:ole="">
                  <v:imagedata r:id="rId18" o:title=""/>
                </v:shape>
                <o:OLEObject Type="Embed" ProgID="Word.Document.12" ShapeID="_x0000_i1547" DrawAspect="Icon" ObjectID="_1705741266" r:id="rId19">
                  <o:FieldCodes>\s</o:FieldCodes>
                </o:OLEObject>
              </w:object>
            </w:r>
          </w:p>
        </w:tc>
      </w:tr>
      <w:tr w:rsidR="00E03B99" w:rsidRPr="001510F0" w14:paraId="0A417C0C" w14:textId="77777777" w:rsidTr="006C5259">
        <w:tc>
          <w:tcPr>
            <w:tcW w:w="9540" w:type="dxa"/>
            <w:gridSpan w:val="2"/>
          </w:tcPr>
          <w:p w14:paraId="50272EF6" w14:textId="41EC795A" w:rsidR="00E03B99" w:rsidRPr="00630867" w:rsidRDefault="00E03B99" w:rsidP="00D30974">
            <w:pPr>
              <w:pStyle w:val="a1"/>
              <w:rPr>
                <w:sz w:val="28"/>
                <w:szCs w:val="28"/>
              </w:rPr>
            </w:pPr>
            <w:bookmarkStart w:id="30" w:name="_Предоставление_документов_в"/>
            <w:bookmarkStart w:id="31" w:name="_Toc93927660"/>
            <w:bookmarkEnd w:id="30"/>
            <w:r w:rsidRPr="00630867">
              <w:rPr>
                <w:sz w:val="28"/>
                <w:szCs w:val="28"/>
              </w:rPr>
              <w:lastRenderedPageBreak/>
              <w:t>Абонентская плата</w:t>
            </w:r>
            <w:bookmarkEnd w:id="31"/>
          </w:p>
        </w:tc>
      </w:tr>
      <w:tr w:rsidR="00200B03" w:rsidRPr="001510F0" w14:paraId="327ACDC9" w14:textId="77777777" w:rsidTr="00C62B7B">
        <w:tc>
          <w:tcPr>
            <w:tcW w:w="9540" w:type="dxa"/>
            <w:gridSpan w:val="2"/>
          </w:tcPr>
          <w:p w14:paraId="13EC2A4A" w14:textId="77777777" w:rsidR="00200B03" w:rsidRPr="00200B03" w:rsidRDefault="00200B03" w:rsidP="0098386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ind w:left="709" w:hanging="252"/>
              <w:jc w:val="both"/>
            </w:pPr>
            <w:r w:rsidRPr="003E26BD">
              <w:t xml:space="preserve">Биржа взимает с Участников торгов Абонентскую плату </w:t>
            </w:r>
            <w:r w:rsidRPr="003E26BD">
              <w:rPr>
                <w:bCs/>
              </w:rPr>
              <w:t xml:space="preserve">в размере 2000 (две тысячи) рублей. </w:t>
            </w:r>
          </w:p>
          <w:p w14:paraId="4F1323A3" w14:textId="77777777" w:rsidR="00200B03" w:rsidRDefault="00200B03" w:rsidP="0098386E">
            <w:pPr>
              <w:widowControl w:val="0"/>
              <w:numPr>
                <w:ilvl w:val="3"/>
                <w:numId w:val="13"/>
              </w:numPr>
              <w:autoSpaceDE w:val="0"/>
              <w:autoSpaceDN w:val="0"/>
              <w:adjustRightInd w:val="0"/>
              <w:ind w:left="709" w:hanging="252"/>
              <w:jc w:val="both"/>
            </w:pPr>
            <w:r w:rsidRPr="003E26BD">
              <w:t>Участник торгов обязан уплачивать Абонентскую плату</w:t>
            </w:r>
            <w:r>
              <w:t xml:space="preserve"> до получения допуска</w:t>
            </w:r>
            <w:r w:rsidRPr="003E26BD">
              <w:t xml:space="preserve">, осуществляя платеж на расчетный счет Биржи, в соответствии с образцом платежного поручения по оплате Абонентской платы, установленным </w:t>
            </w:r>
            <w:r w:rsidRPr="00FD17E7">
              <w:t>Приложением 08 к Правилам допуска.</w:t>
            </w:r>
          </w:p>
          <w:p w14:paraId="7ED452D6" w14:textId="3D10586B" w:rsidR="00200B03" w:rsidRPr="00E03B99" w:rsidRDefault="00200B03" w:rsidP="00200B03">
            <w:pPr>
              <w:widowControl w:val="0"/>
              <w:autoSpaceDE w:val="0"/>
              <w:autoSpaceDN w:val="0"/>
              <w:adjustRightInd w:val="0"/>
              <w:ind w:left="709"/>
              <w:jc w:val="both"/>
            </w:pPr>
            <w:hyperlink r:id="rId20" w:tooltip="Скачать" w:history="1">
              <w:r>
                <w:rPr>
                  <w:rStyle w:val="a8"/>
                  <w:rFonts w:ascii="Open Sans" w:hAnsi="Open Sans" w:cs="Open Sans"/>
                  <w:sz w:val="21"/>
                  <w:szCs w:val="21"/>
                </w:rPr>
                <w:t>Образец платежного поручения по уплате Абонентской платы</w:t>
              </w:r>
            </w:hyperlink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</w:tc>
      </w:tr>
      <w:tr w:rsidR="00E03B99" w:rsidRPr="001510F0" w14:paraId="16447A4A" w14:textId="77777777" w:rsidTr="006C5259">
        <w:tc>
          <w:tcPr>
            <w:tcW w:w="9540" w:type="dxa"/>
            <w:gridSpan w:val="2"/>
          </w:tcPr>
          <w:p w14:paraId="2C355D2E" w14:textId="77777777" w:rsidR="00E03B99" w:rsidRPr="00630867" w:rsidRDefault="006915FA" w:rsidP="00D30974">
            <w:pPr>
              <w:pStyle w:val="a1"/>
              <w:rPr>
                <w:sz w:val="28"/>
                <w:szCs w:val="28"/>
              </w:rPr>
            </w:pPr>
            <w:bookmarkStart w:id="32" w:name="_Toc93927661"/>
            <w:r w:rsidRPr="00630867">
              <w:rPr>
                <w:sz w:val="28"/>
                <w:szCs w:val="28"/>
              </w:rPr>
              <w:t>Допуск к торгам</w:t>
            </w:r>
            <w:bookmarkEnd w:id="32"/>
          </w:p>
        </w:tc>
      </w:tr>
      <w:tr w:rsidR="00D30974" w:rsidRPr="001510F0" w14:paraId="2E7ABC1A" w14:textId="77777777" w:rsidTr="00713498">
        <w:tc>
          <w:tcPr>
            <w:tcW w:w="9540" w:type="dxa"/>
            <w:gridSpan w:val="2"/>
          </w:tcPr>
          <w:p w14:paraId="5C1434C9" w14:textId="77777777" w:rsidR="00D30974" w:rsidRPr="002417A8" w:rsidRDefault="00D30974" w:rsidP="00D309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hanging="263"/>
              <w:jc w:val="both"/>
            </w:pPr>
            <w:r w:rsidRPr="002417A8">
              <w:t xml:space="preserve">Биржа, не позднее </w:t>
            </w:r>
            <w:r w:rsidR="00304C1B">
              <w:t>даты допуска к участию в торгах</w:t>
            </w:r>
            <w:r w:rsidRPr="002417A8">
              <w:t xml:space="preserve">, </w:t>
            </w:r>
            <w:r w:rsidR="00304C1B">
              <w:t>направляет</w:t>
            </w:r>
            <w:r w:rsidRPr="002417A8">
              <w:t xml:space="preserve"> Участник</w:t>
            </w:r>
            <w:r w:rsidR="00304C1B">
              <w:t>у</w:t>
            </w:r>
            <w:r w:rsidRPr="002417A8">
              <w:t xml:space="preserve"> торгов</w:t>
            </w:r>
            <w:r w:rsidR="00304C1B">
              <w:t xml:space="preserve"> на электронный адрес, указанный в Регистрационной карточке</w:t>
            </w:r>
            <w:r w:rsidRPr="002417A8">
              <w:t>:</w:t>
            </w:r>
          </w:p>
          <w:p w14:paraId="0E39DCF0" w14:textId="77777777" w:rsidR="00D30974" w:rsidRDefault="00304C1B" w:rsidP="00D30974">
            <w:pPr>
              <w:pStyle w:val="21"/>
              <w:numPr>
                <w:ilvl w:val="0"/>
                <w:numId w:val="2"/>
              </w:numPr>
              <w:tabs>
                <w:tab w:val="left" w:pos="432"/>
              </w:tabs>
              <w:ind w:left="1166" w:hanging="283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Уведомление о предоставлении допуска к участию в торгах </w:t>
            </w:r>
            <w:r w:rsidR="00D30974">
              <w:t xml:space="preserve">с </w:t>
            </w:r>
            <w:r w:rsidR="00D30974">
              <w:rPr>
                <w:rFonts w:ascii="Times New Roman" w:hAnsi="Times New Roman"/>
                <w:sz w:val="24"/>
                <w:lang w:val="ru-RU" w:eastAsia="ru-RU"/>
              </w:rPr>
              <w:t>идентификационным</w:t>
            </w:r>
            <w:r w:rsidR="00D30974" w:rsidRPr="003755A8">
              <w:rPr>
                <w:rFonts w:ascii="Times New Roman" w:hAnsi="Times New Roman"/>
                <w:sz w:val="24"/>
                <w:lang w:val="ru-RU" w:eastAsia="ru-RU"/>
              </w:rPr>
              <w:t xml:space="preserve"> код</w:t>
            </w:r>
            <w:r w:rsidR="00D30974">
              <w:rPr>
                <w:rFonts w:ascii="Times New Roman" w:hAnsi="Times New Roman"/>
                <w:sz w:val="24"/>
                <w:lang w:val="ru-RU" w:eastAsia="ru-RU"/>
              </w:rPr>
              <w:t xml:space="preserve">ом и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идентификатором</w:t>
            </w:r>
            <w:r w:rsidR="00D30974" w:rsidRPr="003755A8">
              <w:rPr>
                <w:rFonts w:ascii="Times New Roman" w:hAnsi="Times New Roman"/>
                <w:sz w:val="24"/>
                <w:lang w:val="ru-RU" w:eastAsia="ru-RU"/>
              </w:rPr>
              <w:t xml:space="preserve"> для доступа в СТЗ.</w:t>
            </w:r>
          </w:p>
          <w:p w14:paraId="5CDD9577" w14:textId="77777777" w:rsidR="00D30974" w:rsidRPr="00D712AF" w:rsidRDefault="00304C1B" w:rsidP="00D30974">
            <w:pPr>
              <w:pStyle w:val="21"/>
              <w:numPr>
                <w:ilvl w:val="0"/>
                <w:numId w:val="2"/>
              </w:numPr>
              <w:tabs>
                <w:tab w:val="left" w:pos="432"/>
              </w:tabs>
              <w:ind w:left="1166" w:hanging="283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Скан копию </w:t>
            </w:r>
            <w:r w:rsidR="00D30974" w:rsidRPr="002417A8">
              <w:rPr>
                <w:rFonts w:ascii="Times New Roman" w:hAnsi="Times New Roman"/>
                <w:sz w:val="24"/>
              </w:rPr>
              <w:t>подписанн</w:t>
            </w:r>
            <w:r>
              <w:rPr>
                <w:rFonts w:ascii="Times New Roman" w:hAnsi="Times New Roman"/>
                <w:sz w:val="24"/>
                <w:lang w:val="ru-RU"/>
              </w:rPr>
              <w:t>ого</w:t>
            </w:r>
            <w:r w:rsidR="00D30974" w:rsidRPr="002417A8">
              <w:rPr>
                <w:rFonts w:ascii="Times New Roman" w:hAnsi="Times New Roman"/>
                <w:sz w:val="24"/>
              </w:rPr>
              <w:t xml:space="preserve"> Биржей экземпляр Договора об оказании услуг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 одновременным направлением последнего почтой России на адрес, указанный в Регистрационной карточке</w:t>
            </w:r>
            <w:r w:rsidR="00D30974" w:rsidRPr="002417A8">
              <w:rPr>
                <w:rFonts w:ascii="Times New Roman" w:hAnsi="Times New Roman"/>
                <w:sz w:val="24"/>
              </w:rPr>
              <w:t xml:space="preserve"> (в случае, если он не был заключен Участником торгов с Биржей ранее).</w:t>
            </w:r>
          </w:p>
          <w:p w14:paraId="3BBBCB80" w14:textId="77777777" w:rsidR="00D30974" w:rsidRPr="002417A8" w:rsidRDefault="00D30974" w:rsidP="00D3097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hanging="263"/>
              <w:jc w:val="both"/>
            </w:pPr>
            <w:r w:rsidRPr="002417A8">
              <w:t>Информация о предоставлении Кандидату допуска к участию в торгах раскрывается на Сайте Биржи не позднее 2 (двух) рабочих дней с даты принятия соответствующего решения Биржи.</w:t>
            </w:r>
          </w:p>
        </w:tc>
      </w:tr>
      <w:tr w:rsidR="00E03B99" w:rsidRPr="0063377A" w14:paraId="490D3F95" w14:textId="77777777" w:rsidTr="006C5259">
        <w:tc>
          <w:tcPr>
            <w:tcW w:w="9540" w:type="dxa"/>
            <w:gridSpan w:val="2"/>
          </w:tcPr>
          <w:p w14:paraId="358EF9AD" w14:textId="77777777" w:rsidR="00E03B99" w:rsidRPr="00206C30" w:rsidRDefault="00E03B99" w:rsidP="00D30974">
            <w:pPr>
              <w:pStyle w:val="a1"/>
              <w:rPr>
                <w:sz w:val="28"/>
                <w:szCs w:val="28"/>
              </w:rPr>
            </w:pPr>
            <w:bookmarkStart w:id="33" w:name="_Toc93927662"/>
            <w:r w:rsidRPr="00206C30">
              <w:rPr>
                <w:sz w:val="28"/>
                <w:szCs w:val="28"/>
              </w:rPr>
              <w:t>Гарантийный взнос</w:t>
            </w:r>
            <w:bookmarkEnd w:id="33"/>
            <w:r w:rsidRPr="00206C30">
              <w:rPr>
                <w:sz w:val="28"/>
                <w:szCs w:val="28"/>
              </w:rPr>
              <w:t xml:space="preserve"> </w:t>
            </w:r>
          </w:p>
        </w:tc>
      </w:tr>
      <w:tr w:rsidR="00D30974" w:rsidRPr="001510F0" w14:paraId="0CC87B9A" w14:textId="77777777" w:rsidTr="00713498">
        <w:trPr>
          <w:trHeight w:val="579"/>
        </w:trPr>
        <w:tc>
          <w:tcPr>
            <w:tcW w:w="9540" w:type="dxa"/>
            <w:gridSpan w:val="2"/>
          </w:tcPr>
          <w:p w14:paraId="1C4D19E3" w14:textId="77777777" w:rsidR="00D30974" w:rsidRPr="00DF7977" w:rsidRDefault="00D30974" w:rsidP="00D3097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</w:pPr>
            <w:r w:rsidRPr="00DF7977">
              <w:t>Участники торгов обязаны внести Взнос в срок до 09:00 рабочего дня, предшествующего дню проведения Торговой сессии, в которой Участник торгов предполагает принять участие.</w:t>
            </w:r>
          </w:p>
          <w:p w14:paraId="54E6DC60" w14:textId="1114CC6B" w:rsidR="00D30974" w:rsidRDefault="00D30974" w:rsidP="00D3097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</w:pPr>
            <w:r w:rsidRPr="00DF7977">
              <w:t>Взнос вносится в российских рублях на расчетный счет Биржи, открытый в АО «</w:t>
            </w:r>
            <w:proofErr w:type="spellStart"/>
            <w:r w:rsidRPr="00DF7977">
              <w:t>Россельхозбанк</w:t>
            </w:r>
            <w:proofErr w:type="spellEnd"/>
            <w:r w:rsidRPr="00DF7977">
              <w:t xml:space="preserve">» по реквизитам, указанным в образце платёжного поручения по оплате Взноса. Образец платёжного поручения </w:t>
            </w:r>
            <w:r>
              <w:t xml:space="preserve">по уплате участником торгов/агентом гарантийного взноса </w:t>
            </w:r>
            <w:r w:rsidRPr="00DF7977">
              <w:t xml:space="preserve">приведён в </w:t>
            </w:r>
            <w:hyperlink w:anchor="_Образец_платёжного_поручения" w:history="1">
              <w:r w:rsidRPr="00DF7977">
                <w:t>Приложении №</w:t>
              </w:r>
            </w:hyperlink>
            <w:r>
              <w:t>8</w:t>
            </w:r>
            <w:r w:rsidR="004F0711">
              <w:t xml:space="preserve"> (</w:t>
            </w:r>
            <w:hyperlink r:id="rId21" w:tooltip="Скачать" w:history="1">
              <w:r w:rsidR="004F0711">
                <w:rPr>
                  <w:rStyle w:val="a8"/>
                  <w:rFonts w:ascii="Open Sans" w:hAnsi="Open Sans" w:cs="Open Sans"/>
                  <w:sz w:val="21"/>
                  <w:szCs w:val="21"/>
                </w:rPr>
                <w:t xml:space="preserve">Образец </w:t>
              </w:r>
              <w:r w:rsidR="004F0711">
                <w:rPr>
                  <w:rStyle w:val="a8"/>
                  <w:rFonts w:ascii="Open Sans" w:hAnsi="Open Sans" w:cs="Open Sans"/>
                  <w:sz w:val="21"/>
                  <w:szCs w:val="21"/>
                </w:rPr>
                <w:lastRenderedPageBreak/>
                <w:t>платежного поручения по уплате Гарантийного взноса</w:t>
              </w:r>
            </w:hyperlink>
            <w:r w:rsidR="004F0711">
              <w:rPr>
                <w:rFonts w:ascii="Open Sans" w:hAnsi="Open Sans" w:cs="Open Sans"/>
                <w:color w:val="333333"/>
                <w:sz w:val="21"/>
                <w:szCs w:val="21"/>
              </w:rPr>
              <w:t>)</w:t>
            </w:r>
            <w:r w:rsidRPr="00DF7977">
              <w:t xml:space="preserve"> к Правилам торгов</w:t>
            </w:r>
            <w:r>
              <w:t>.</w:t>
            </w:r>
          </w:p>
          <w:p w14:paraId="37A13095" w14:textId="77777777" w:rsidR="00D30974" w:rsidRDefault="00D30974" w:rsidP="00D3097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</w:pPr>
            <w:r w:rsidRPr="00E03B99">
              <w:t xml:space="preserve">Участнику Биржевых торгов </w:t>
            </w:r>
            <w:r w:rsidRPr="00D30974">
              <w:t>необходимо обеспечить правильное заполнение</w:t>
            </w:r>
            <w:r w:rsidRPr="00E03B99">
              <w:t xml:space="preserve"> назначения платежа в платежном поручении. </w:t>
            </w:r>
            <w:r w:rsidR="00304C1B" w:rsidRPr="00E03B99">
              <w:t>При отправлении платежа</w:t>
            </w:r>
            <w:r w:rsidRPr="00E03B99">
              <w:t xml:space="preserve"> допускается сокращение слов в назначении платежного поручения для выполнения требований банков об ограничении символов.</w:t>
            </w:r>
          </w:p>
          <w:p w14:paraId="3DD19893" w14:textId="66D30072" w:rsidR="00D30974" w:rsidRDefault="00D30974" w:rsidP="00D3097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</w:pPr>
            <w:r w:rsidRPr="003755A8">
              <w:t xml:space="preserve">В случае ошибочного заполнения платежного поручения Участником Биржевых торгов и/или банком Участника Биржевых торгов Гарантийный взнос в торговую систему </w:t>
            </w:r>
            <w:r w:rsidR="004F0711" w:rsidRPr="003755A8">
              <w:t>введен не будет,</w:t>
            </w:r>
            <w:r w:rsidRPr="003755A8">
              <w:t xml:space="preserve"> и Участник Биржевых торгов </w:t>
            </w:r>
            <w:r w:rsidRPr="00D30974">
              <w:t>не получит возможности заключать сделки</w:t>
            </w:r>
            <w:r w:rsidRPr="003755A8">
              <w:t xml:space="preserve"> на соответствующую этому Гарантийному взносу сумму.</w:t>
            </w:r>
          </w:p>
          <w:p w14:paraId="2CD70E14" w14:textId="77777777" w:rsidR="00D30974" w:rsidRDefault="00D30974" w:rsidP="00D3097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</w:pPr>
            <w:r w:rsidRPr="003755A8">
              <w:t xml:space="preserve">Сумму внесенного и доступного (незаблокированного) Гарантийного взноса Участник Биржевых торгов </w:t>
            </w:r>
            <w:r w:rsidRPr="00D30974">
              <w:t>может узнать в Системе торгов зерном</w:t>
            </w:r>
            <w:r w:rsidRPr="003755A8">
              <w:t xml:space="preserve"> в таблице «Ограничения» (см. Руководство пользователя Системы Торгов Зерном (СТЗ)). В неторговые </w:t>
            </w:r>
            <w:r>
              <w:t xml:space="preserve">дни </w:t>
            </w:r>
            <w:r w:rsidRPr="003755A8">
              <w:t xml:space="preserve">Участники, не имеющие доступ к СТЗ, могут получить данную информацию у </w:t>
            </w:r>
            <w:r w:rsidRPr="00D30974">
              <w:t>сотрудников Биржи</w:t>
            </w:r>
            <w:r w:rsidRPr="003755A8">
              <w:t>.</w:t>
            </w:r>
          </w:p>
          <w:p w14:paraId="5143E477" w14:textId="6FE84DFA" w:rsidR="00D30974" w:rsidRPr="00196C14" w:rsidRDefault="00D30974" w:rsidP="00D30974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Style w:val="a8"/>
                <w:color w:val="auto"/>
                <w:u w:val="none"/>
              </w:rPr>
            </w:pPr>
            <w:r w:rsidRPr="003755A8">
              <w:t xml:space="preserve">Участник Биржевых торгов </w:t>
            </w:r>
            <w:r w:rsidRPr="00D30974">
              <w:t>направляет Требования</w:t>
            </w:r>
            <w:r w:rsidRPr="003755A8">
              <w:t xml:space="preserve"> на возврат Гарантийного взноса </w:t>
            </w:r>
            <w:r w:rsidRPr="00D30974">
              <w:t>в адрес Биржи</w:t>
            </w:r>
            <w:r w:rsidRPr="003755A8">
              <w:t xml:space="preserve"> (125009, г. Москва, Средний Кисловский пер., д.1/13, строение 4, офис 516) </w:t>
            </w:r>
            <w:r w:rsidRPr="00D30974">
              <w:t>заказным письмом</w:t>
            </w:r>
            <w:r w:rsidRPr="003755A8">
              <w:t xml:space="preserve"> либо посредством услуг </w:t>
            </w:r>
            <w:r w:rsidRPr="00D30974">
              <w:t>экспресс - почты</w:t>
            </w:r>
            <w:r w:rsidRPr="003755A8">
              <w:t xml:space="preserve"> (для доставки в течение 1-3 дней)</w:t>
            </w:r>
            <w:r>
              <w:t xml:space="preserve"> или в форме электронного документа</w:t>
            </w:r>
            <w:r w:rsidR="008C3676">
              <w:t xml:space="preserve"> на почту </w:t>
            </w:r>
            <w:hyperlink r:id="rId22" w:history="1">
              <w:r w:rsidR="008C3676" w:rsidRPr="00E33678">
                <w:rPr>
                  <w:rStyle w:val="a8"/>
                </w:rPr>
                <w:t>Interventions@moex.com</w:t>
              </w:r>
            </w:hyperlink>
            <w:r w:rsidR="008C3676">
              <w:rPr>
                <w:rStyle w:val="a8"/>
              </w:rPr>
              <w:t>.</w:t>
            </w:r>
          </w:p>
          <w:p w14:paraId="3E0459C5" w14:textId="34F9FD47" w:rsidR="004F0711" w:rsidRDefault="00200B03" w:rsidP="004F0711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hyperlink r:id="rId23" w:tooltip="Скачать" w:history="1">
              <w:r w:rsidR="004F0711">
                <w:rPr>
                  <w:rStyle w:val="a8"/>
                  <w:rFonts w:ascii="Open Sans" w:hAnsi="Open Sans" w:cs="Open Sans"/>
                  <w:sz w:val="21"/>
                  <w:szCs w:val="21"/>
                </w:rPr>
                <w:t>Требование на возврат Гарантийного взноса Приложение №7А</w:t>
              </w:r>
            </w:hyperlink>
            <w:r w:rsidR="004F0711"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  <w:p w14:paraId="34A082D9" w14:textId="47C50B80" w:rsidR="00D30974" w:rsidRPr="00DF7977" w:rsidRDefault="00200B03" w:rsidP="00196C14">
            <w:pPr>
              <w:widowControl w:val="0"/>
              <w:autoSpaceDE w:val="0"/>
              <w:autoSpaceDN w:val="0"/>
              <w:adjustRightInd w:val="0"/>
              <w:ind w:left="720"/>
              <w:jc w:val="both"/>
            </w:pPr>
            <w:hyperlink r:id="rId24" w:tooltip="Скачать" w:history="1">
              <w:r w:rsidR="004F0711">
                <w:rPr>
                  <w:rStyle w:val="a8"/>
                  <w:rFonts w:ascii="Open Sans" w:hAnsi="Open Sans" w:cs="Open Sans"/>
                  <w:sz w:val="21"/>
                  <w:szCs w:val="21"/>
                </w:rPr>
                <w:t>Требование на возврат Гарантийного взноса Приложение №7Б</w:t>
              </w:r>
            </w:hyperlink>
            <w:r w:rsidR="004F0711">
              <w:rPr>
                <w:rFonts w:ascii="Open Sans" w:hAnsi="Open Sans" w:cs="Open Sans"/>
                <w:color w:val="333333"/>
                <w:sz w:val="21"/>
                <w:szCs w:val="21"/>
              </w:rPr>
              <w:t> </w:t>
            </w:r>
          </w:p>
        </w:tc>
      </w:tr>
    </w:tbl>
    <w:p w14:paraId="023A8257" w14:textId="77777777" w:rsidR="00D20D3A" w:rsidRDefault="00D20D3A" w:rsidP="00D20D3A">
      <w:pPr>
        <w:ind w:left="1416"/>
      </w:pPr>
    </w:p>
    <w:sectPr w:rsidR="00D20D3A" w:rsidSect="009F3B8B">
      <w:headerReference w:type="even" r:id="rId25"/>
      <w:headerReference w:type="default" r:id="rId26"/>
      <w:footerReference w:type="even" r:id="rId27"/>
      <w:footerReference w:type="default" r:id="rId28"/>
      <w:pgSz w:w="11906" w:h="16838"/>
      <w:pgMar w:top="899" w:right="850" w:bottom="899" w:left="170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6AA4" w14:textId="77777777" w:rsidR="00D70E27" w:rsidRDefault="00D70E27">
      <w:r>
        <w:separator/>
      </w:r>
    </w:p>
  </w:endnote>
  <w:endnote w:type="continuationSeparator" w:id="0">
    <w:p w14:paraId="706283EE" w14:textId="77777777" w:rsidR="00D70E27" w:rsidRDefault="00D7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DDF5" w14:textId="77777777" w:rsidR="00397B65" w:rsidRDefault="00397B65" w:rsidP="00A24F27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260B12" w14:textId="77777777" w:rsidR="00397B65" w:rsidRDefault="00397B65" w:rsidP="008145C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0" w:type="dxa"/>
      <w:tblBorders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046"/>
      <w:gridCol w:w="1454"/>
    </w:tblGrid>
    <w:tr w:rsidR="00397B65" w14:paraId="4EF0335D" w14:textId="77777777" w:rsidTr="00F64FBD">
      <w:trPr>
        <w:cantSplit/>
        <w:trHeight w:val="270"/>
        <w:tblHeader/>
      </w:trPr>
      <w:tc>
        <w:tcPr>
          <w:tcW w:w="8046" w:type="dxa"/>
          <w:vAlign w:val="center"/>
        </w:tcPr>
        <w:p w14:paraId="3D3ED1B5" w14:textId="77777777" w:rsidR="00397B65" w:rsidRPr="008C32F8" w:rsidRDefault="00397B65" w:rsidP="00593820">
          <w:pPr>
            <w:rPr>
              <w:sz w:val="20"/>
            </w:rPr>
          </w:pPr>
        </w:p>
      </w:tc>
      <w:tc>
        <w:tcPr>
          <w:tcW w:w="1454" w:type="dxa"/>
          <w:vAlign w:val="center"/>
        </w:tcPr>
        <w:p w14:paraId="2DFFF1E9" w14:textId="77777777" w:rsidR="00397B65" w:rsidRDefault="00397B65" w:rsidP="00117284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9A1C33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9A1C33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14:paraId="6FEF47B5" w14:textId="77777777" w:rsidR="00397B65" w:rsidRDefault="00397B65" w:rsidP="008145C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F5B9" w14:textId="77777777" w:rsidR="00D70E27" w:rsidRDefault="00D70E27">
      <w:r>
        <w:separator/>
      </w:r>
    </w:p>
  </w:footnote>
  <w:footnote w:type="continuationSeparator" w:id="0">
    <w:p w14:paraId="4C18ECC8" w14:textId="77777777" w:rsidR="00D70E27" w:rsidRDefault="00D7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DAC0" w14:textId="77777777" w:rsidR="00397B65" w:rsidRDefault="00397B65" w:rsidP="0034042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39C227" w14:textId="77777777" w:rsidR="00397B65" w:rsidRDefault="00397B65" w:rsidP="0034042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61F5" w14:textId="77777777" w:rsidR="00397B65" w:rsidRDefault="00397B65" w:rsidP="0034042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2AE"/>
    <w:multiLevelType w:val="multilevel"/>
    <w:tmpl w:val="57F4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" w15:restartNumberingAfterBreak="0">
    <w:nsid w:val="0BDB7467"/>
    <w:multiLevelType w:val="hybridMultilevel"/>
    <w:tmpl w:val="BA3899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745E"/>
    <w:multiLevelType w:val="hybridMultilevel"/>
    <w:tmpl w:val="F09E9F8C"/>
    <w:lvl w:ilvl="0" w:tplc="0E5052FE">
      <w:start w:val="1"/>
      <w:numFmt w:val="decimal"/>
      <w:lvlText w:val="%1."/>
      <w:lvlJc w:val="left"/>
      <w:pPr>
        <w:ind w:left="1068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73514"/>
    <w:multiLevelType w:val="hybridMultilevel"/>
    <w:tmpl w:val="FEEE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B536"/>
    <w:multiLevelType w:val="hybridMultilevel"/>
    <w:tmpl w:val="632F0C41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76418C2"/>
    <w:multiLevelType w:val="hybridMultilevel"/>
    <w:tmpl w:val="DEC4AF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C371C52"/>
    <w:multiLevelType w:val="hybridMultilevel"/>
    <w:tmpl w:val="6B1EC9D4"/>
    <w:lvl w:ilvl="0" w:tplc="09B81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D31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CE8F2B"/>
    <w:multiLevelType w:val="hybridMultilevel"/>
    <w:tmpl w:val="1D1B9A7B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A47162"/>
    <w:multiLevelType w:val="hybridMultilevel"/>
    <w:tmpl w:val="3980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95C161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37757"/>
    <w:multiLevelType w:val="hybridMultilevel"/>
    <w:tmpl w:val="0B50393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15A7"/>
    <w:multiLevelType w:val="hybridMultilevel"/>
    <w:tmpl w:val="D59C4C46"/>
    <w:lvl w:ilvl="0" w:tplc="D7BCD8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77874"/>
    <w:multiLevelType w:val="hybridMultilevel"/>
    <w:tmpl w:val="B292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CE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36843A">
      <w:start w:val="1"/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B50B2"/>
    <w:multiLevelType w:val="hybridMultilevel"/>
    <w:tmpl w:val="E872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C4076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0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C32"/>
    <w:multiLevelType w:val="hybridMultilevel"/>
    <w:tmpl w:val="8A36D1A8"/>
    <w:lvl w:ilvl="0" w:tplc="AF3E884E">
      <w:start w:val="1"/>
      <w:numFmt w:val="decimal"/>
      <w:pStyle w:val="a1"/>
      <w:lvlText w:val="%1."/>
      <w:lvlJc w:val="left"/>
      <w:pPr>
        <w:ind w:left="720" w:hanging="360"/>
      </w:pPr>
      <w:rPr>
        <w:i w:val="0"/>
        <w:i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C1CCC"/>
    <w:multiLevelType w:val="hybridMultilevel"/>
    <w:tmpl w:val="DFA09F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6E25"/>
    <w:multiLevelType w:val="hybridMultilevel"/>
    <w:tmpl w:val="A55C6116"/>
    <w:lvl w:ilvl="0" w:tplc="32C28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865F8"/>
    <w:multiLevelType w:val="hybridMultilevel"/>
    <w:tmpl w:val="6BE483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4D60302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F5275"/>
    <w:multiLevelType w:val="hybridMultilevel"/>
    <w:tmpl w:val="3ACE67F2"/>
    <w:lvl w:ilvl="0" w:tplc="D0FABB22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0C4908"/>
    <w:multiLevelType w:val="hybridMultilevel"/>
    <w:tmpl w:val="91B41822"/>
    <w:lvl w:ilvl="0" w:tplc="CBC83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52AB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 w15:restartNumberingAfterBreak="0">
    <w:nsid w:val="55403604"/>
    <w:multiLevelType w:val="multilevel"/>
    <w:tmpl w:val="E1A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5" w15:restartNumberingAfterBreak="0">
    <w:nsid w:val="555036EC"/>
    <w:multiLevelType w:val="hybridMultilevel"/>
    <w:tmpl w:val="DFA09F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91300"/>
    <w:multiLevelType w:val="hybridMultilevel"/>
    <w:tmpl w:val="55BE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D6213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E3F4C"/>
    <w:multiLevelType w:val="hybridMultilevel"/>
    <w:tmpl w:val="089A57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D5527CE"/>
    <w:multiLevelType w:val="hybridMultilevel"/>
    <w:tmpl w:val="726C080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1681322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62ABF"/>
    <w:multiLevelType w:val="multilevel"/>
    <w:tmpl w:val="177E9C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31" w15:restartNumberingAfterBreak="0">
    <w:nsid w:val="753710DC"/>
    <w:multiLevelType w:val="hybridMultilevel"/>
    <w:tmpl w:val="877C431C"/>
    <w:lvl w:ilvl="0" w:tplc="0E5052F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33F6A"/>
    <w:multiLevelType w:val="hybridMultilevel"/>
    <w:tmpl w:val="3294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97A88"/>
    <w:multiLevelType w:val="hybridMultilevel"/>
    <w:tmpl w:val="0C08F930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53F9B"/>
    <w:multiLevelType w:val="hybridMultilevel"/>
    <w:tmpl w:val="4C02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621BD"/>
    <w:multiLevelType w:val="hybridMultilevel"/>
    <w:tmpl w:val="3294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3180"/>
    <w:multiLevelType w:val="hybridMultilevel"/>
    <w:tmpl w:val="5BC864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24"/>
  </w:num>
  <w:num w:numId="6">
    <w:abstractNumId w:val="6"/>
  </w:num>
  <w:num w:numId="7">
    <w:abstractNumId w:val="27"/>
  </w:num>
  <w:num w:numId="8">
    <w:abstractNumId w:val="14"/>
  </w:num>
  <w:num w:numId="9">
    <w:abstractNumId w:val="17"/>
  </w:num>
  <w:num w:numId="10">
    <w:abstractNumId w:val="15"/>
  </w:num>
  <w:num w:numId="11">
    <w:abstractNumId w:val="34"/>
  </w:num>
  <w:num w:numId="12">
    <w:abstractNumId w:val="22"/>
  </w:num>
  <w:num w:numId="13">
    <w:abstractNumId w:val="29"/>
  </w:num>
  <w:num w:numId="14">
    <w:abstractNumId w:val="1"/>
  </w:num>
  <w:num w:numId="15">
    <w:abstractNumId w:val="32"/>
  </w:num>
  <w:num w:numId="16">
    <w:abstractNumId w:val="9"/>
  </w:num>
  <w:num w:numId="17">
    <w:abstractNumId w:val="18"/>
  </w:num>
  <w:num w:numId="18">
    <w:abstractNumId w:val="35"/>
  </w:num>
  <w:num w:numId="19">
    <w:abstractNumId w:val="30"/>
  </w:num>
  <w:num w:numId="20">
    <w:abstractNumId w:val="13"/>
  </w:num>
  <w:num w:numId="21">
    <w:abstractNumId w:val="4"/>
  </w:num>
  <w:num w:numId="22">
    <w:abstractNumId w:val="8"/>
  </w:num>
  <w:num w:numId="23">
    <w:abstractNumId w:val="31"/>
  </w:num>
  <w:num w:numId="24">
    <w:abstractNumId w:val="16"/>
  </w:num>
  <w:num w:numId="25">
    <w:abstractNumId w:val="21"/>
  </w:num>
  <w:num w:numId="26">
    <w:abstractNumId w:val="26"/>
  </w:num>
  <w:num w:numId="27">
    <w:abstractNumId w:val="2"/>
  </w:num>
  <w:num w:numId="28">
    <w:abstractNumId w:val="7"/>
  </w:num>
  <w:num w:numId="29">
    <w:abstractNumId w:val="23"/>
  </w:num>
  <w:num w:numId="30">
    <w:abstractNumId w:val="20"/>
  </w:num>
  <w:num w:numId="31">
    <w:abstractNumId w:val="33"/>
  </w:num>
  <w:num w:numId="32">
    <w:abstractNumId w:val="10"/>
  </w:num>
  <w:num w:numId="33">
    <w:abstractNumId w:val="5"/>
  </w:num>
  <w:num w:numId="34">
    <w:abstractNumId w:val="19"/>
  </w:num>
  <w:num w:numId="35">
    <w:abstractNumId w:val="28"/>
  </w:num>
  <w:num w:numId="36">
    <w:abstractNumId w:val="25"/>
  </w:num>
  <w:num w:numId="37">
    <w:abstractNumId w:val="36"/>
  </w:num>
  <w:num w:numId="3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A4"/>
    <w:rsid w:val="00001FF9"/>
    <w:rsid w:val="00015E62"/>
    <w:rsid w:val="00020BB3"/>
    <w:rsid w:val="0003284B"/>
    <w:rsid w:val="00041C66"/>
    <w:rsid w:val="0004254E"/>
    <w:rsid w:val="000510B8"/>
    <w:rsid w:val="00054DA8"/>
    <w:rsid w:val="00060080"/>
    <w:rsid w:val="00081128"/>
    <w:rsid w:val="00087936"/>
    <w:rsid w:val="00090B8A"/>
    <w:rsid w:val="00091885"/>
    <w:rsid w:val="000956EE"/>
    <w:rsid w:val="000B61C7"/>
    <w:rsid w:val="000C0F1B"/>
    <w:rsid w:val="000C2738"/>
    <w:rsid w:val="000D65DF"/>
    <w:rsid w:val="000E1750"/>
    <w:rsid w:val="000F43E1"/>
    <w:rsid w:val="00117284"/>
    <w:rsid w:val="001230CF"/>
    <w:rsid w:val="0012345E"/>
    <w:rsid w:val="001243C8"/>
    <w:rsid w:val="00126152"/>
    <w:rsid w:val="00130077"/>
    <w:rsid w:val="00132489"/>
    <w:rsid w:val="00135345"/>
    <w:rsid w:val="001478DF"/>
    <w:rsid w:val="001510F0"/>
    <w:rsid w:val="00154EF8"/>
    <w:rsid w:val="001555DA"/>
    <w:rsid w:val="00166E3B"/>
    <w:rsid w:val="00173A69"/>
    <w:rsid w:val="001805B6"/>
    <w:rsid w:val="001877EB"/>
    <w:rsid w:val="00196C14"/>
    <w:rsid w:val="00197F3A"/>
    <w:rsid w:val="001A0C59"/>
    <w:rsid w:val="001A7E6B"/>
    <w:rsid w:val="001B4688"/>
    <w:rsid w:val="001B5FD1"/>
    <w:rsid w:val="001C0171"/>
    <w:rsid w:val="001E04DC"/>
    <w:rsid w:val="001F17D1"/>
    <w:rsid w:val="001F2C3A"/>
    <w:rsid w:val="00200B03"/>
    <w:rsid w:val="00206C30"/>
    <w:rsid w:val="002316CA"/>
    <w:rsid w:val="002417A8"/>
    <w:rsid w:val="00250C65"/>
    <w:rsid w:val="00272B0E"/>
    <w:rsid w:val="002778CA"/>
    <w:rsid w:val="002826DD"/>
    <w:rsid w:val="0028788D"/>
    <w:rsid w:val="00291FE4"/>
    <w:rsid w:val="002A23B9"/>
    <w:rsid w:val="002A3EE0"/>
    <w:rsid w:val="002A4B26"/>
    <w:rsid w:val="002B3F82"/>
    <w:rsid w:val="002C558B"/>
    <w:rsid w:val="002D13B6"/>
    <w:rsid w:val="002D76EA"/>
    <w:rsid w:val="002E265F"/>
    <w:rsid w:val="002F548C"/>
    <w:rsid w:val="00304C1B"/>
    <w:rsid w:val="00316AE8"/>
    <w:rsid w:val="00324093"/>
    <w:rsid w:val="00334A2E"/>
    <w:rsid w:val="0033596C"/>
    <w:rsid w:val="00340429"/>
    <w:rsid w:val="00355809"/>
    <w:rsid w:val="00363F97"/>
    <w:rsid w:val="003755A8"/>
    <w:rsid w:val="00375747"/>
    <w:rsid w:val="003772B9"/>
    <w:rsid w:val="00387022"/>
    <w:rsid w:val="003875C6"/>
    <w:rsid w:val="0039130E"/>
    <w:rsid w:val="003936D4"/>
    <w:rsid w:val="00395EC0"/>
    <w:rsid w:val="00397B65"/>
    <w:rsid w:val="003A2B41"/>
    <w:rsid w:val="003A3303"/>
    <w:rsid w:val="003B0358"/>
    <w:rsid w:val="003C0ACA"/>
    <w:rsid w:val="003C12A9"/>
    <w:rsid w:val="003E1CF6"/>
    <w:rsid w:val="003E26BD"/>
    <w:rsid w:val="003E5A56"/>
    <w:rsid w:val="003F0F72"/>
    <w:rsid w:val="003F3BAD"/>
    <w:rsid w:val="00403726"/>
    <w:rsid w:val="00415615"/>
    <w:rsid w:val="00422D85"/>
    <w:rsid w:val="0042411B"/>
    <w:rsid w:val="0042465D"/>
    <w:rsid w:val="004249F3"/>
    <w:rsid w:val="004303CD"/>
    <w:rsid w:val="00431F27"/>
    <w:rsid w:val="00445477"/>
    <w:rsid w:val="00453D42"/>
    <w:rsid w:val="00454624"/>
    <w:rsid w:val="0045732C"/>
    <w:rsid w:val="0047084E"/>
    <w:rsid w:val="00473ABD"/>
    <w:rsid w:val="00475306"/>
    <w:rsid w:val="00487721"/>
    <w:rsid w:val="0049275B"/>
    <w:rsid w:val="00492E9F"/>
    <w:rsid w:val="004A5AAF"/>
    <w:rsid w:val="004A6085"/>
    <w:rsid w:val="004B75FB"/>
    <w:rsid w:val="004C4A1B"/>
    <w:rsid w:val="004C57D8"/>
    <w:rsid w:val="004D0261"/>
    <w:rsid w:val="004D58A4"/>
    <w:rsid w:val="004F0711"/>
    <w:rsid w:val="004F2B9F"/>
    <w:rsid w:val="00504A09"/>
    <w:rsid w:val="00511214"/>
    <w:rsid w:val="0051346D"/>
    <w:rsid w:val="00516B36"/>
    <w:rsid w:val="00522250"/>
    <w:rsid w:val="0053493C"/>
    <w:rsid w:val="00534E65"/>
    <w:rsid w:val="00545D5A"/>
    <w:rsid w:val="005527D4"/>
    <w:rsid w:val="005531AC"/>
    <w:rsid w:val="00554520"/>
    <w:rsid w:val="0056123E"/>
    <w:rsid w:val="00584C70"/>
    <w:rsid w:val="0058670F"/>
    <w:rsid w:val="00590049"/>
    <w:rsid w:val="0059358D"/>
    <w:rsid w:val="00593820"/>
    <w:rsid w:val="005939C5"/>
    <w:rsid w:val="00594E37"/>
    <w:rsid w:val="005A7F93"/>
    <w:rsid w:val="005B682B"/>
    <w:rsid w:val="005C5F17"/>
    <w:rsid w:val="005D6378"/>
    <w:rsid w:val="005F1FC0"/>
    <w:rsid w:val="005F38C7"/>
    <w:rsid w:val="005F5E17"/>
    <w:rsid w:val="005F771D"/>
    <w:rsid w:val="00605BBC"/>
    <w:rsid w:val="00614799"/>
    <w:rsid w:val="00621745"/>
    <w:rsid w:val="00623599"/>
    <w:rsid w:val="00626063"/>
    <w:rsid w:val="00630867"/>
    <w:rsid w:val="0063377A"/>
    <w:rsid w:val="006427D1"/>
    <w:rsid w:val="006430A2"/>
    <w:rsid w:val="006455E6"/>
    <w:rsid w:val="00646E11"/>
    <w:rsid w:val="006527C9"/>
    <w:rsid w:val="0065560D"/>
    <w:rsid w:val="00656FE4"/>
    <w:rsid w:val="00664F0A"/>
    <w:rsid w:val="006850DC"/>
    <w:rsid w:val="0068597A"/>
    <w:rsid w:val="00685E4F"/>
    <w:rsid w:val="00685FC6"/>
    <w:rsid w:val="0068799C"/>
    <w:rsid w:val="006915FA"/>
    <w:rsid w:val="00693C48"/>
    <w:rsid w:val="0069442D"/>
    <w:rsid w:val="00694EA9"/>
    <w:rsid w:val="006C41B1"/>
    <w:rsid w:val="006C5259"/>
    <w:rsid w:val="006E09FF"/>
    <w:rsid w:val="006F07B8"/>
    <w:rsid w:val="006F426C"/>
    <w:rsid w:val="0070063E"/>
    <w:rsid w:val="00701D89"/>
    <w:rsid w:val="00710CAE"/>
    <w:rsid w:val="00713498"/>
    <w:rsid w:val="00717BA6"/>
    <w:rsid w:val="00722E50"/>
    <w:rsid w:val="00723E26"/>
    <w:rsid w:val="007254D2"/>
    <w:rsid w:val="00727EEC"/>
    <w:rsid w:val="007328B1"/>
    <w:rsid w:val="00743D11"/>
    <w:rsid w:val="007668B2"/>
    <w:rsid w:val="007917A7"/>
    <w:rsid w:val="007B1ECF"/>
    <w:rsid w:val="007B3E1F"/>
    <w:rsid w:val="007B7B8B"/>
    <w:rsid w:val="007C17C5"/>
    <w:rsid w:val="007C51CA"/>
    <w:rsid w:val="007D567B"/>
    <w:rsid w:val="007D6BB5"/>
    <w:rsid w:val="007E5AC1"/>
    <w:rsid w:val="007E6EA2"/>
    <w:rsid w:val="007F1D3E"/>
    <w:rsid w:val="00813FB4"/>
    <w:rsid w:val="008145CF"/>
    <w:rsid w:val="0081519A"/>
    <w:rsid w:val="0083305F"/>
    <w:rsid w:val="0083716A"/>
    <w:rsid w:val="00850D3A"/>
    <w:rsid w:val="0085155A"/>
    <w:rsid w:val="00851AC5"/>
    <w:rsid w:val="00867750"/>
    <w:rsid w:val="008749C2"/>
    <w:rsid w:val="00877179"/>
    <w:rsid w:val="00880A88"/>
    <w:rsid w:val="008814ED"/>
    <w:rsid w:val="00883CF8"/>
    <w:rsid w:val="00894653"/>
    <w:rsid w:val="00895117"/>
    <w:rsid w:val="00895B5A"/>
    <w:rsid w:val="008962EC"/>
    <w:rsid w:val="008A2EE2"/>
    <w:rsid w:val="008B333E"/>
    <w:rsid w:val="008B68BA"/>
    <w:rsid w:val="008C0194"/>
    <w:rsid w:val="008C32F8"/>
    <w:rsid w:val="008C3676"/>
    <w:rsid w:val="008C4C50"/>
    <w:rsid w:val="008C5A38"/>
    <w:rsid w:val="008C6968"/>
    <w:rsid w:val="008D0FF4"/>
    <w:rsid w:val="008D30BD"/>
    <w:rsid w:val="008D7607"/>
    <w:rsid w:val="008E3C62"/>
    <w:rsid w:val="008F05C8"/>
    <w:rsid w:val="008F0B53"/>
    <w:rsid w:val="008F48D4"/>
    <w:rsid w:val="00904F9A"/>
    <w:rsid w:val="009059D8"/>
    <w:rsid w:val="00906749"/>
    <w:rsid w:val="0091130C"/>
    <w:rsid w:val="00914694"/>
    <w:rsid w:val="00914E73"/>
    <w:rsid w:val="00915F2E"/>
    <w:rsid w:val="0091706F"/>
    <w:rsid w:val="00923E33"/>
    <w:rsid w:val="009248B7"/>
    <w:rsid w:val="00925635"/>
    <w:rsid w:val="00930F1B"/>
    <w:rsid w:val="0095097C"/>
    <w:rsid w:val="00951730"/>
    <w:rsid w:val="00951761"/>
    <w:rsid w:val="009528EC"/>
    <w:rsid w:val="009537D0"/>
    <w:rsid w:val="0096726E"/>
    <w:rsid w:val="00976033"/>
    <w:rsid w:val="00982BEA"/>
    <w:rsid w:val="0098386E"/>
    <w:rsid w:val="00985898"/>
    <w:rsid w:val="009A1C33"/>
    <w:rsid w:val="009A6444"/>
    <w:rsid w:val="009B3A35"/>
    <w:rsid w:val="009B56F3"/>
    <w:rsid w:val="009B5918"/>
    <w:rsid w:val="009B64C7"/>
    <w:rsid w:val="009C5364"/>
    <w:rsid w:val="009D5323"/>
    <w:rsid w:val="009D7AE4"/>
    <w:rsid w:val="009E393E"/>
    <w:rsid w:val="009F1BD7"/>
    <w:rsid w:val="009F38EE"/>
    <w:rsid w:val="009F3B8B"/>
    <w:rsid w:val="00A10BAB"/>
    <w:rsid w:val="00A24F27"/>
    <w:rsid w:val="00A36307"/>
    <w:rsid w:val="00A36B78"/>
    <w:rsid w:val="00A5325A"/>
    <w:rsid w:val="00A5436A"/>
    <w:rsid w:val="00A62316"/>
    <w:rsid w:val="00A65B3B"/>
    <w:rsid w:val="00A75B17"/>
    <w:rsid w:val="00A928E2"/>
    <w:rsid w:val="00A93F10"/>
    <w:rsid w:val="00AA4A44"/>
    <w:rsid w:val="00AC1B25"/>
    <w:rsid w:val="00AD3575"/>
    <w:rsid w:val="00AE4C23"/>
    <w:rsid w:val="00AF2258"/>
    <w:rsid w:val="00B00C42"/>
    <w:rsid w:val="00B02EF0"/>
    <w:rsid w:val="00B321DB"/>
    <w:rsid w:val="00B344EC"/>
    <w:rsid w:val="00B3704A"/>
    <w:rsid w:val="00B41D41"/>
    <w:rsid w:val="00B428CD"/>
    <w:rsid w:val="00B47994"/>
    <w:rsid w:val="00B54830"/>
    <w:rsid w:val="00B60F30"/>
    <w:rsid w:val="00B61376"/>
    <w:rsid w:val="00B61E96"/>
    <w:rsid w:val="00B61FE8"/>
    <w:rsid w:val="00B62786"/>
    <w:rsid w:val="00B63849"/>
    <w:rsid w:val="00B750F5"/>
    <w:rsid w:val="00B87A72"/>
    <w:rsid w:val="00B911F1"/>
    <w:rsid w:val="00B94C3E"/>
    <w:rsid w:val="00B96816"/>
    <w:rsid w:val="00BA54C4"/>
    <w:rsid w:val="00BC051D"/>
    <w:rsid w:val="00BC39A3"/>
    <w:rsid w:val="00BE2EB4"/>
    <w:rsid w:val="00BF7A61"/>
    <w:rsid w:val="00C1540C"/>
    <w:rsid w:val="00C327FA"/>
    <w:rsid w:val="00C37BE7"/>
    <w:rsid w:val="00C55BBC"/>
    <w:rsid w:val="00C66049"/>
    <w:rsid w:val="00C67356"/>
    <w:rsid w:val="00C7003F"/>
    <w:rsid w:val="00C7108C"/>
    <w:rsid w:val="00C77F0C"/>
    <w:rsid w:val="00C81CC8"/>
    <w:rsid w:val="00C828E7"/>
    <w:rsid w:val="00C94C67"/>
    <w:rsid w:val="00C97F43"/>
    <w:rsid w:val="00CA22BC"/>
    <w:rsid w:val="00CA40A4"/>
    <w:rsid w:val="00CA680F"/>
    <w:rsid w:val="00CA77A1"/>
    <w:rsid w:val="00CB7B0A"/>
    <w:rsid w:val="00CC121B"/>
    <w:rsid w:val="00CD04D6"/>
    <w:rsid w:val="00CD186F"/>
    <w:rsid w:val="00CD5BBF"/>
    <w:rsid w:val="00CD6067"/>
    <w:rsid w:val="00CD7EEA"/>
    <w:rsid w:val="00CE3630"/>
    <w:rsid w:val="00D139F3"/>
    <w:rsid w:val="00D13F4D"/>
    <w:rsid w:val="00D1504D"/>
    <w:rsid w:val="00D20D3A"/>
    <w:rsid w:val="00D21038"/>
    <w:rsid w:val="00D2124C"/>
    <w:rsid w:val="00D250C8"/>
    <w:rsid w:val="00D26D8E"/>
    <w:rsid w:val="00D273B5"/>
    <w:rsid w:val="00D30974"/>
    <w:rsid w:val="00D3341F"/>
    <w:rsid w:val="00D37AD0"/>
    <w:rsid w:val="00D40F39"/>
    <w:rsid w:val="00D4425A"/>
    <w:rsid w:val="00D509BF"/>
    <w:rsid w:val="00D51BA4"/>
    <w:rsid w:val="00D604D0"/>
    <w:rsid w:val="00D70E27"/>
    <w:rsid w:val="00D712AF"/>
    <w:rsid w:val="00D7492C"/>
    <w:rsid w:val="00D800E5"/>
    <w:rsid w:val="00D8158B"/>
    <w:rsid w:val="00D90292"/>
    <w:rsid w:val="00D92258"/>
    <w:rsid w:val="00D93155"/>
    <w:rsid w:val="00D94773"/>
    <w:rsid w:val="00DA3004"/>
    <w:rsid w:val="00DA392C"/>
    <w:rsid w:val="00DB166D"/>
    <w:rsid w:val="00DB369A"/>
    <w:rsid w:val="00DB5428"/>
    <w:rsid w:val="00DC0DB9"/>
    <w:rsid w:val="00DC153A"/>
    <w:rsid w:val="00DC7168"/>
    <w:rsid w:val="00DE3163"/>
    <w:rsid w:val="00DE547A"/>
    <w:rsid w:val="00DF15A9"/>
    <w:rsid w:val="00DF2D7A"/>
    <w:rsid w:val="00DF5B70"/>
    <w:rsid w:val="00DF6C51"/>
    <w:rsid w:val="00DF7977"/>
    <w:rsid w:val="00E03B99"/>
    <w:rsid w:val="00E23C37"/>
    <w:rsid w:val="00E33678"/>
    <w:rsid w:val="00E557E1"/>
    <w:rsid w:val="00E67165"/>
    <w:rsid w:val="00E672FD"/>
    <w:rsid w:val="00E71991"/>
    <w:rsid w:val="00E96AA4"/>
    <w:rsid w:val="00E976A5"/>
    <w:rsid w:val="00EB4E09"/>
    <w:rsid w:val="00EB4E41"/>
    <w:rsid w:val="00EB55BA"/>
    <w:rsid w:val="00EC48DF"/>
    <w:rsid w:val="00ED6CF0"/>
    <w:rsid w:val="00ED7F06"/>
    <w:rsid w:val="00EE1608"/>
    <w:rsid w:val="00EE7959"/>
    <w:rsid w:val="00EF0077"/>
    <w:rsid w:val="00EF1817"/>
    <w:rsid w:val="00EF2514"/>
    <w:rsid w:val="00EF2EE9"/>
    <w:rsid w:val="00EF3DE9"/>
    <w:rsid w:val="00EF5F9A"/>
    <w:rsid w:val="00F16CB0"/>
    <w:rsid w:val="00F51AB3"/>
    <w:rsid w:val="00F57714"/>
    <w:rsid w:val="00F64FBD"/>
    <w:rsid w:val="00F65DCD"/>
    <w:rsid w:val="00F66986"/>
    <w:rsid w:val="00F73603"/>
    <w:rsid w:val="00FD17E7"/>
    <w:rsid w:val="00FD5A70"/>
    <w:rsid w:val="00FE213F"/>
    <w:rsid w:val="00FF1D14"/>
    <w:rsid w:val="00FF3725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9A7CE75"/>
  <w15:chartTrackingRefBased/>
  <w15:docId w15:val="{DD92FAA3-56C2-41E9-AAF3-E4B72B36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1510F0"/>
    <w:rPr>
      <w:sz w:val="24"/>
      <w:szCs w:val="24"/>
    </w:rPr>
  </w:style>
  <w:style w:type="paragraph" w:styleId="1">
    <w:name w:val="heading 1"/>
    <w:basedOn w:val="a1"/>
    <w:next w:val="a2"/>
    <w:link w:val="10"/>
    <w:qFormat/>
    <w:rsid w:val="00AD3575"/>
    <w:pPr>
      <w:keepNext/>
      <w:numPr>
        <w:numId w:val="0"/>
      </w:numPr>
    </w:pPr>
    <w:rPr>
      <w:rFonts w:ascii="Calibri Light" w:hAnsi="Calibri Light"/>
      <w:bCs w:val="0"/>
      <w:kern w:val="32"/>
      <w:sz w:val="28"/>
    </w:rPr>
  </w:style>
  <w:style w:type="paragraph" w:styleId="2">
    <w:name w:val="heading 2"/>
    <w:basedOn w:val="a2"/>
    <w:next w:val="a2"/>
    <w:link w:val="20"/>
    <w:qFormat/>
    <w:rsid w:val="008E3C6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bCs/>
      <w:iCs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1">
    <w:name w:val="Body Text 2"/>
    <w:basedOn w:val="a2"/>
    <w:link w:val="22"/>
    <w:rsid w:val="001510F0"/>
    <w:rPr>
      <w:rFonts w:ascii="Arial" w:hAnsi="Arial"/>
      <w:sz w:val="20"/>
      <w:lang w:val="x-none" w:eastAsia="x-none"/>
    </w:rPr>
  </w:style>
  <w:style w:type="paragraph" w:styleId="a6">
    <w:name w:val="header"/>
    <w:basedOn w:val="a2"/>
    <w:rsid w:val="00340429"/>
    <w:pPr>
      <w:tabs>
        <w:tab w:val="center" w:pos="4677"/>
        <w:tab w:val="right" w:pos="9355"/>
      </w:tabs>
    </w:pPr>
  </w:style>
  <w:style w:type="character" w:styleId="a7">
    <w:name w:val="page number"/>
    <w:basedOn w:val="a3"/>
    <w:rsid w:val="00340429"/>
  </w:style>
  <w:style w:type="character" w:styleId="a8">
    <w:name w:val="Hyperlink"/>
    <w:uiPriority w:val="99"/>
    <w:rsid w:val="0063377A"/>
    <w:rPr>
      <w:color w:val="0000FF"/>
      <w:u w:val="single"/>
    </w:rPr>
  </w:style>
  <w:style w:type="paragraph" w:styleId="a9">
    <w:name w:val="footer"/>
    <w:basedOn w:val="a2"/>
    <w:rsid w:val="008145CF"/>
    <w:pPr>
      <w:tabs>
        <w:tab w:val="center" w:pos="4677"/>
        <w:tab w:val="right" w:pos="9355"/>
      </w:tabs>
    </w:pPr>
  </w:style>
  <w:style w:type="character" w:styleId="aa">
    <w:name w:val="FollowedHyperlink"/>
    <w:rsid w:val="008C32F8"/>
    <w:rPr>
      <w:color w:val="800080"/>
      <w:u w:val="single"/>
    </w:rPr>
  </w:style>
  <w:style w:type="paragraph" w:styleId="ab">
    <w:name w:val="Balloon Text"/>
    <w:basedOn w:val="a2"/>
    <w:link w:val="ac"/>
    <w:rsid w:val="00DF5B70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DF5B7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CA77A1"/>
    <w:rPr>
      <w:rFonts w:ascii="Arial" w:hAnsi="Arial" w:cs="Arial"/>
      <w:szCs w:val="24"/>
    </w:rPr>
  </w:style>
  <w:style w:type="paragraph" w:customStyle="1" w:styleId="210">
    <w:name w:val="Основной текст с отступом 21"/>
    <w:basedOn w:val="a2"/>
    <w:rsid w:val="000B61C7"/>
    <w:pPr>
      <w:overflowPunct w:val="0"/>
      <w:autoSpaceDE w:val="0"/>
      <w:autoSpaceDN w:val="0"/>
      <w:adjustRightInd w:val="0"/>
      <w:ind w:firstLine="567"/>
      <w:textAlignment w:val="baseline"/>
    </w:pPr>
    <w:rPr>
      <w:rFonts w:ascii="Arial" w:hAnsi="Arial"/>
      <w:sz w:val="28"/>
      <w:szCs w:val="20"/>
    </w:rPr>
  </w:style>
  <w:style w:type="character" w:customStyle="1" w:styleId="20">
    <w:name w:val="Заголовок 2 Знак"/>
    <w:link w:val="2"/>
    <w:rsid w:val="008E3C62"/>
    <w:rPr>
      <w:rFonts w:ascii="Arial" w:hAnsi="Arial"/>
      <w:b/>
      <w:bCs/>
      <w:iCs/>
      <w:sz w:val="24"/>
      <w:szCs w:val="28"/>
    </w:rPr>
  </w:style>
  <w:style w:type="paragraph" w:customStyle="1" w:styleId="a">
    <w:name w:val="Правила"/>
    <w:basedOn w:val="a2"/>
    <w:rsid w:val="00487721"/>
    <w:pPr>
      <w:numPr>
        <w:ilvl w:val="1"/>
        <w:numId w:val="10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paragraph" w:customStyle="1" w:styleId="a0">
    <w:name w:val="многоуровневый"/>
    <w:basedOn w:val="a2"/>
    <w:rsid w:val="00487721"/>
    <w:pPr>
      <w:numPr>
        <w:ilvl w:val="2"/>
        <w:numId w:val="10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paragraph" w:styleId="ad">
    <w:name w:val="List Paragraph"/>
    <w:basedOn w:val="a2"/>
    <w:uiPriority w:val="34"/>
    <w:qFormat/>
    <w:rsid w:val="00E976A5"/>
    <w:pPr>
      <w:ind w:left="708"/>
    </w:pPr>
  </w:style>
  <w:style w:type="paragraph" w:customStyle="1" w:styleId="Default">
    <w:name w:val="Default"/>
    <w:rsid w:val="003C0A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Revision"/>
    <w:hidden/>
    <w:uiPriority w:val="99"/>
    <w:semiHidden/>
    <w:rsid w:val="008B68BA"/>
    <w:rPr>
      <w:sz w:val="24"/>
      <w:szCs w:val="24"/>
    </w:rPr>
  </w:style>
  <w:style w:type="character" w:styleId="af">
    <w:name w:val="Unresolved Mention"/>
    <w:uiPriority w:val="99"/>
    <w:semiHidden/>
    <w:unhideWhenUsed/>
    <w:rsid w:val="001877EB"/>
    <w:rPr>
      <w:color w:val="605E5C"/>
      <w:shd w:val="clear" w:color="auto" w:fill="E1DFDD"/>
    </w:rPr>
  </w:style>
  <w:style w:type="character" w:styleId="af0">
    <w:name w:val="annotation reference"/>
    <w:rsid w:val="00473ABD"/>
    <w:rPr>
      <w:sz w:val="16"/>
      <w:szCs w:val="16"/>
    </w:rPr>
  </w:style>
  <w:style w:type="paragraph" w:styleId="af1">
    <w:name w:val="annotation text"/>
    <w:basedOn w:val="a2"/>
    <w:link w:val="af2"/>
    <w:rsid w:val="00473ABD"/>
    <w:rPr>
      <w:sz w:val="20"/>
      <w:szCs w:val="20"/>
    </w:rPr>
  </w:style>
  <w:style w:type="character" w:customStyle="1" w:styleId="af2">
    <w:name w:val="Текст примечания Знак"/>
    <w:basedOn w:val="a3"/>
    <w:link w:val="af1"/>
    <w:rsid w:val="00473ABD"/>
  </w:style>
  <w:style w:type="paragraph" w:styleId="af3">
    <w:name w:val="annotation subject"/>
    <w:basedOn w:val="af1"/>
    <w:next w:val="af1"/>
    <w:link w:val="af4"/>
    <w:rsid w:val="00473ABD"/>
    <w:rPr>
      <w:b/>
      <w:bCs/>
    </w:rPr>
  </w:style>
  <w:style w:type="character" w:customStyle="1" w:styleId="af4">
    <w:name w:val="Тема примечания Знак"/>
    <w:link w:val="af3"/>
    <w:rsid w:val="00473ABD"/>
    <w:rPr>
      <w:b/>
      <w:bCs/>
    </w:rPr>
  </w:style>
  <w:style w:type="character" w:customStyle="1" w:styleId="10">
    <w:name w:val="Заголовок 1 Знак"/>
    <w:link w:val="1"/>
    <w:rsid w:val="00AD3575"/>
    <w:rPr>
      <w:rFonts w:ascii="Calibri Light" w:eastAsia="Times New Roman" w:hAnsi="Calibri Light" w:cs="Times New Roman"/>
      <w:b/>
      <w:kern w:val="32"/>
      <w:sz w:val="28"/>
      <w:szCs w:val="32"/>
    </w:rPr>
  </w:style>
  <w:style w:type="paragraph" w:styleId="af5">
    <w:name w:val="TOC Heading"/>
    <w:basedOn w:val="1"/>
    <w:next w:val="a2"/>
    <w:uiPriority w:val="39"/>
    <w:unhideWhenUsed/>
    <w:qFormat/>
    <w:rsid w:val="009B5918"/>
    <w:pPr>
      <w:keepLines/>
      <w:spacing w:after="0" w:line="259" w:lineRule="auto"/>
      <w:outlineLvl w:val="9"/>
    </w:pPr>
    <w:rPr>
      <w:b w:val="0"/>
      <w:bCs/>
      <w:color w:val="2F5496"/>
      <w:kern w:val="0"/>
    </w:rPr>
  </w:style>
  <w:style w:type="paragraph" w:styleId="23">
    <w:name w:val="toc 2"/>
    <w:basedOn w:val="a2"/>
    <w:next w:val="a2"/>
    <w:autoRedefine/>
    <w:uiPriority w:val="39"/>
    <w:rsid w:val="009B5918"/>
    <w:pPr>
      <w:ind w:left="240"/>
    </w:pPr>
  </w:style>
  <w:style w:type="paragraph" w:styleId="a1">
    <w:name w:val="Title"/>
    <w:basedOn w:val="a2"/>
    <w:next w:val="a2"/>
    <w:link w:val="af6"/>
    <w:qFormat/>
    <w:rsid w:val="00AD3575"/>
    <w:pPr>
      <w:numPr>
        <w:numId w:val="24"/>
      </w:num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af6">
    <w:name w:val="Заголовок Знак"/>
    <w:link w:val="a1"/>
    <w:rsid w:val="00AD3575"/>
    <w:rPr>
      <w:rFonts w:eastAsia="Times New Roman" w:cs="Times New Roman"/>
      <w:b/>
      <w:bCs/>
      <w:kern w:val="28"/>
      <w:sz w:val="32"/>
      <w:szCs w:val="32"/>
    </w:rPr>
  </w:style>
  <w:style w:type="character" w:styleId="af7">
    <w:name w:val="Strong"/>
    <w:qFormat/>
    <w:rsid w:val="008E3C62"/>
    <w:rPr>
      <w:b/>
      <w:bCs/>
    </w:rPr>
  </w:style>
  <w:style w:type="paragraph" w:styleId="af8">
    <w:name w:val="Subtitle"/>
    <w:basedOn w:val="a2"/>
    <w:next w:val="a2"/>
    <w:link w:val="af9"/>
    <w:qFormat/>
    <w:rsid w:val="0049275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9">
    <w:name w:val="Подзаголовок Знак"/>
    <w:link w:val="af8"/>
    <w:rsid w:val="0049275B"/>
    <w:rPr>
      <w:rFonts w:ascii="Calibri Light" w:eastAsia="Times New Roman" w:hAnsi="Calibri Light" w:cs="Times New Roman"/>
      <w:sz w:val="24"/>
      <w:szCs w:val="24"/>
    </w:rPr>
  </w:style>
  <w:style w:type="paragraph" w:styleId="afa">
    <w:name w:val="No Spacing"/>
    <w:uiPriority w:val="1"/>
    <w:qFormat/>
    <w:rsid w:val="0056123E"/>
    <w:rPr>
      <w:sz w:val="24"/>
      <w:szCs w:val="24"/>
    </w:rPr>
  </w:style>
  <w:style w:type="paragraph" w:styleId="11">
    <w:name w:val="toc 1"/>
    <w:basedOn w:val="a2"/>
    <w:next w:val="a2"/>
    <w:autoRedefine/>
    <w:uiPriority w:val="39"/>
    <w:rsid w:val="00AD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mex.org/ru/investment/TI2022/norm_docs22" TargetMode="External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4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fs.moex.com/files/1705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1.doc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https://fs.moex.com/files/17037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24" Type="http://schemas.openxmlformats.org/officeDocument/2006/relationships/hyperlink" Target="https://fs.moex.com/files/1755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terventions@moex.com" TargetMode="External"/><Relationship Id="rId23" Type="http://schemas.openxmlformats.org/officeDocument/2006/relationships/hyperlink" Target="https://fs.moex.com/files/17554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2.docx"/><Relationship Id="rId4" Type="http://schemas.openxmlformats.org/officeDocument/2006/relationships/settings" Target="settings.xml"/><Relationship Id="rId9" Type="http://schemas.openxmlformats.org/officeDocument/2006/relationships/hyperlink" Target="mailto:Interventions@moex.com" TargetMode="External"/><Relationship Id="rId14" Type="http://schemas.openxmlformats.org/officeDocument/2006/relationships/hyperlink" Target="https://fs.moex.com/files/22932/" TargetMode="External"/><Relationship Id="rId22" Type="http://schemas.openxmlformats.org/officeDocument/2006/relationships/hyperlink" Target="mailto:Interventions@moex.com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9BDD-C66C-4C32-9F96-53A94C76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803</Words>
  <Characters>6546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Участникам Биржевых торгов</vt:lpstr>
    </vt:vector>
  </TitlesOfParts>
  <Company>MICEX</Company>
  <LinksUpToDate>false</LinksUpToDate>
  <CharactersWithSpaces>7335</CharactersWithSpaces>
  <SharedDoc>false</SharedDoc>
  <HLinks>
    <vt:vector size="78" baseType="variant">
      <vt:variant>
        <vt:i4>74449022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_Образец_платёжного_поручения</vt:lpwstr>
      </vt:variant>
      <vt:variant>
        <vt:i4>4784234</vt:i4>
      </vt:variant>
      <vt:variant>
        <vt:i4>69</vt:i4>
      </vt:variant>
      <vt:variant>
        <vt:i4>0</vt:i4>
      </vt:variant>
      <vt:variant>
        <vt:i4>5</vt:i4>
      </vt:variant>
      <vt:variant>
        <vt:lpwstr>mailto:Interventions@moex.com</vt:lpwstr>
      </vt:variant>
      <vt:variant>
        <vt:lpwstr/>
      </vt:variant>
      <vt:variant>
        <vt:i4>7667721</vt:i4>
      </vt:variant>
      <vt:variant>
        <vt:i4>66</vt:i4>
      </vt:variant>
      <vt:variant>
        <vt:i4>0</vt:i4>
      </vt:variant>
      <vt:variant>
        <vt:i4>5</vt:i4>
      </vt:variant>
      <vt:variant>
        <vt:lpwstr>mailto:client-tehdostup@moex.com</vt:lpwstr>
      </vt:variant>
      <vt:variant>
        <vt:lpwstr/>
      </vt:variant>
      <vt:variant>
        <vt:i4>4784234</vt:i4>
      </vt:variant>
      <vt:variant>
        <vt:i4>54</vt:i4>
      </vt:variant>
      <vt:variant>
        <vt:i4>0</vt:i4>
      </vt:variant>
      <vt:variant>
        <vt:i4>5</vt:i4>
      </vt:variant>
      <vt:variant>
        <vt:lpwstr>mailto:Interventions@moex.com</vt:lpwstr>
      </vt:variant>
      <vt:variant>
        <vt:lpwstr/>
      </vt:variant>
      <vt:variant>
        <vt:i4>1572889</vt:i4>
      </vt:variant>
      <vt:variant>
        <vt:i4>51</vt:i4>
      </vt:variant>
      <vt:variant>
        <vt:i4>0</vt:i4>
      </vt:variant>
      <vt:variant>
        <vt:i4>5</vt:i4>
      </vt:variant>
      <vt:variant>
        <vt:lpwstr>https://www.namex.org/ru/investment/purchase</vt:lpwstr>
      </vt:variant>
      <vt:variant>
        <vt:lpwstr/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_Toc93927662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_Toc93927661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_Toc93927660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_Toc93927655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_Toc93927654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_Toc93927653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_Toc93927652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_Toc93927651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Участникам Биржевых торгов</dc:title>
  <dc:subject/>
  <dc:creator>SolovevP</dc:creator>
  <cp:keywords/>
  <cp:lastModifiedBy>Москаленко Сергей Александрович</cp:lastModifiedBy>
  <cp:revision>5</cp:revision>
  <cp:lastPrinted>2013-01-23T14:30:00Z</cp:lastPrinted>
  <dcterms:created xsi:type="dcterms:W3CDTF">2022-02-03T14:26:00Z</dcterms:created>
  <dcterms:modified xsi:type="dcterms:W3CDTF">2022-02-07T09:05:00Z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