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36AB" w:rsidRDefault="00A236AB" w:rsidP="00A236AB">
      <w:pPr>
        <w:spacing w:after="0" w:line="240" w:lineRule="auto"/>
      </w:pPr>
      <w:r>
        <w:t xml:space="preserve">Зарегистрировано </w:t>
      </w:r>
    </w:p>
    <w:p w:rsidR="00A236AB" w:rsidRDefault="00A236AB" w:rsidP="00A236AB">
      <w:pPr>
        <w:spacing w:after="0" w:line="240" w:lineRule="auto"/>
      </w:pPr>
      <w:r>
        <w:t xml:space="preserve">Министерством юстиции </w:t>
      </w:r>
    </w:p>
    <w:p w:rsidR="00A236AB" w:rsidRDefault="00A236AB" w:rsidP="00A236AB">
      <w:pPr>
        <w:spacing w:after="0" w:line="240" w:lineRule="auto"/>
      </w:pPr>
      <w:r>
        <w:t xml:space="preserve">Российской Федерации </w:t>
      </w:r>
    </w:p>
    <w:p w:rsidR="00A236AB" w:rsidRDefault="00A236AB" w:rsidP="00A236AB">
      <w:pPr>
        <w:spacing w:after="0" w:line="240" w:lineRule="auto"/>
      </w:pPr>
      <w:r>
        <w:t xml:space="preserve">27 марта 2015 года </w:t>
      </w:r>
    </w:p>
    <w:p w:rsidR="00A236AB" w:rsidRDefault="00A236AB" w:rsidP="00A236AB">
      <w:pPr>
        <w:spacing w:after="0" w:line="240" w:lineRule="auto"/>
      </w:pPr>
      <w:r>
        <w:t>Регистрационный № 36575</w:t>
      </w:r>
    </w:p>
    <w:p w:rsidR="00A236AB" w:rsidRDefault="00A236AB" w:rsidP="00A236AB">
      <w:pPr>
        <w:spacing w:after="0" w:line="240" w:lineRule="auto"/>
      </w:pPr>
    </w:p>
    <w:p w:rsidR="00A236AB" w:rsidRDefault="00A236AB" w:rsidP="00A236AB">
      <w:r>
        <w:t xml:space="preserve">16 февраля 2015 года </w:t>
      </w:r>
      <w:r>
        <w:tab/>
      </w:r>
      <w:r>
        <w:tab/>
      </w:r>
      <w:r>
        <w:tab/>
      </w:r>
      <w:r>
        <w:tab/>
      </w:r>
      <w:r>
        <w:tab/>
      </w:r>
      <w:r>
        <w:tab/>
      </w:r>
      <w:r>
        <w:tab/>
      </w:r>
      <w:r>
        <w:tab/>
      </w:r>
      <w:r>
        <w:tab/>
      </w:r>
      <w:r>
        <w:t>№ 3565-У</w:t>
      </w:r>
    </w:p>
    <w:p w:rsidR="00A236AB" w:rsidRPr="00A236AB" w:rsidRDefault="00A236AB" w:rsidP="00A236AB">
      <w:pPr>
        <w:jc w:val="center"/>
        <w:rPr>
          <w:b/>
          <w:sz w:val="26"/>
          <w:szCs w:val="26"/>
        </w:rPr>
      </w:pPr>
      <w:bookmarkStart w:id="0" w:name="_GoBack"/>
      <w:r w:rsidRPr="00A236AB">
        <w:rPr>
          <w:b/>
          <w:sz w:val="26"/>
          <w:szCs w:val="26"/>
        </w:rPr>
        <w:t>У</w:t>
      </w:r>
      <w:bookmarkEnd w:id="0"/>
      <w:r w:rsidRPr="00A236AB">
        <w:rPr>
          <w:b/>
          <w:sz w:val="26"/>
          <w:szCs w:val="26"/>
        </w:rPr>
        <w:t>КАЗАНИЕ</w:t>
      </w:r>
    </w:p>
    <w:p w:rsidR="00A236AB" w:rsidRPr="00A236AB" w:rsidRDefault="00A236AB" w:rsidP="00A236AB">
      <w:pPr>
        <w:jc w:val="center"/>
        <w:rPr>
          <w:b/>
          <w:sz w:val="26"/>
          <w:szCs w:val="26"/>
        </w:rPr>
      </w:pPr>
      <w:r w:rsidRPr="00A236AB">
        <w:rPr>
          <w:b/>
          <w:sz w:val="26"/>
          <w:szCs w:val="26"/>
        </w:rPr>
        <w:t>О видах производных финансовых инструментов</w:t>
      </w:r>
    </w:p>
    <w:p w:rsidR="00A236AB" w:rsidRDefault="00A236AB" w:rsidP="00A236AB">
      <w:pPr>
        <w:spacing w:after="0" w:line="240" w:lineRule="auto"/>
        <w:ind w:firstLine="709"/>
      </w:pPr>
      <w:r>
        <w:t xml:space="preserve">Настоящее Указание в соответствии с пунктом 2 статьи 44 Федерального закона от 22 апреля 1996 года № 39-ФЗ “О рынке ценных бумаг” (Собрание законодательства Российской Федерации, 1996, № 17, ст. 1918; 2001, № 33, ст. 3424; 2002, № 52, ст. 5141; 2004, № 27, ст. 2711; № 31, ст. 3225; 2005, № 11, ст. 900; № 25, ст. 2426; 2006, № 1, ст. 5; № 2, ст. 172; № 17, ст. 1780; № 31, ст. 3437; № 43, ст. 4412; 2007, № 1, ст. 45; № 18, ст. 2117; № 22, ст. 2563; № 41, ст. 4845; № 50, ст. 6247, ст. 6249; 2008, № 52, ст. 6221; 2009, № 1, ст. 28; № 18, ст. 2154; № 23, ст. 2770; № 29, ст. 3642; № 48, ст. 5731; № 52, ст. 6428; 2010, № 17, ст. 1988; № 31, ст. 4193; № 41, ст. 5193; 2011, № 7, ст. 905; № 23, ст. 3262; № 27, ст. 3880; № 29, ст. 4291; № 48, ст. 6728; № 49, ст. 7040; № 50, ст. 7357; 2012, № 25, ст. 3269; № 31, ст. 4334; № 53, ст. 7607; 2013, № 26, ст. 3207; № 30, ст. 4043, ст. 4082, ст. 4084; № 51, ст. 6699; № 52, ст. 6985; 2014, № 30, ст. 4219) определяет виды производных финансовых инструментов. </w:t>
      </w:r>
    </w:p>
    <w:p w:rsidR="00A236AB" w:rsidRDefault="00A236AB" w:rsidP="00A236AB">
      <w:pPr>
        <w:spacing w:after="0" w:line="240" w:lineRule="auto"/>
        <w:ind w:firstLine="709"/>
      </w:pPr>
      <w:r>
        <w:t xml:space="preserve">1. Базисными активами производных финансовых инструментов являются ценные бумаги, товары, валюта, процентные ставки, уровень инфляции, официальная статистическая информация, физические, биологические и (или) химические показатели состояния окружающей среды, договоры, являющиеся производными финансовыми инструментами, значения, рассчитываемые на основании одного или совокупности нескольких указанных в настоящем пункте показателей, от цен (значений) которых зависят обязательства стороны или сторон договора, являющегося производным финансовым инструментом. </w:t>
      </w:r>
    </w:p>
    <w:p w:rsidR="00A236AB" w:rsidRDefault="00A236AB" w:rsidP="00A236AB">
      <w:pPr>
        <w:spacing w:after="0" w:line="240" w:lineRule="auto"/>
        <w:ind w:firstLine="709"/>
      </w:pPr>
      <w:r>
        <w:t xml:space="preserve">Базисным активом производного финансового инструмента также является наступление обстоятельства, соответствующего условиям, предусмотренным договором, являющимся производным финансовым инструментом, и свидетельствующего о неисполнении или ненадлежащем исполнении одним или несколькими юридическими лицами, государствами или муниципальными образованиями (далее – контрольное лицо) своих обязанностей, о наличии оснований для предъявления требования о досрочном исполнении обязанностей контрольного лица, о реструктуризации задолженности контрольного лица, о признании контрольного лица несостоятельным (банкротом), о действиях государственных органов, способных воспрепятствовать исполнению контрольным лицом своих обязанностей, либо иного обстоятельства, которое предусмотрено законодательством Российской Федерации и относительно которого неизвестно, наступит оно или не наступит (далее – кредитное событие), при условии, что о наступлении такого кредитного события сделано сообщение, соответствующее условиям, предусмотренным договором, являющимся производным финансовым инструментом. </w:t>
      </w:r>
    </w:p>
    <w:p w:rsidR="00A236AB" w:rsidRDefault="00A236AB" w:rsidP="00A236AB">
      <w:pPr>
        <w:spacing w:after="0" w:line="240" w:lineRule="auto"/>
        <w:ind w:firstLine="709"/>
      </w:pPr>
      <w:r>
        <w:t xml:space="preserve">Производный финансовый инструмент может иметь более одного базисного актива. </w:t>
      </w:r>
    </w:p>
    <w:p w:rsidR="00A236AB" w:rsidRDefault="00A236AB" w:rsidP="00A236AB">
      <w:pPr>
        <w:spacing w:after="0" w:line="240" w:lineRule="auto"/>
        <w:ind w:firstLine="709"/>
      </w:pPr>
      <w:r>
        <w:t xml:space="preserve">2. Опционным договором признается: </w:t>
      </w:r>
    </w:p>
    <w:p w:rsidR="00A236AB" w:rsidRDefault="00A236AB" w:rsidP="00A236AB">
      <w:pPr>
        <w:spacing w:after="0" w:line="240" w:lineRule="auto"/>
        <w:ind w:firstLine="709"/>
      </w:pPr>
      <w:r>
        <w:t xml:space="preserve">договор, предусматривающий обязанность стороны договора в случае предъявления требования другой стороной периодически и (или) единовременно уплачивать денежные суммы в зависимости от изменения цен (значений) базисного актива и (или) наступления обстоятельства, являющегося базисным активом; </w:t>
      </w:r>
    </w:p>
    <w:p w:rsidR="00A236AB" w:rsidRDefault="00A236AB" w:rsidP="00A236AB">
      <w:pPr>
        <w:spacing w:after="0" w:line="240" w:lineRule="auto"/>
        <w:ind w:firstLine="709"/>
      </w:pPr>
      <w:r>
        <w:t xml:space="preserve">договор, предусматривающий одну из следующих обязанностей: </w:t>
      </w:r>
    </w:p>
    <w:p w:rsidR="00A236AB" w:rsidRDefault="00A236AB" w:rsidP="00A236AB">
      <w:pPr>
        <w:spacing w:after="0" w:line="240" w:lineRule="auto"/>
        <w:ind w:firstLine="709"/>
      </w:pPr>
      <w:r>
        <w:t xml:space="preserve">обязанность стороны договора на условиях, определенных при его заключении, в случае предъявления требования другой стороной купить или продать ценные бумаги, валюту или товар, являющиеся базисным активом, в том числе путем заключения стороной (сторонами) и (или) лицом (лицами), в интересах которого (которых) был заключен опционный договор, договора </w:t>
      </w:r>
      <w:r>
        <w:lastRenderedPageBreak/>
        <w:t xml:space="preserve">купли-продажи ценных бумаг, договора купли-продажи иностранной валюты или договора поставки товара; </w:t>
      </w:r>
    </w:p>
    <w:p w:rsidR="00A236AB" w:rsidRDefault="00A236AB" w:rsidP="00A236AB">
      <w:pPr>
        <w:spacing w:after="0" w:line="240" w:lineRule="auto"/>
        <w:ind w:firstLine="709"/>
      </w:pPr>
      <w:r>
        <w:t xml:space="preserve">обязанность стороны договора в случае предъявления требования другой стороной заключить договор, являющийся производным финансовым инструментом и составляющий базисный актив. </w:t>
      </w:r>
    </w:p>
    <w:p w:rsidR="00A236AB" w:rsidRDefault="00A236AB" w:rsidP="00A236AB">
      <w:pPr>
        <w:spacing w:after="0" w:line="240" w:lineRule="auto"/>
        <w:ind w:firstLine="709"/>
      </w:pPr>
      <w:r>
        <w:t xml:space="preserve">Опционный договор помимо условий, установленных абзацем четвертым или пятым настоящего пункта, может также предусматривать обязанность каждой из сторон периодически уплачивать денежные суммы в зависимости от изменения цен (значений) базисного актива и (или) наступления обстоятельства, являющегося базисным активом. </w:t>
      </w:r>
    </w:p>
    <w:p w:rsidR="00A236AB" w:rsidRDefault="00A236AB" w:rsidP="00A236AB">
      <w:pPr>
        <w:spacing w:after="0" w:line="240" w:lineRule="auto"/>
        <w:ind w:firstLine="709"/>
      </w:pPr>
      <w:r>
        <w:t xml:space="preserve">Опционный договор, предусматривающий обязанность, установленную абзацем четвертым или пятым настоящего пункта, если иное не установлено условиями опционного договора, является поставочным договором. Иные опционные договоры являются расчетными договорами. </w:t>
      </w:r>
    </w:p>
    <w:p w:rsidR="00A236AB" w:rsidRDefault="00A236AB" w:rsidP="00A236AB">
      <w:pPr>
        <w:spacing w:after="0" w:line="240" w:lineRule="auto"/>
        <w:ind w:firstLine="709"/>
      </w:pPr>
      <w:r>
        <w:t xml:space="preserve">3. Фьючерсным договором признается заключаемый на биржевых торгах договор, предусматривающий обязанность каждой из сторон договора периодически уплачивать денежные суммы в зависимости от изменения цен (значений) базисного актива и (или) наступления обстоятельства, являющегося базисным активом. </w:t>
      </w:r>
    </w:p>
    <w:p w:rsidR="00A236AB" w:rsidRDefault="00A236AB" w:rsidP="00A236AB">
      <w:pPr>
        <w:spacing w:after="0" w:line="240" w:lineRule="auto"/>
        <w:ind w:firstLine="709"/>
      </w:pPr>
      <w:r>
        <w:t xml:space="preserve">Фьючерсный договор помимо условий, установленных абзацем первым настоящего пункта, может также предусматривать одну из следующих обязанностей: </w:t>
      </w:r>
    </w:p>
    <w:p w:rsidR="00A236AB" w:rsidRDefault="00A236AB" w:rsidP="00A236AB">
      <w:pPr>
        <w:spacing w:after="0" w:line="240" w:lineRule="auto"/>
        <w:ind w:firstLine="709"/>
      </w:pPr>
      <w:r>
        <w:t>обязанность одной стороны договора передать ценные бумаги, валюту или товар, являющиеся базисным активом, в собственность другой стороне или лицу (лицам), в интересах которых был заключен фьючерсный договор, в том числе путем заключения стороной (сторонами) фьючерсного договора и (или) лицом (лицами), в интересах которых был заключен фьючерсный договор, договора купли</w:t>
      </w:r>
      <w:r>
        <w:t>-</w:t>
      </w:r>
      <w:r>
        <w:t xml:space="preserve">продажи ценных бумаг, договора купли-продажи иностранной валюты или договора поставки товара; </w:t>
      </w:r>
    </w:p>
    <w:p w:rsidR="00A236AB" w:rsidRDefault="00A236AB" w:rsidP="00A236AB">
      <w:pPr>
        <w:spacing w:after="0" w:line="240" w:lineRule="auto"/>
        <w:ind w:firstLine="709"/>
      </w:pPr>
      <w:r>
        <w:t xml:space="preserve">обязанность сторон фьючерсного договора заключить договор, являющийся производным финансовым инструментом и составляющий базисный актив. </w:t>
      </w:r>
    </w:p>
    <w:p w:rsidR="00A236AB" w:rsidRDefault="00A236AB" w:rsidP="00A236AB">
      <w:pPr>
        <w:spacing w:after="0" w:line="240" w:lineRule="auto"/>
        <w:ind w:firstLine="709"/>
      </w:pPr>
      <w:r>
        <w:t xml:space="preserve">Фьючерсный договор, предусматривающий обязанность, установленную абзацем третьим или четвертым настоящего пункта, если иное не установлено условиями фьючерсного договора, является поставочным договором. Иные фьючерсные договоры являются расчетными договорами. </w:t>
      </w:r>
    </w:p>
    <w:p w:rsidR="00A236AB" w:rsidRDefault="00A236AB" w:rsidP="00A236AB">
      <w:pPr>
        <w:spacing w:after="0" w:line="240" w:lineRule="auto"/>
        <w:ind w:firstLine="708"/>
      </w:pPr>
      <w:r>
        <w:t xml:space="preserve">4. Форвардным договором признается договор, предусматривающий одну из следующих обязанностей: </w:t>
      </w:r>
    </w:p>
    <w:p w:rsidR="00A236AB" w:rsidRDefault="00A236AB" w:rsidP="00A236AB">
      <w:pPr>
        <w:spacing w:after="0" w:line="240" w:lineRule="auto"/>
        <w:ind w:firstLine="708"/>
      </w:pPr>
      <w:r>
        <w:t xml:space="preserve">обязанность одной стороны договора передать ценные бумаги, валюту или товар, являющиеся базисным активом, в собственность другой стороне не ранее третьего дня после дня заключения договора, обязанность другой стороны принять и оплатить такое имущество и указание на то, что договор является производным финансовым инструментом; </w:t>
      </w:r>
    </w:p>
    <w:p w:rsidR="00A236AB" w:rsidRDefault="00A236AB" w:rsidP="00A236AB">
      <w:pPr>
        <w:spacing w:after="0" w:line="240" w:lineRule="auto"/>
        <w:ind w:firstLine="708"/>
      </w:pPr>
      <w:r>
        <w:t xml:space="preserve">обязанность сторон или стороны договора уплачивать денежные суммы в зависимости от изменения цен (значений) базисного актива и (или) наступления обстоятельства, являющегося базисным активом. </w:t>
      </w:r>
    </w:p>
    <w:p w:rsidR="00A236AB" w:rsidRDefault="00A236AB" w:rsidP="00A236AB">
      <w:pPr>
        <w:spacing w:after="0" w:line="240" w:lineRule="auto"/>
        <w:ind w:firstLine="708"/>
      </w:pPr>
      <w:r>
        <w:t xml:space="preserve">Форвардный договор, предусматривающий обязанность, установленную абзацем вторым настоящего пункта, является поставочным договором. </w:t>
      </w:r>
    </w:p>
    <w:p w:rsidR="00A236AB" w:rsidRDefault="00A236AB" w:rsidP="00A236AB">
      <w:pPr>
        <w:spacing w:after="0" w:line="240" w:lineRule="auto"/>
      </w:pPr>
      <w:r>
        <w:t xml:space="preserve">Иные форвардные договоры являются расчетными договорами. </w:t>
      </w:r>
    </w:p>
    <w:p w:rsidR="00A236AB" w:rsidRDefault="00A236AB" w:rsidP="00A236AB">
      <w:pPr>
        <w:spacing w:after="0" w:line="240" w:lineRule="auto"/>
        <w:ind w:firstLine="708"/>
      </w:pPr>
      <w:r>
        <w:t xml:space="preserve">5. Своп-договором признается: </w:t>
      </w:r>
    </w:p>
    <w:p w:rsidR="00A236AB" w:rsidRDefault="00A236AB" w:rsidP="00A236AB">
      <w:pPr>
        <w:spacing w:after="0" w:line="240" w:lineRule="auto"/>
        <w:ind w:firstLine="708"/>
      </w:pPr>
      <w:r>
        <w:t xml:space="preserve">договор, предусматривающий обязанность стороны или сторон договора периодически и (или) единовременно уплачивать денежные суммы в зависимости от изменения цен (значений) базисного актива и (или) наступления обстоятельства, являющегося базисным активом. В случае если такая обязанность установлена для каждой из сторон, она определяется на основании различных базисных активов или различных значений базисного актива (правил определения значений базисного актива). При этом обязанность стороны договора уплачивать денежные суммы может определяться на основании фиксированного значения базисного актива, установленного договором; </w:t>
      </w:r>
    </w:p>
    <w:p w:rsidR="00A236AB" w:rsidRDefault="00A236AB" w:rsidP="00A236AB">
      <w:pPr>
        <w:spacing w:after="0" w:line="240" w:lineRule="auto"/>
        <w:ind w:firstLine="708"/>
      </w:pPr>
      <w:r>
        <w:t xml:space="preserve">договор (за исключением договора </w:t>
      </w:r>
      <w:proofErr w:type="spellStart"/>
      <w:r>
        <w:t>репо</w:t>
      </w:r>
      <w:proofErr w:type="spellEnd"/>
      <w:r>
        <w:t xml:space="preserve">), предусматривающий обязанность одной стороны передать валюту, ценные бумаги или товар в собственность второй стороне и </w:t>
      </w:r>
      <w:r>
        <w:lastRenderedPageBreak/>
        <w:t xml:space="preserve">обязанность второй стороны принять и оплатить валюту, ценные бумаги или товар, а также обязанность второй стороны передать валюту, ценные бумаги или товар в собственность первой стороне не ранее третьего дня после дня заключения договора и обязанность первой стороны принять и оплатить валюту, ценные бумаги или товар. Данный договор должен иметь указание на то, что он является производным финансовым инструментом, или предусматривать обязанность стороны или сторон договора периодически и (или) единовременно уплачивать денежные суммы в зависимости от изменения цен (значений) базисного актива и (или) наступления обстоятельства, являющегося базисным активом, и (или) от фиксированных в договоре цен (значений) базисного актива. При этом определение обязанности каждой из сторон договора уплачивать денежные суммы осуществляется в соответствии с условиями договора на основании различных базисных активов или различных значений базисного актива (правил определения значений базисного актива); </w:t>
      </w:r>
    </w:p>
    <w:p w:rsidR="00A236AB" w:rsidRDefault="00A236AB" w:rsidP="00A236AB">
      <w:pPr>
        <w:spacing w:after="0" w:line="240" w:lineRule="auto"/>
        <w:ind w:firstLine="708"/>
      </w:pPr>
      <w:r>
        <w:t xml:space="preserve">договор, предусматривающий обязанность стороны или сторон договора периодически и (или) единовременно уплачивать денежные суммы в зависимости от наступления обстоятельства, являющегося кредитным событием. Своп-договор помимо условий, установленных абзацами вторым и четвертым настоящего пункта, может также предусматривать одно из следующих условий: </w:t>
      </w:r>
    </w:p>
    <w:p w:rsidR="00A236AB" w:rsidRDefault="00A236AB" w:rsidP="00A236AB">
      <w:pPr>
        <w:spacing w:after="0" w:line="240" w:lineRule="auto"/>
        <w:ind w:firstLine="708"/>
      </w:pPr>
      <w:r>
        <w:t>обязанность сторон или стороны своп-договора передать, в том числе на периодической основе, другой стороне ценные бумаги, валюту или товар, являющиеся базисным активом, или иные ценные бумаги, или права (требования), в том числе путем заключения стороной (сторонами) своп-договора и (или) лицом (лицами), в интересах которого (которых) был заключен своп-договор, договора купли</w:t>
      </w:r>
      <w:r>
        <w:t>-</w:t>
      </w:r>
      <w:r>
        <w:t xml:space="preserve">продажи ценных бумаг, договора купли-продажи иностранной валюты, договора поставки товара, договора уступки прав (требований); </w:t>
      </w:r>
    </w:p>
    <w:p w:rsidR="00A236AB" w:rsidRDefault="00A236AB" w:rsidP="00A236AB">
      <w:pPr>
        <w:spacing w:after="0" w:line="240" w:lineRule="auto"/>
        <w:ind w:firstLine="708"/>
      </w:pPr>
      <w:r>
        <w:t xml:space="preserve">обязанность сторон своп-договора заключить договор, являющийся производным финансовым инструментом и составляющий базисный актив. </w:t>
      </w:r>
    </w:p>
    <w:p w:rsidR="00A236AB" w:rsidRDefault="00A236AB" w:rsidP="00A236AB">
      <w:pPr>
        <w:spacing w:after="0" w:line="240" w:lineRule="auto"/>
        <w:ind w:firstLine="708"/>
      </w:pPr>
      <w:r>
        <w:t xml:space="preserve">Своп-договор, предусматривающий обязанность, установленную абзацем третьим или шестым настоящего пункта, если иное не установлено условиями своп-договора, является поставочным договором. Иные своп-договоры являются расчетными договорами. </w:t>
      </w:r>
    </w:p>
    <w:p w:rsidR="00A236AB" w:rsidRDefault="00A236AB" w:rsidP="00A236AB">
      <w:pPr>
        <w:spacing w:after="0" w:line="240" w:lineRule="auto"/>
        <w:ind w:firstLine="708"/>
      </w:pPr>
      <w:r>
        <w:t xml:space="preserve">6. Договор, являющийся производным финансовым инструментом, может содержать условия, которые не предусмотрены настоящим Указанием для определения видов производных финансовых инструментов. Указанные условия не учитываются при определении вида производного финансового инструмента. </w:t>
      </w:r>
    </w:p>
    <w:p w:rsidR="00A236AB" w:rsidRDefault="00A236AB" w:rsidP="00A236AB">
      <w:pPr>
        <w:spacing w:after="0" w:line="240" w:lineRule="auto"/>
        <w:ind w:firstLine="708"/>
      </w:pPr>
      <w:r>
        <w:t xml:space="preserve">7. Договор, являющийся производным финансовым инструментом, содержащий условия нескольких видов производных финансовых инструментов, предусмотренных настоящим Указанием, представляет собой смешанный договор. </w:t>
      </w:r>
    </w:p>
    <w:p w:rsidR="00A236AB" w:rsidRDefault="00A236AB" w:rsidP="00A236AB">
      <w:pPr>
        <w:spacing w:after="0" w:line="240" w:lineRule="auto"/>
        <w:ind w:firstLine="708"/>
      </w:pPr>
      <w:r>
        <w:t xml:space="preserve">8. Настоящее Указание вступает в силу по истечении 10 дней после дня его официального опубликования в “Вестнике Банка России”. </w:t>
      </w:r>
    </w:p>
    <w:p w:rsidR="00A236AB" w:rsidRDefault="00A236AB" w:rsidP="00A236AB">
      <w:pPr>
        <w:spacing w:after="0" w:line="240" w:lineRule="auto"/>
        <w:ind w:firstLine="708"/>
      </w:pPr>
      <w:r>
        <w:t>9. Со дня вступления в силу настоящего Указания не применять приказ ФСФР России от 4 марта 2010 года № 10-13/</w:t>
      </w:r>
      <w:proofErr w:type="spellStart"/>
      <w:r>
        <w:t>пз</w:t>
      </w:r>
      <w:proofErr w:type="spellEnd"/>
      <w:r>
        <w:t>-н “Об утверждении Положения о видах производных финансовых инструментов”, зарегистрированный Министерством юстиции Российской Федерации 14 апреля 2010 года № 16898 (Бюллетень нормативных актов федеральных органов исполнительной власти от 26 апреля 2010 года № 17).</w:t>
      </w:r>
    </w:p>
    <w:p w:rsidR="00A236AB" w:rsidRDefault="00A236AB" w:rsidP="00A236AB">
      <w:pPr>
        <w:spacing w:after="0" w:line="240" w:lineRule="auto"/>
      </w:pPr>
    </w:p>
    <w:p w:rsidR="00A236AB" w:rsidRDefault="00A236AB" w:rsidP="00A236AB">
      <w:pPr>
        <w:spacing w:after="0" w:line="240" w:lineRule="auto"/>
      </w:pPr>
      <w:r>
        <w:t xml:space="preserve">Председатель </w:t>
      </w:r>
    </w:p>
    <w:p w:rsidR="00A236AB" w:rsidRDefault="00A236AB" w:rsidP="00A236AB">
      <w:pPr>
        <w:spacing w:after="0" w:line="240" w:lineRule="auto"/>
      </w:pPr>
      <w:r>
        <w:t xml:space="preserve">Центрального банка </w:t>
      </w:r>
    </w:p>
    <w:p w:rsidR="000A0CE4" w:rsidRDefault="00A236AB" w:rsidP="00A236AB">
      <w:pPr>
        <w:spacing w:after="0" w:line="240" w:lineRule="auto"/>
      </w:pPr>
      <w:r>
        <w:t xml:space="preserve">Российской </w:t>
      </w:r>
      <w:proofErr w:type="gramStart"/>
      <w:r>
        <w:t xml:space="preserve">Федерации  </w:t>
      </w:r>
      <w:r>
        <w:tab/>
      </w:r>
      <w:proofErr w:type="gramEnd"/>
      <w:r>
        <w:tab/>
      </w:r>
      <w:r>
        <w:tab/>
      </w:r>
      <w:r>
        <w:tab/>
      </w:r>
      <w:r>
        <w:tab/>
      </w:r>
      <w:r>
        <w:tab/>
      </w:r>
      <w:r>
        <w:tab/>
      </w:r>
      <w:r>
        <w:t>Э.С. НАБИУЛЛИНА</w:t>
      </w:r>
    </w:p>
    <w:p w:rsidR="00A236AB" w:rsidRDefault="00A236AB" w:rsidP="00A236AB">
      <w:pPr>
        <w:spacing w:after="0" w:line="240" w:lineRule="auto"/>
      </w:pPr>
    </w:p>
    <w:p w:rsidR="00A236AB" w:rsidRDefault="00A236AB" w:rsidP="00A236AB">
      <w:pPr>
        <w:spacing w:after="0" w:line="240" w:lineRule="auto"/>
      </w:pPr>
    </w:p>
    <w:p w:rsidR="00A236AB" w:rsidRDefault="00A236AB" w:rsidP="00A236AB">
      <w:pPr>
        <w:spacing w:after="0" w:line="240" w:lineRule="auto"/>
      </w:pPr>
    </w:p>
    <w:p w:rsidR="00A236AB" w:rsidRDefault="00A236AB" w:rsidP="00A236AB">
      <w:pPr>
        <w:spacing w:after="0" w:line="240" w:lineRule="auto"/>
      </w:pPr>
      <w:hyperlink r:id="rId4" w:history="1">
        <w:r w:rsidRPr="005609AA">
          <w:rPr>
            <w:rStyle w:val="a4"/>
          </w:rPr>
          <w:t>http://www.cbr.ru/StaticHtml/File/11724/ves150331028.pdf</w:t>
        </w:r>
      </w:hyperlink>
      <w:r>
        <w:t xml:space="preserve"> </w:t>
      </w:r>
    </w:p>
    <w:sectPr w:rsidR="00A236A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36AB"/>
    <w:rsid w:val="000A0CE4"/>
    <w:rsid w:val="00A236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41CCA7"/>
  <w15:chartTrackingRefBased/>
  <w15:docId w15:val="{E359F863-CE50-41C7-BC24-98BF01A7BF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236AB"/>
    <w:pPr>
      <w:ind w:left="720"/>
      <w:contextualSpacing/>
    </w:pPr>
  </w:style>
  <w:style w:type="character" w:styleId="a4">
    <w:name w:val="Hyperlink"/>
    <w:basedOn w:val="a0"/>
    <w:uiPriority w:val="99"/>
    <w:unhideWhenUsed/>
    <w:rsid w:val="00A236A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cbr.ru/StaticHtml/File/11724/ves150331028.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1373</Words>
  <Characters>9509</Characters>
  <Application>Microsoft Office Word</Application>
  <DocSecurity>0</DocSecurity>
  <Lines>133</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Ходов Никита Борисович</dc:creator>
  <cp:keywords/>
  <dc:description/>
  <cp:lastModifiedBy>Ходов Никита Борисович</cp:lastModifiedBy>
  <cp:revision>1</cp:revision>
  <dcterms:created xsi:type="dcterms:W3CDTF">2018-08-30T09:07:00Z</dcterms:created>
  <dcterms:modified xsi:type="dcterms:W3CDTF">2018-08-30T09:17:00Z</dcterms:modified>
</cp:coreProperties>
</file>