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C6" w:rsidRDefault="00D67CC6" w:rsidP="00D67CC6">
      <w:pPr>
        <w:ind w:left="5954"/>
        <w:rPr>
          <w:b/>
          <w:sz w:val="22"/>
          <w:szCs w:val="22"/>
          <w:lang w:val="ru-RU"/>
        </w:rPr>
      </w:pPr>
      <w:r w:rsidRPr="00C477CF">
        <w:rPr>
          <w:b/>
          <w:sz w:val="22"/>
          <w:szCs w:val="22"/>
          <w:lang w:val="ru-RU"/>
        </w:rPr>
        <w:t>УТВЕРЖДЕН</w:t>
      </w:r>
      <w:r>
        <w:rPr>
          <w:b/>
          <w:sz w:val="22"/>
          <w:szCs w:val="22"/>
          <w:lang w:val="ru-RU"/>
        </w:rPr>
        <w:t>А</w:t>
      </w:r>
    </w:p>
    <w:p w:rsid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:rsidR="008513B6" w:rsidRPr="008513B6" w:rsidRDefault="008513B6" w:rsidP="008513B6">
      <w:pPr>
        <w:ind w:left="5954" w:right="-226"/>
        <w:rPr>
          <w:lang w:val="ru-RU"/>
        </w:rPr>
      </w:pPr>
      <w:r w:rsidRPr="008513B6">
        <w:rPr>
          <w:lang w:val="ru-RU"/>
        </w:rPr>
        <w:t>Приказом ПАО</w:t>
      </w:r>
      <w:r w:rsidRPr="009B4047">
        <w:t> </w:t>
      </w:r>
      <w:r w:rsidRPr="008513B6">
        <w:rPr>
          <w:lang w:val="ru-RU"/>
        </w:rPr>
        <w:t>Московская Биржа</w:t>
      </w:r>
    </w:p>
    <w:p w:rsidR="008513B6" w:rsidRPr="008513B6" w:rsidRDefault="008513B6" w:rsidP="008513B6">
      <w:pPr>
        <w:ind w:left="5954" w:right="-226"/>
        <w:rPr>
          <w:lang w:val="ru-RU"/>
        </w:rPr>
      </w:pPr>
      <w:r w:rsidRPr="008513B6">
        <w:rPr>
          <w:lang w:val="ru-RU"/>
        </w:rPr>
        <w:t xml:space="preserve">от </w:t>
      </w:r>
      <w:r w:rsidR="00923E87">
        <w:rPr>
          <w:lang w:val="ru-RU"/>
        </w:rPr>
        <w:t>10</w:t>
      </w:r>
      <w:r w:rsidRPr="008513B6">
        <w:rPr>
          <w:lang w:val="ru-RU"/>
        </w:rPr>
        <w:t>.</w:t>
      </w:r>
      <w:r w:rsidR="00423961" w:rsidRPr="00923E87">
        <w:rPr>
          <w:lang w:val="ru-RU"/>
        </w:rPr>
        <w:t>01</w:t>
      </w:r>
      <w:r w:rsidRPr="008513B6">
        <w:rPr>
          <w:lang w:val="ru-RU"/>
        </w:rPr>
        <w:t>.20</w:t>
      </w:r>
      <w:r w:rsidR="005C1ACE">
        <w:rPr>
          <w:lang w:val="ru-RU"/>
        </w:rPr>
        <w:t>20</w:t>
      </w:r>
      <w:r w:rsidRPr="008513B6">
        <w:rPr>
          <w:lang w:val="ru-RU"/>
        </w:rPr>
        <w:t xml:space="preserve"> № </w:t>
      </w:r>
      <w:r w:rsidR="00923E87">
        <w:rPr>
          <w:lang w:val="ru-RU"/>
        </w:rPr>
        <w:t>МБ-П-2020-13</w:t>
      </w:r>
      <w:bookmarkStart w:id="0" w:name="_GoBack"/>
      <w:bookmarkEnd w:id="0"/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:rsidR="00D67CC6" w:rsidRP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B17AD7" w:rsidRPr="001068D0" w:rsidRDefault="00B17AD7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:rsidR="00DE4DA2" w:rsidRDefault="00183EBE" w:rsidP="0084036C">
      <w:pPr>
        <w:pStyle w:val="a6"/>
        <w:spacing w:before="120"/>
        <w:ind w:hanging="284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bookmarkStart w:id="1" w:name="_Hlk28248238"/>
      <w:r w:rsidRPr="001068D0">
        <w:rPr>
          <w:rStyle w:val="10"/>
          <w:rFonts w:ascii="Times New Roman" w:eastAsia="Calibri" w:hAnsi="Times New Roman"/>
          <w:sz w:val="22"/>
          <w:szCs w:val="22"/>
        </w:rPr>
        <w:t xml:space="preserve">Методика </w:t>
      </w:r>
      <w:r w:rsidR="0084036C">
        <w:rPr>
          <w:rStyle w:val="10"/>
          <w:rFonts w:ascii="Times New Roman" w:eastAsia="Calibri" w:hAnsi="Times New Roman"/>
          <w:sz w:val="22"/>
          <w:szCs w:val="22"/>
        </w:rPr>
        <w:t xml:space="preserve">расчета </w:t>
      </w:r>
      <w:r w:rsidR="0084036C" w:rsidRPr="0084036C">
        <w:rPr>
          <w:rStyle w:val="10"/>
          <w:rFonts w:ascii="Times New Roman" w:eastAsia="Calibri" w:hAnsi="Times New Roman"/>
          <w:sz w:val="22"/>
          <w:szCs w:val="22"/>
        </w:rPr>
        <w:t>дивидендной доходности акций</w:t>
      </w:r>
      <w:r w:rsidR="0084036C">
        <w:rPr>
          <w:rStyle w:val="10"/>
          <w:rFonts w:ascii="Times New Roman" w:eastAsia="Calibri" w:hAnsi="Times New Roman"/>
          <w:sz w:val="22"/>
          <w:szCs w:val="22"/>
        </w:rPr>
        <w:t xml:space="preserve">, включенных </w:t>
      </w:r>
      <w:proofErr w:type="gramStart"/>
      <w:r w:rsidR="0084036C">
        <w:rPr>
          <w:rStyle w:val="10"/>
          <w:rFonts w:ascii="Times New Roman" w:eastAsia="Calibri" w:hAnsi="Times New Roman"/>
          <w:sz w:val="22"/>
          <w:szCs w:val="22"/>
        </w:rPr>
        <w:t>в Первый</w:t>
      </w:r>
      <w:proofErr w:type="gramEnd"/>
      <w:r w:rsidR="0084036C">
        <w:rPr>
          <w:rStyle w:val="10"/>
          <w:rFonts w:ascii="Times New Roman" w:eastAsia="Calibri" w:hAnsi="Times New Roman"/>
          <w:sz w:val="22"/>
          <w:szCs w:val="22"/>
        </w:rPr>
        <w:t xml:space="preserve"> или Второй уровни</w:t>
      </w:r>
      <w:bookmarkEnd w:id="1"/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:rsidR="001068D0" w:rsidRP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>
        <w:rPr>
          <w:rStyle w:val="10"/>
          <w:rFonts w:ascii="Times New Roman" w:eastAsia="Calibri" w:hAnsi="Times New Roman"/>
          <w:sz w:val="22"/>
          <w:szCs w:val="22"/>
        </w:rPr>
        <w:t>20</w:t>
      </w:r>
      <w:r w:rsidR="005C1ACE">
        <w:rPr>
          <w:rStyle w:val="10"/>
          <w:rFonts w:ascii="Times New Roman" w:eastAsia="Calibri" w:hAnsi="Times New Roman"/>
          <w:sz w:val="22"/>
          <w:szCs w:val="22"/>
        </w:rPr>
        <w:t>20</w:t>
      </w:r>
    </w:p>
    <w:p w:rsidR="00DE4DA2" w:rsidRPr="005F233D" w:rsidRDefault="00DE4DA2" w:rsidP="00DE4DA2">
      <w:pPr>
        <w:pStyle w:val="caaieiaie1"/>
        <w:spacing w:before="120" w:after="0"/>
        <w:ind w:left="709"/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</w:pPr>
      <w:r w:rsidRPr="005F233D"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DE4DA2" w:rsidRPr="00472D39" w:rsidRDefault="00DE4DA2" w:rsidP="008A6589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 w:line="360" w:lineRule="auto"/>
        <w:ind w:hanging="2014"/>
        <w:rPr>
          <w:sz w:val="22"/>
          <w:szCs w:val="22"/>
        </w:rPr>
      </w:pPr>
      <w:r w:rsidRPr="00472D39">
        <w:rPr>
          <w:sz w:val="22"/>
          <w:szCs w:val="22"/>
        </w:rPr>
        <w:lastRenderedPageBreak/>
        <w:t>ОБЩИЕ ПОЛОЖЕНИЯ</w:t>
      </w:r>
    </w:p>
    <w:p w:rsidR="00DE4DA2" w:rsidRPr="00705080" w:rsidRDefault="00DE4DA2" w:rsidP="008A6589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 w:line="360" w:lineRule="auto"/>
        <w:ind w:left="0" w:firstLine="709"/>
        <w:jc w:val="both"/>
        <w:rPr>
          <w:sz w:val="22"/>
          <w:szCs w:val="22"/>
          <w:lang w:val="ru-RU"/>
        </w:rPr>
      </w:pPr>
      <w:r w:rsidRPr="00472D39">
        <w:rPr>
          <w:sz w:val="22"/>
          <w:szCs w:val="22"/>
          <w:lang w:val="ru-RU"/>
        </w:rPr>
        <w:t>Настоящ</w:t>
      </w:r>
      <w:r w:rsidR="00472D39" w:rsidRPr="00472D39">
        <w:rPr>
          <w:sz w:val="22"/>
          <w:szCs w:val="22"/>
          <w:lang w:val="ru-RU"/>
        </w:rPr>
        <w:t>ая</w:t>
      </w:r>
      <w:r w:rsidRPr="00472D39">
        <w:rPr>
          <w:sz w:val="22"/>
          <w:szCs w:val="22"/>
          <w:lang w:val="ru-RU"/>
        </w:rPr>
        <w:t xml:space="preserve"> </w:t>
      </w:r>
      <w:r w:rsidR="00472D39" w:rsidRPr="00A474B9">
        <w:rPr>
          <w:sz w:val="22"/>
          <w:szCs w:val="22"/>
          <w:lang w:val="ru-RU"/>
        </w:rPr>
        <w:t xml:space="preserve">Методика </w:t>
      </w:r>
      <w:r w:rsidR="00A474B9" w:rsidRPr="00A474B9">
        <w:rPr>
          <w:sz w:val="22"/>
          <w:szCs w:val="22"/>
          <w:lang w:val="ru-RU"/>
        </w:rPr>
        <w:t xml:space="preserve">расчета дивидендной доходности акций, включенных </w:t>
      </w:r>
      <w:proofErr w:type="gramStart"/>
      <w:r w:rsidR="00A474B9" w:rsidRPr="00A474B9">
        <w:rPr>
          <w:sz w:val="22"/>
          <w:szCs w:val="22"/>
          <w:lang w:val="ru-RU"/>
        </w:rPr>
        <w:t>в Первый</w:t>
      </w:r>
      <w:proofErr w:type="gramEnd"/>
      <w:r w:rsidR="00A474B9" w:rsidRPr="00A474B9">
        <w:rPr>
          <w:sz w:val="22"/>
          <w:szCs w:val="22"/>
          <w:lang w:val="ru-RU"/>
        </w:rPr>
        <w:t xml:space="preserve"> или Второй уровни</w:t>
      </w:r>
      <w:r w:rsidRPr="00472D39">
        <w:rPr>
          <w:sz w:val="22"/>
          <w:szCs w:val="22"/>
          <w:lang w:val="ru-RU"/>
        </w:rPr>
        <w:t>, разработан</w:t>
      </w:r>
      <w:r w:rsidR="00472D39" w:rsidRPr="00472D39">
        <w:rPr>
          <w:sz w:val="22"/>
          <w:szCs w:val="22"/>
          <w:lang w:val="ru-RU"/>
        </w:rPr>
        <w:t>а</w:t>
      </w:r>
      <w:r w:rsidRPr="00472D39">
        <w:rPr>
          <w:sz w:val="22"/>
          <w:szCs w:val="22"/>
          <w:lang w:val="ru-RU"/>
        </w:rPr>
        <w:t xml:space="preserve"> в соответствии с</w:t>
      </w:r>
      <w:r w:rsidR="00472D39">
        <w:rPr>
          <w:sz w:val="22"/>
          <w:szCs w:val="22"/>
          <w:lang w:val="ru-RU"/>
        </w:rPr>
        <w:t xml:space="preserve"> </w:t>
      </w:r>
      <w:r w:rsidRPr="00472D39">
        <w:rPr>
          <w:sz w:val="22"/>
          <w:szCs w:val="22"/>
          <w:lang w:val="ru-RU"/>
        </w:rPr>
        <w:t>Правил</w:t>
      </w:r>
      <w:r w:rsidR="00472D39">
        <w:rPr>
          <w:sz w:val="22"/>
          <w:szCs w:val="22"/>
          <w:lang w:val="ru-RU"/>
        </w:rPr>
        <w:t>ами</w:t>
      </w:r>
      <w:r w:rsidRPr="00472D39">
        <w:rPr>
          <w:sz w:val="22"/>
          <w:szCs w:val="22"/>
          <w:lang w:val="ru-RU"/>
        </w:rPr>
        <w:t xml:space="preserve"> листинга </w:t>
      </w:r>
      <w:r w:rsidR="00BB3EEA">
        <w:rPr>
          <w:sz w:val="22"/>
          <w:szCs w:val="22"/>
          <w:lang w:val="ru-RU"/>
        </w:rPr>
        <w:t>ПАО Московская Биржа</w:t>
      </w:r>
      <w:r w:rsidR="00B026BB" w:rsidRPr="00472D39">
        <w:rPr>
          <w:sz w:val="22"/>
          <w:szCs w:val="22"/>
          <w:lang w:val="ru-RU"/>
        </w:rPr>
        <w:t xml:space="preserve"> </w:t>
      </w:r>
      <w:r w:rsidR="00B026BB">
        <w:rPr>
          <w:sz w:val="22"/>
          <w:szCs w:val="22"/>
          <w:lang w:val="ru-RU"/>
        </w:rPr>
        <w:t>(далее – Биржа</w:t>
      </w:r>
      <w:r w:rsidRPr="00472D39">
        <w:rPr>
          <w:sz w:val="22"/>
          <w:szCs w:val="22"/>
          <w:lang w:val="ru-RU"/>
        </w:rPr>
        <w:t xml:space="preserve">) (далее – Правила листинга), </w:t>
      </w:r>
      <w:r w:rsidRPr="00705080">
        <w:rPr>
          <w:sz w:val="22"/>
          <w:szCs w:val="22"/>
          <w:lang w:val="ru-RU"/>
        </w:rPr>
        <w:t>федеральными законами</w:t>
      </w:r>
      <w:r w:rsidR="00705080">
        <w:rPr>
          <w:sz w:val="22"/>
          <w:szCs w:val="22"/>
          <w:lang w:val="ru-RU"/>
        </w:rPr>
        <w:t xml:space="preserve"> </w:t>
      </w:r>
      <w:r w:rsidR="00705080" w:rsidRPr="00705080">
        <w:rPr>
          <w:sz w:val="22"/>
          <w:szCs w:val="22"/>
          <w:lang w:val="ru-RU"/>
        </w:rPr>
        <w:t>Российской Федерации</w:t>
      </w:r>
      <w:r w:rsidRPr="00705080">
        <w:rPr>
          <w:sz w:val="22"/>
          <w:szCs w:val="22"/>
          <w:lang w:val="ru-RU"/>
        </w:rPr>
        <w:t>, иными нормативными правовыми актами Российской Федерации</w:t>
      </w:r>
      <w:r w:rsidR="008F1F02" w:rsidRPr="00705080">
        <w:rPr>
          <w:sz w:val="22"/>
          <w:szCs w:val="22"/>
          <w:lang w:val="ru-RU"/>
        </w:rPr>
        <w:t xml:space="preserve"> и нормативными актами Банка России</w:t>
      </w:r>
      <w:r w:rsidRPr="00705080">
        <w:rPr>
          <w:sz w:val="22"/>
          <w:szCs w:val="22"/>
          <w:lang w:val="ru-RU"/>
        </w:rPr>
        <w:t xml:space="preserve">. </w:t>
      </w:r>
    </w:p>
    <w:p w:rsidR="00DE4DA2" w:rsidRPr="00705080" w:rsidRDefault="00DE4DA2" w:rsidP="008A6589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 w:line="360" w:lineRule="auto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 xml:space="preserve">Термины и понятия, </w:t>
      </w:r>
      <w:r w:rsidR="00A474B9" w:rsidRPr="00A474B9">
        <w:rPr>
          <w:sz w:val="22"/>
          <w:szCs w:val="22"/>
          <w:lang w:val="ru-RU"/>
        </w:rPr>
        <w:t xml:space="preserve">используемые в </w:t>
      </w:r>
      <w:r w:rsidRPr="00705080">
        <w:rPr>
          <w:sz w:val="22"/>
          <w:szCs w:val="22"/>
          <w:lang w:val="ru-RU"/>
        </w:rPr>
        <w:t>настоя</w:t>
      </w:r>
      <w:r w:rsidR="00E778A4" w:rsidRPr="00705080">
        <w:rPr>
          <w:sz w:val="22"/>
          <w:szCs w:val="22"/>
          <w:lang w:val="ru-RU"/>
        </w:rPr>
        <w:t>щей Методике</w:t>
      </w:r>
      <w:r w:rsidRPr="00705080">
        <w:rPr>
          <w:sz w:val="22"/>
          <w:szCs w:val="22"/>
          <w:lang w:val="ru-RU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</w:t>
      </w:r>
      <w:r w:rsidR="0024747C" w:rsidRPr="00705080">
        <w:rPr>
          <w:sz w:val="22"/>
          <w:szCs w:val="22"/>
          <w:lang w:val="ru-RU"/>
        </w:rPr>
        <w:t xml:space="preserve"> нормативными актами Банка России,</w:t>
      </w:r>
      <w:r w:rsidRPr="00705080">
        <w:rPr>
          <w:sz w:val="22"/>
          <w:szCs w:val="22"/>
          <w:lang w:val="ru-RU"/>
        </w:rPr>
        <w:t xml:space="preserve"> а также Правилами листинга. </w:t>
      </w:r>
    </w:p>
    <w:p w:rsidR="00B85CF3" w:rsidRDefault="00B85CF3" w:rsidP="008A6589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 w:line="360" w:lineRule="auto"/>
        <w:ind w:hanging="2014"/>
      </w:pPr>
      <w:r w:rsidRPr="00B85CF3">
        <w:rPr>
          <w:sz w:val="22"/>
          <w:szCs w:val="22"/>
        </w:rPr>
        <w:t>ПОРЯДОК РАСЧЕТА ДИВИДЕНДНОЙ ДОХОДНОСТИ АКЦИЙ</w:t>
      </w:r>
    </w:p>
    <w:p w:rsidR="00B85CF3" w:rsidRPr="00B85CF3" w:rsidRDefault="00B85CF3" w:rsidP="008A6589">
      <w:pPr>
        <w:pStyle w:val="Iauiue"/>
        <w:spacing w:line="360" w:lineRule="auto"/>
        <w:rPr>
          <w:lang w:val="ru-RU"/>
        </w:rPr>
      </w:pPr>
    </w:p>
    <w:p w:rsidR="00B85CF3" w:rsidRDefault="00083566" w:rsidP="008A6589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Расчет </w:t>
      </w:r>
      <w:r w:rsidR="001E7CE6" w:rsidRPr="00A474B9">
        <w:rPr>
          <w:sz w:val="22"/>
          <w:szCs w:val="22"/>
          <w:lang w:val="ru-RU"/>
        </w:rPr>
        <w:t>дивидендной доходности акций</w:t>
      </w:r>
      <w:r w:rsidR="001E7CE6" w:rsidRPr="001E7CE6">
        <w:rPr>
          <w:sz w:val="22"/>
          <w:szCs w:val="22"/>
          <w:lang w:val="ru-RU"/>
        </w:rPr>
        <w:t xml:space="preserve"> </w:t>
      </w:r>
      <w:r w:rsidR="00B85CF3" w:rsidRPr="001E7CE6">
        <w:rPr>
          <w:sz w:val="22"/>
          <w:szCs w:val="22"/>
          <w:lang w:val="ru-RU"/>
        </w:rPr>
        <w:t xml:space="preserve">осуществляется </w:t>
      </w:r>
      <w:r>
        <w:rPr>
          <w:sz w:val="22"/>
          <w:szCs w:val="22"/>
          <w:lang w:val="ru-RU"/>
        </w:rPr>
        <w:t xml:space="preserve">со дня включения акций </w:t>
      </w:r>
      <w:r w:rsidRPr="00A474B9">
        <w:rPr>
          <w:sz w:val="22"/>
          <w:szCs w:val="22"/>
          <w:lang w:val="ru-RU"/>
        </w:rPr>
        <w:t>в Первый или Второй уровни</w:t>
      </w:r>
      <w:r>
        <w:rPr>
          <w:sz w:val="22"/>
          <w:szCs w:val="22"/>
          <w:lang w:val="ru-RU"/>
        </w:rPr>
        <w:t xml:space="preserve"> соответственно</w:t>
      </w:r>
      <w:r w:rsidR="00B85CF3" w:rsidRPr="001E7CE6">
        <w:rPr>
          <w:sz w:val="22"/>
          <w:szCs w:val="22"/>
          <w:lang w:val="ru-RU"/>
        </w:rPr>
        <w:t xml:space="preserve">. </w:t>
      </w:r>
    </w:p>
    <w:p w:rsidR="00975947" w:rsidRDefault="00083566" w:rsidP="00083566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 w:rsidRPr="0084036C">
        <w:rPr>
          <w:sz w:val="22"/>
          <w:szCs w:val="22"/>
          <w:lang w:val="ru-RU"/>
        </w:rPr>
        <w:t xml:space="preserve">Дивидендная доходность акций </w:t>
      </w:r>
      <w:r w:rsidR="00E2260F">
        <w:rPr>
          <w:sz w:val="22"/>
          <w:szCs w:val="22"/>
          <w:lang w:val="ru-RU"/>
        </w:rPr>
        <w:t xml:space="preserve">за определенный год </w:t>
      </w:r>
      <w:r w:rsidRPr="0084036C">
        <w:rPr>
          <w:sz w:val="22"/>
          <w:szCs w:val="22"/>
          <w:lang w:val="ru-RU"/>
        </w:rPr>
        <w:t xml:space="preserve">рассчитывается </w:t>
      </w:r>
      <w:r w:rsidRPr="00083566">
        <w:rPr>
          <w:sz w:val="22"/>
          <w:szCs w:val="22"/>
          <w:lang w:val="ru-RU"/>
        </w:rPr>
        <w:t xml:space="preserve">на дату принятия решения </w:t>
      </w:r>
      <w:r>
        <w:rPr>
          <w:sz w:val="22"/>
          <w:szCs w:val="22"/>
          <w:lang w:val="ru-RU"/>
        </w:rPr>
        <w:t xml:space="preserve">эмитентом </w:t>
      </w:r>
      <w:r w:rsidRPr="00083566">
        <w:rPr>
          <w:sz w:val="22"/>
          <w:szCs w:val="22"/>
          <w:lang w:val="ru-RU"/>
        </w:rPr>
        <w:t xml:space="preserve">о размере годовых дивидендов как соотношение годовых дивидендов, </w:t>
      </w:r>
      <w:r w:rsidR="00B00321">
        <w:rPr>
          <w:sz w:val="22"/>
          <w:szCs w:val="22"/>
          <w:lang w:val="ru-RU"/>
        </w:rPr>
        <w:t>начисленных</w:t>
      </w:r>
      <w:r w:rsidR="00B00321" w:rsidRPr="00083566">
        <w:rPr>
          <w:sz w:val="22"/>
          <w:szCs w:val="22"/>
          <w:lang w:val="ru-RU"/>
        </w:rPr>
        <w:t xml:space="preserve"> </w:t>
      </w:r>
      <w:r w:rsidRPr="00083566">
        <w:rPr>
          <w:sz w:val="22"/>
          <w:szCs w:val="22"/>
          <w:lang w:val="ru-RU"/>
        </w:rPr>
        <w:t>на одну акцию</w:t>
      </w:r>
      <w:r w:rsidR="004B27CB">
        <w:rPr>
          <w:rStyle w:val="af4"/>
          <w:sz w:val="22"/>
          <w:szCs w:val="22"/>
          <w:lang w:val="ru-RU"/>
        </w:rPr>
        <w:footnoteReference w:id="1"/>
      </w:r>
      <w:r w:rsidRPr="00083566">
        <w:rPr>
          <w:sz w:val="22"/>
          <w:szCs w:val="22"/>
          <w:lang w:val="ru-RU"/>
        </w:rPr>
        <w:t xml:space="preserve">, и медианного значения рыночных цен этой акции </w:t>
      </w:r>
      <w:r w:rsidR="00975947">
        <w:rPr>
          <w:sz w:val="22"/>
          <w:szCs w:val="22"/>
          <w:lang w:val="ru-RU"/>
        </w:rPr>
        <w:t>за отчетный год:</w:t>
      </w:r>
    </w:p>
    <w:p w:rsidR="00083566" w:rsidRPr="00975947" w:rsidRDefault="00975947" w:rsidP="00975947">
      <w:pPr>
        <w:pStyle w:val="a7"/>
        <w:numPr>
          <w:ilvl w:val="2"/>
          <w:numId w:val="11"/>
        </w:numPr>
        <w:tabs>
          <w:tab w:val="left" w:pos="1134"/>
        </w:tabs>
        <w:spacing w:after="240"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083566" w:rsidRPr="00975947">
        <w:rPr>
          <w:sz w:val="22"/>
          <w:szCs w:val="22"/>
          <w:lang w:val="ru-RU"/>
        </w:rPr>
        <w:t xml:space="preserve">азмер годовых дивидендов </w:t>
      </w:r>
      <w:r>
        <w:rPr>
          <w:sz w:val="22"/>
          <w:szCs w:val="22"/>
          <w:lang w:val="ru-RU"/>
        </w:rPr>
        <w:t xml:space="preserve">- </w:t>
      </w:r>
      <w:r w:rsidR="00083566" w:rsidRPr="00975947">
        <w:rPr>
          <w:sz w:val="22"/>
          <w:szCs w:val="22"/>
          <w:lang w:val="ru-RU"/>
        </w:rPr>
        <w:t>определяется как сумма начисленных дивидендов за первый квартал, полугодие, девять месяцев и соответствующий год. В размере годовых дивидендов учитываются дивиденды, источником выплаты которых является нерас</w:t>
      </w:r>
      <w:r>
        <w:rPr>
          <w:sz w:val="22"/>
          <w:szCs w:val="22"/>
          <w:lang w:val="ru-RU"/>
        </w:rPr>
        <w:t>пределенная прибыль прошлых лет;</w:t>
      </w:r>
    </w:p>
    <w:p w:rsidR="00083566" w:rsidRPr="00975947" w:rsidRDefault="00975947" w:rsidP="00975947">
      <w:pPr>
        <w:pStyle w:val="a7"/>
        <w:numPr>
          <w:ilvl w:val="2"/>
          <w:numId w:val="11"/>
        </w:numPr>
        <w:tabs>
          <w:tab w:val="left" w:pos="1134"/>
        </w:tabs>
        <w:spacing w:after="240"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083566" w:rsidRPr="00083566">
        <w:rPr>
          <w:sz w:val="22"/>
          <w:szCs w:val="22"/>
          <w:lang w:val="ru-RU"/>
        </w:rPr>
        <w:t>едианно</w:t>
      </w:r>
      <w:r w:rsidR="00083566">
        <w:rPr>
          <w:sz w:val="22"/>
          <w:szCs w:val="22"/>
          <w:lang w:val="ru-RU"/>
        </w:rPr>
        <w:t>е</w:t>
      </w:r>
      <w:r w:rsidR="00083566" w:rsidRPr="00083566">
        <w:rPr>
          <w:sz w:val="22"/>
          <w:szCs w:val="22"/>
          <w:lang w:val="ru-RU"/>
        </w:rPr>
        <w:t xml:space="preserve"> значения рыночных цен этой акции за отчетный год</w:t>
      </w:r>
      <w:r>
        <w:rPr>
          <w:sz w:val="22"/>
          <w:szCs w:val="22"/>
          <w:lang w:val="ru-RU"/>
        </w:rPr>
        <w:t xml:space="preserve"> – определяется по р</w:t>
      </w:r>
      <w:r w:rsidRPr="00975947">
        <w:rPr>
          <w:sz w:val="22"/>
          <w:szCs w:val="22"/>
          <w:lang w:val="ru-RU"/>
        </w:rPr>
        <w:t>ыночн</w:t>
      </w:r>
      <w:r>
        <w:rPr>
          <w:sz w:val="22"/>
          <w:szCs w:val="22"/>
          <w:lang w:val="ru-RU"/>
        </w:rPr>
        <w:t>ой</w:t>
      </w:r>
      <w:r w:rsidRPr="00975947">
        <w:rPr>
          <w:sz w:val="22"/>
          <w:szCs w:val="22"/>
          <w:lang w:val="ru-RU"/>
        </w:rPr>
        <w:t xml:space="preserve"> цен</w:t>
      </w:r>
      <w:r>
        <w:rPr>
          <w:sz w:val="22"/>
          <w:szCs w:val="22"/>
          <w:lang w:val="ru-RU"/>
        </w:rPr>
        <w:t xml:space="preserve">е акции, рассчитываемой </w:t>
      </w:r>
      <w:r w:rsidRPr="00975947">
        <w:rPr>
          <w:sz w:val="22"/>
          <w:szCs w:val="22"/>
          <w:lang w:val="ru-RU"/>
        </w:rPr>
        <w:t xml:space="preserve">в порядке, </w:t>
      </w:r>
      <w:r>
        <w:rPr>
          <w:sz w:val="22"/>
          <w:szCs w:val="22"/>
          <w:lang w:val="ru-RU"/>
        </w:rPr>
        <w:t xml:space="preserve">установленном </w:t>
      </w:r>
      <w:r w:rsidRPr="00975947">
        <w:rPr>
          <w:sz w:val="22"/>
          <w:szCs w:val="22"/>
          <w:lang w:val="ru-RU"/>
        </w:rPr>
        <w:t xml:space="preserve">приказом ФСФР России от 09.11.2010 </w:t>
      </w:r>
      <w:r>
        <w:rPr>
          <w:sz w:val="22"/>
          <w:szCs w:val="22"/>
          <w:lang w:val="ru-RU"/>
        </w:rPr>
        <w:t>№</w:t>
      </w:r>
      <w:r w:rsidRPr="00975947">
        <w:rPr>
          <w:sz w:val="22"/>
          <w:szCs w:val="22"/>
          <w:lang w:val="ru-RU"/>
        </w:rPr>
        <w:t xml:space="preserve"> 10-65/</w:t>
      </w:r>
      <w:proofErr w:type="spellStart"/>
      <w:r w:rsidRPr="00975947">
        <w:rPr>
          <w:sz w:val="22"/>
          <w:szCs w:val="22"/>
          <w:lang w:val="ru-RU"/>
        </w:rPr>
        <w:t>пз</w:t>
      </w:r>
      <w:proofErr w:type="spellEnd"/>
      <w:r w:rsidRPr="00975947">
        <w:rPr>
          <w:sz w:val="22"/>
          <w:szCs w:val="22"/>
          <w:lang w:val="ru-RU"/>
        </w:rPr>
        <w:t xml:space="preserve">-н </w:t>
      </w:r>
      <w:r>
        <w:rPr>
          <w:sz w:val="22"/>
          <w:szCs w:val="22"/>
          <w:lang w:val="ru-RU"/>
        </w:rPr>
        <w:t>«</w:t>
      </w:r>
      <w:r w:rsidRPr="00975947">
        <w:rPr>
          <w:sz w:val="22"/>
          <w:szCs w:val="22"/>
          <w:lang w:val="ru-RU"/>
        </w:rPr>
        <w:t>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</w:t>
      </w:r>
      <w:r>
        <w:rPr>
          <w:sz w:val="22"/>
          <w:szCs w:val="22"/>
          <w:lang w:val="ru-RU"/>
        </w:rPr>
        <w:t>»</w:t>
      </w:r>
      <w:r w:rsidRPr="00975947">
        <w:rPr>
          <w:sz w:val="22"/>
          <w:szCs w:val="22"/>
          <w:lang w:val="ru-RU"/>
        </w:rPr>
        <w:t>.</w:t>
      </w:r>
    </w:p>
    <w:p w:rsidR="008E77C4" w:rsidRDefault="008E77C4" w:rsidP="008A6589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 w:rsidRPr="008E77C4">
        <w:rPr>
          <w:sz w:val="22"/>
          <w:szCs w:val="22"/>
          <w:lang w:val="ru-RU"/>
        </w:rPr>
        <w:t xml:space="preserve">Значение </w:t>
      </w:r>
      <w:r>
        <w:rPr>
          <w:sz w:val="22"/>
          <w:szCs w:val="22"/>
          <w:lang w:val="ru-RU"/>
        </w:rPr>
        <w:t>размера дивидендной доходности указывается</w:t>
      </w:r>
      <w:r w:rsidRPr="008E77C4">
        <w:rPr>
          <w:sz w:val="22"/>
          <w:szCs w:val="22"/>
          <w:lang w:val="ru-RU"/>
        </w:rPr>
        <w:t xml:space="preserve"> с точностью до двух знаков после запятой</w:t>
      </w:r>
      <w:r>
        <w:rPr>
          <w:sz w:val="22"/>
          <w:szCs w:val="22"/>
          <w:lang w:val="ru-RU"/>
        </w:rPr>
        <w:t xml:space="preserve"> с учетом</w:t>
      </w:r>
      <w:r w:rsidRPr="008E77C4">
        <w:rPr>
          <w:sz w:val="22"/>
          <w:szCs w:val="22"/>
          <w:lang w:val="ru-RU"/>
        </w:rPr>
        <w:t xml:space="preserve"> правил математического округления.</w:t>
      </w:r>
    </w:p>
    <w:p w:rsidR="00083566" w:rsidRPr="001E7CE6" w:rsidRDefault="00083566" w:rsidP="008A6589">
      <w:pPr>
        <w:pStyle w:val="a7"/>
        <w:numPr>
          <w:ilvl w:val="1"/>
          <w:numId w:val="10"/>
        </w:numPr>
        <w:tabs>
          <w:tab w:val="left" w:pos="1134"/>
        </w:tabs>
        <w:spacing w:after="240" w:line="360" w:lineRule="auto"/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случае, если </w:t>
      </w:r>
      <w:r w:rsidRPr="00083566">
        <w:rPr>
          <w:sz w:val="22"/>
          <w:szCs w:val="22"/>
          <w:lang w:val="ru-RU"/>
        </w:rPr>
        <w:t>эмитентом</w:t>
      </w:r>
      <w:r w:rsidR="00A867FD" w:rsidRPr="0066405C">
        <w:rPr>
          <w:sz w:val="22"/>
          <w:szCs w:val="22"/>
          <w:lang w:val="ru-RU"/>
        </w:rPr>
        <w:t xml:space="preserve"> </w:t>
      </w:r>
      <w:r w:rsidR="00A867FD">
        <w:rPr>
          <w:sz w:val="22"/>
          <w:szCs w:val="22"/>
          <w:lang w:val="ru-RU"/>
        </w:rPr>
        <w:t>не принималось</w:t>
      </w:r>
      <w:r w:rsidRPr="00083566">
        <w:rPr>
          <w:sz w:val="22"/>
          <w:szCs w:val="22"/>
          <w:lang w:val="ru-RU"/>
        </w:rPr>
        <w:t xml:space="preserve"> решени</w:t>
      </w:r>
      <w:r w:rsidR="00A867FD">
        <w:rPr>
          <w:sz w:val="22"/>
          <w:szCs w:val="22"/>
          <w:lang w:val="ru-RU"/>
        </w:rPr>
        <w:t>й</w:t>
      </w:r>
      <w:r w:rsidRPr="00083566">
        <w:rPr>
          <w:sz w:val="22"/>
          <w:szCs w:val="22"/>
          <w:lang w:val="ru-RU"/>
        </w:rPr>
        <w:t xml:space="preserve"> о выплате дивидендов за </w:t>
      </w:r>
      <w:r w:rsidR="00B00321" w:rsidRPr="00083566">
        <w:rPr>
          <w:sz w:val="22"/>
          <w:szCs w:val="22"/>
          <w:lang w:val="ru-RU"/>
        </w:rPr>
        <w:t>отчетн</w:t>
      </w:r>
      <w:r w:rsidR="00B00321">
        <w:rPr>
          <w:sz w:val="22"/>
          <w:szCs w:val="22"/>
          <w:lang w:val="ru-RU"/>
        </w:rPr>
        <w:t>ы</w:t>
      </w:r>
      <w:r w:rsidR="00B00321" w:rsidRPr="00083566">
        <w:rPr>
          <w:sz w:val="22"/>
          <w:szCs w:val="22"/>
          <w:lang w:val="ru-RU"/>
        </w:rPr>
        <w:t xml:space="preserve">й </w:t>
      </w:r>
      <w:r w:rsidRPr="00083566">
        <w:rPr>
          <w:sz w:val="22"/>
          <w:szCs w:val="22"/>
          <w:lang w:val="ru-RU"/>
        </w:rPr>
        <w:t>период, а также в случае отсутствия рыночных цен акции за отчетный год</w:t>
      </w:r>
      <w:r>
        <w:rPr>
          <w:sz w:val="22"/>
          <w:szCs w:val="22"/>
          <w:lang w:val="ru-RU"/>
        </w:rPr>
        <w:t xml:space="preserve"> </w:t>
      </w:r>
      <w:r w:rsidRPr="00083566">
        <w:rPr>
          <w:sz w:val="22"/>
          <w:szCs w:val="22"/>
          <w:lang w:val="ru-RU"/>
        </w:rPr>
        <w:t xml:space="preserve">дивидендная доходность </w:t>
      </w:r>
      <w:r>
        <w:rPr>
          <w:sz w:val="22"/>
          <w:szCs w:val="22"/>
          <w:lang w:val="ru-RU"/>
        </w:rPr>
        <w:t xml:space="preserve">акций </w:t>
      </w:r>
      <w:r w:rsidRPr="00083566">
        <w:rPr>
          <w:sz w:val="22"/>
          <w:szCs w:val="22"/>
          <w:lang w:val="ru-RU"/>
        </w:rPr>
        <w:t>не рассчитывается</w:t>
      </w:r>
      <w:r w:rsidR="00D11C77">
        <w:rPr>
          <w:sz w:val="22"/>
          <w:szCs w:val="22"/>
          <w:lang w:val="ru-RU"/>
        </w:rPr>
        <w:t>.</w:t>
      </w:r>
    </w:p>
    <w:sectPr w:rsidR="00083566" w:rsidRPr="001E7CE6" w:rsidSect="00F1147F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75" w:rsidRDefault="00DD2D75" w:rsidP="00094C2E">
      <w:r>
        <w:separator/>
      </w:r>
    </w:p>
  </w:endnote>
  <w:endnote w:type="continuationSeparator" w:id="0">
    <w:p w:rsidR="00DD2D75" w:rsidRDefault="00DD2D75" w:rsidP="000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8254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94C2E" w:rsidRPr="00D67ED5" w:rsidRDefault="00D67CC6">
        <w:pPr>
          <w:pStyle w:val="af"/>
          <w:jc w:val="right"/>
          <w:rPr>
            <w:sz w:val="22"/>
            <w:szCs w:val="22"/>
          </w:rPr>
        </w:pPr>
        <w:r w:rsidRPr="00D67ED5">
          <w:rPr>
            <w:sz w:val="22"/>
            <w:szCs w:val="22"/>
          </w:rPr>
          <w:fldChar w:fldCharType="begin"/>
        </w:r>
        <w:r w:rsidRPr="00D67ED5">
          <w:rPr>
            <w:sz w:val="22"/>
            <w:szCs w:val="22"/>
          </w:rPr>
          <w:instrText xml:space="preserve"> PAGE   \* MERGEFORMAT </w:instrText>
        </w:r>
        <w:r w:rsidRPr="00D67ED5">
          <w:rPr>
            <w:sz w:val="22"/>
            <w:szCs w:val="22"/>
          </w:rPr>
          <w:fldChar w:fldCharType="separate"/>
        </w:r>
        <w:r w:rsidR="00332C74">
          <w:rPr>
            <w:noProof/>
            <w:sz w:val="22"/>
            <w:szCs w:val="22"/>
          </w:rPr>
          <w:t>2</w:t>
        </w:r>
        <w:r w:rsidRPr="00D67ED5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75" w:rsidRDefault="00DD2D75" w:rsidP="00094C2E">
      <w:r>
        <w:separator/>
      </w:r>
    </w:p>
  </w:footnote>
  <w:footnote w:type="continuationSeparator" w:id="0">
    <w:p w:rsidR="00DD2D75" w:rsidRDefault="00DD2D75" w:rsidP="00094C2E">
      <w:r>
        <w:continuationSeparator/>
      </w:r>
    </w:p>
  </w:footnote>
  <w:footnote w:id="1">
    <w:p w:rsidR="00B00321" w:rsidRDefault="004B27CB" w:rsidP="008E77C4">
      <w:pPr>
        <w:pStyle w:val="af2"/>
        <w:jc w:val="both"/>
        <w:rPr>
          <w:lang w:val="ru-RU"/>
        </w:rPr>
      </w:pPr>
      <w:r>
        <w:rPr>
          <w:rStyle w:val="af4"/>
        </w:rPr>
        <w:footnoteRef/>
      </w:r>
      <w:r w:rsidRPr="008E77C4">
        <w:rPr>
          <w:lang w:val="ru-RU"/>
        </w:rPr>
        <w:t xml:space="preserve"> </w:t>
      </w:r>
      <w:r>
        <w:rPr>
          <w:lang w:val="ru-RU"/>
        </w:rPr>
        <w:t xml:space="preserve">В случае, если </w:t>
      </w:r>
      <w:r w:rsidR="00A513B9">
        <w:rPr>
          <w:lang w:val="ru-RU"/>
        </w:rPr>
        <w:t>размер дивидендов</w:t>
      </w:r>
      <w:r w:rsidR="00A76BFC">
        <w:rPr>
          <w:lang w:val="ru-RU"/>
        </w:rPr>
        <w:t xml:space="preserve"> на одну акцию</w:t>
      </w:r>
      <w:r w:rsidR="00A513B9">
        <w:rPr>
          <w:lang w:val="ru-RU"/>
        </w:rPr>
        <w:t xml:space="preserve"> определ</w:t>
      </w:r>
      <w:r w:rsidR="008E77C4">
        <w:rPr>
          <w:lang w:val="ru-RU"/>
        </w:rPr>
        <w:t>ен</w:t>
      </w:r>
      <w:r w:rsidR="00A513B9">
        <w:rPr>
          <w:lang w:val="ru-RU"/>
        </w:rPr>
        <w:t xml:space="preserve"> в валюте, отличной от валюты Российской Федерации, </w:t>
      </w:r>
      <w:r w:rsidR="008E77C4">
        <w:rPr>
          <w:lang w:val="ru-RU"/>
        </w:rPr>
        <w:t xml:space="preserve">то для </w:t>
      </w:r>
      <w:r w:rsidR="00A513B9">
        <w:rPr>
          <w:lang w:val="ru-RU"/>
        </w:rPr>
        <w:t>расчёт</w:t>
      </w:r>
      <w:r w:rsidR="008E77C4">
        <w:rPr>
          <w:lang w:val="ru-RU"/>
        </w:rPr>
        <w:t>а</w:t>
      </w:r>
      <w:r w:rsidR="00A513B9">
        <w:rPr>
          <w:lang w:val="ru-RU"/>
        </w:rPr>
        <w:t xml:space="preserve"> дивидендной доходности</w:t>
      </w:r>
      <w:r w:rsidR="00B00321">
        <w:rPr>
          <w:lang w:val="ru-RU"/>
        </w:rPr>
        <w:t xml:space="preserve"> размер дивиденда на одну акцию пересчитывается в рубли по официальному курсу, установленному Центральным Банком Российской Федерации, на дату принятия решения о выплате дивидендов.  </w:t>
      </w:r>
    </w:p>
    <w:p w:rsidR="004B27CB" w:rsidRPr="00814988" w:rsidRDefault="004B27CB" w:rsidP="008E77C4">
      <w:pPr>
        <w:pStyle w:val="af2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7CD"/>
    <w:multiLevelType w:val="multilevel"/>
    <w:tmpl w:val="6A023C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01F96E39"/>
    <w:multiLevelType w:val="multilevel"/>
    <w:tmpl w:val="D6D07BF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83126D"/>
    <w:multiLevelType w:val="multilevel"/>
    <w:tmpl w:val="14C8A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C77375"/>
    <w:multiLevelType w:val="hybridMultilevel"/>
    <w:tmpl w:val="13A4DC0C"/>
    <w:lvl w:ilvl="0" w:tplc="08D2ADAE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44C24CDC">
      <w:start w:val="1"/>
      <w:numFmt w:val="decimal"/>
      <w:lvlText w:val="%2."/>
      <w:lvlJc w:val="left"/>
      <w:pPr>
        <w:ind w:left="1446" w:hanging="10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29D72DC"/>
    <w:multiLevelType w:val="multilevel"/>
    <w:tmpl w:val="5B4854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6" w15:restartNumberingAfterBreak="0">
    <w:nsid w:val="58272882"/>
    <w:multiLevelType w:val="hybridMultilevel"/>
    <w:tmpl w:val="88709028"/>
    <w:lvl w:ilvl="0" w:tplc="8D08D6D8">
      <w:start w:val="3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0D4F"/>
    <w:multiLevelType w:val="hybridMultilevel"/>
    <w:tmpl w:val="A7C00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491D54"/>
    <w:multiLevelType w:val="multilevel"/>
    <w:tmpl w:val="A3DC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3573DD"/>
    <w:multiLevelType w:val="hybridMultilevel"/>
    <w:tmpl w:val="19CC21D6"/>
    <w:lvl w:ilvl="0" w:tplc="5566984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1F2877"/>
    <w:multiLevelType w:val="hybridMultilevel"/>
    <w:tmpl w:val="431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A2"/>
    <w:rsid w:val="00076DC7"/>
    <w:rsid w:val="00083566"/>
    <w:rsid w:val="00085192"/>
    <w:rsid w:val="00094C2E"/>
    <w:rsid w:val="000967F4"/>
    <w:rsid w:val="000D1658"/>
    <w:rsid w:val="000E0A2E"/>
    <w:rsid w:val="000E3B3E"/>
    <w:rsid w:val="000F30AD"/>
    <w:rsid w:val="000F6EDF"/>
    <w:rsid w:val="001068D0"/>
    <w:rsid w:val="001240FF"/>
    <w:rsid w:val="00140BC3"/>
    <w:rsid w:val="001629A1"/>
    <w:rsid w:val="00183EBE"/>
    <w:rsid w:val="001914E3"/>
    <w:rsid w:val="001A126C"/>
    <w:rsid w:val="001A1D48"/>
    <w:rsid w:val="001B5725"/>
    <w:rsid w:val="001C26AB"/>
    <w:rsid w:val="001D688C"/>
    <w:rsid w:val="001D75F7"/>
    <w:rsid w:val="001E4A97"/>
    <w:rsid w:val="001E7CE6"/>
    <w:rsid w:val="001F232E"/>
    <w:rsid w:val="00231CE3"/>
    <w:rsid w:val="00244082"/>
    <w:rsid w:val="0024747C"/>
    <w:rsid w:val="00263095"/>
    <w:rsid w:val="00285B0A"/>
    <w:rsid w:val="00286EC9"/>
    <w:rsid w:val="00287D41"/>
    <w:rsid w:val="00287DAA"/>
    <w:rsid w:val="002B2CBB"/>
    <w:rsid w:val="002B66D9"/>
    <w:rsid w:val="002C4DAC"/>
    <w:rsid w:val="002D6763"/>
    <w:rsid w:val="0030110B"/>
    <w:rsid w:val="00332BA0"/>
    <w:rsid w:val="00332C74"/>
    <w:rsid w:val="00344E14"/>
    <w:rsid w:val="003479A7"/>
    <w:rsid w:val="003539E8"/>
    <w:rsid w:val="003658EF"/>
    <w:rsid w:val="00373B13"/>
    <w:rsid w:val="0037661E"/>
    <w:rsid w:val="00382767"/>
    <w:rsid w:val="003B2646"/>
    <w:rsid w:val="004062EF"/>
    <w:rsid w:val="004128DA"/>
    <w:rsid w:val="00423961"/>
    <w:rsid w:val="00472D39"/>
    <w:rsid w:val="0048642A"/>
    <w:rsid w:val="00492CD1"/>
    <w:rsid w:val="004A6705"/>
    <w:rsid w:val="004B27CB"/>
    <w:rsid w:val="004D5E52"/>
    <w:rsid w:val="00516B24"/>
    <w:rsid w:val="00537808"/>
    <w:rsid w:val="00541FA4"/>
    <w:rsid w:val="005662B2"/>
    <w:rsid w:val="005C1ACE"/>
    <w:rsid w:val="005E77B7"/>
    <w:rsid w:val="005F233D"/>
    <w:rsid w:val="005F310F"/>
    <w:rsid w:val="00615ED8"/>
    <w:rsid w:val="0062337A"/>
    <w:rsid w:val="0066405C"/>
    <w:rsid w:val="006855C7"/>
    <w:rsid w:val="006928C2"/>
    <w:rsid w:val="006B5A16"/>
    <w:rsid w:val="006C0782"/>
    <w:rsid w:val="006D4B9A"/>
    <w:rsid w:val="00705080"/>
    <w:rsid w:val="00721EF4"/>
    <w:rsid w:val="00724322"/>
    <w:rsid w:val="00791D78"/>
    <w:rsid w:val="007D1520"/>
    <w:rsid w:val="00814988"/>
    <w:rsid w:val="00836F84"/>
    <w:rsid w:val="0084036C"/>
    <w:rsid w:val="008513B6"/>
    <w:rsid w:val="008747C6"/>
    <w:rsid w:val="008850E4"/>
    <w:rsid w:val="008A6589"/>
    <w:rsid w:val="008B026D"/>
    <w:rsid w:val="008C1BFF"/>
    <w:rsid w:val="008D0C6A"/>
    <w:rsid w:val="008E77C4"/>
    <w:rsid w:val="008F1F02"/>
    <w:rsid w:val="0091758B"/>
    <w:rsid w:val="00923E87"/>
    <w:rsid w:val="00926AB8"/>
    <w:rsid w:val="009421BD"/>
    <w:rsid w:val="009651CE"/>
    <w:rsid w:val="00975947"/>
    <w:rsid w:val="00982B18"/>
    <w:rsid w:val="0099167F"/>
    <w:rsid w:val="009C5945"/>
    <w:rsid w:val="009F08C0"/>
    <w:rsid w:val="00A01038"/>
    <w:rsid w:val="00A27E9B"/>
    <w:rsid w:val="00A32434"/>
    <w:rsid w:val="00A3529B"/>
    <w:rsid w:val="00A41D70"/>
    <w:rsid w:val="00A474B9"/>
    <w:rsid w:val="00A513B9"/>
    <w:rsid w:val="00A62E28"/>
    <w:rsid w:val="00A74DC8"/>
    <w:rsid w:val="00A76BFC"/>
    <w:rsid w:val="00A867FD"/>
    <w:rsid w:val="00AC0BDB"/>
    <w:rsid w:val="00AE4BA2"/>
    <w:rsid w:val="00AE4F82"/>
    <w:rsid w:val="00AE701D"/>
    <w:rsid w:val="00AF0D56"/>
    <w:rsid w:val="00B00321"/>
    <w:rsid w:val="00B026BB"/>
    <w:rsid w:val="00B17AD7"/>
    <w:rsid w:val="00B20DA8"/>
    <w:rsid w:val="00B30E38"/>
    <w:rsid w:val="00B4214F"/>
    <w:rsid w:val="00B525E8"/>
    <w:rsid w:val="00B72181"/>
    <w:rsid w:val="00B85CF3"/>
    <w:rsid w:val="00B86052"/>
    <w:rsid w:val="00BB2030"/>
    <w:rsid w:val="00BB3EEA"/>
    <w:rsid w:val="00BC2AFC"/>
    <w:rsid w:val="00BC405D"/>
    <w:rsid w:val="00BF1726"/>
    <w:rsid w:val="00C25459"/>
    <w:rsid w:val="00C30D31"/>
    <w:rsid w:val="00C477CF"/>
    <w:rsid w:val="00C505CE"/>
    <w:rsid w:val="00C57BEB"/>
    <w:rsid w:val="00C64D5A"/>
    <w:rsid w:val="00C86A7E"/>
    <w:rsid w:val="00CC02ED"/>
    <w:rsid w:val="00CE13FC"/>
    <w:rsid w:val="00D078E5"/>
    <w:rsid w:val="00D11C77"/>
    <w:rsid w:val="00D37513"/>
    <w:rsid w:val="00D46C08"/>
    <w:rsid w:val="00D476D5"/>
    <w:rsid w:val="00D67CC6"/>
    <w:rsid w:val="00D67ED5"/>
    <w:rsid w:val="00D90893"/>
    <w:rsid w:val="00D95E22"/>
    <w:rsid w:val="00DD2D75"/>
    <w:rsid w:val="00DE4DA2"/>
    <w:rsid w:val="00DE5971"/>
    <w:rsid w:val="00DF42CE"/>
    <w:rsid w:val="00E2260F"/>
    <w:rsid w:val="00E3529E"/>
    <w:rsid w:val="00E357C7"/>
    <w:rsid w:val="00E552A4"/>
    <w:rsid w:val="00E778A4"/>
    <w:rsid w:val="00E90139"/>
    <w:rsid w:val="00ED34A9"/>
    <w:rsid w:val="00EE7050"/>
    <w:rsid w:val="00F1147F"/>
    <w:rsid w:val="00F13F52"/>
    <w:rsid w:val="00F242A2"/>
    <w:rsid w:val="00F6037F"/>
    <w:rsid w:val="00F64FDF"/>
    <w:rsid w:val="00F662FC"/>
    <w:rsid w:val="00F87D76"/>
    <w:rsid w:val="00FC3AA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685"/>
  <w15:docId w15:val="{BE5B9CB6-7727-4B84-948C-618A4707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4D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E4DA2"/>
    <w:pPr>
      <w:keepNext/>
      <w:spacing w:before="240" w:after="60"/>
      <w:jc w:val="both"/>
    </w:pPr>
    <w:rPr>
      <w:b/>
      <w:kern w:val="28"/>
      <w:sz w:val="28"/>
      <w:lang w:val="ru-RU"/>
    </w:rPr>
  </w:style>
  <w:style w:type="character" w:styleId="a3">
    <w:name w:val="annotation reference"/>
    <w:semiHidden/>
    <w:rsid w:val="00DE4DA2"/>
    <w:rPr>
      <w:sz w:val="16"/>
      <w:szCs w:val="16"/>
    </w:rPr>
  </w:style>
  <w:style w:type="paragraph" w:styleId="a4">
    <w:name w:val="annotation text"/>
    <w:basedOn w:val="a"/>
    <w:link w:val="a5"/>
    <w:semiHidden/>
    <w:rsid w:val="00DE4DA2"/>
  </w:style>
  <w:style w:type="character" w:customStyle="1" w:styleId="a5">
    <w:name w:val="Текст примечания Знак"/>
    <w:basedOn w:val="a0"/>
    <w:link w:val="a4"/>
    <w:semiHidden/>
    <w:rsid w:val="00DE4D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DE4D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4DA2"/>
    <w:pPr>
      <w:ind w:left="708"/>
    </w:pPr>
  </w:style>
  <w:style w:type="paragraph" w:customStyle="1" w:styleId="11">
    <w:name w:val="Обычный1"/>
    <w:basedOn w:val="a"/>
    <w:rsid w:val="00DE4D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4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062E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062E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4062E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rsid w:val="0084036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ru-RU" w:eastAsia="en-US"/>
    </w:rPr>
  </w:style>
  <w:style w:type="character" w:customStyle="1" w:styleId="30">
    <w:name w:val="Основной текст 3 Знак"/>
    <w:basedOn w:val="a0"/>
    <w:link w:val="3"/>
    <w:uiPriority w:val="99"/>
    <w:rsid w:val="0084036C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403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03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Normal (Web)"/>
    <w:basedOn w:val="a"/>
    <w:uiPriority w:val="99"/>
    <w:semiHidden/>
    <w:unhideWhenUsed/>
    <w:rsid w:val="009916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4B27CB"/>
  </w:style>
  <w:style w:type="character" w:customStyle="1" w:styleId="af3">
    <w:name w:val="Текст сноски Знак"/>
    <w:basedOn w:val="a0"/>
    <w:link w:val="af2"/>
    <w:uiPriority w:val="99"/>
    <w:semiHidden/>
    <w:rsid w:val="004B27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semiHidden/>
    <w:unhideWhenUsed/>
    <w:rsid w:val="004B2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E54FD-4AE8-413F-A773-23FEE0D0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6</cp:revision>
  <cp:lastPrinted>2020-01-10T14:05:00Z</cp:lastPrinted>
  <dcterms:created xsi:type="dcterms:W3CDTF">2019-12-26T07:16:00Z</dcterms:created>
  <dcterms:modified xsi:type="dcterms:W3CDTF">2020-01-16T08:08:00Z</dcterms:modified>
</cp:coreProperties>
</file>