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B107EF">
        <w:rPr>
          <w:rFonts w:ascii="Tahoma" w:hAnsi="Tahoma" w:cs="Tahoma"/>
          <w:b/>
          <w:color w:val="FF0000"/>
          <w:lang w:val="en-US"/>
        </w:rPr>
        <w:t>01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B107EF">
        <w:rPr>
          <w:rFonts w:ascii="Tahoma" w:hAnsi="Tahoma" w:cs="Tahoma"/>
          <w:b/>
          <w:color w:val="FF0000"/>
          <w:lang w:val="en-US"/>
        </w:rPr>
        <w:t>04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</w:t>
      </w:r>
      <w:r w:rsidR="00B107EF">
        <w:rPr>
          <w:rFonts w:ascii="Tahoma" w:hAnsi="Tahoma" w:cs="Tahoma"/>
          <w:b/>
          <w:color w:val="FF0000"/>
          <w:lang w:val="en-US"/>
        </w:rPr>
        <w:t>1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8D3E03" w:rsidRDefault="008D3E03" w:rsidP="00D904A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D3E03">
        <w:rPr>
          <w:rFonts w:ascii="Tahoma" w:hAnsi="Tahoma" w:cs="Tahoma"/>
          <w:bCs/>
          <w:sz w:val="20"/>
          <w:szCs w:val="20"/>
          <w:lang w:val="en-US"/>
        </w:rPr>
        <w:t xml:space="preserve">Include in the list of low-liquid instruments on the Derivatives Market of </w:t>
      </w:r>
      <w:r w:rsidR="00C7265F">
        <w:rPr>
          <w:rFonts w:ascii="Tahoma" w:hAnsi="Tahoma" w:cs="Tahoma"/>
          <w:bCs/>
          <w:sz w:val="20"/>
          <w:szCs w:val="20"/>
          <w:lang w:val="en-US"/>
        </w:rPr>
        <w:t xml:space="preserve">the </w:t>
      </w:r>
      <w:r w:rsidRPr="008D3E03">
        <w:rPr>
          <w:rFonts w:ascii="Tahoma" w:hAnsi="Tahoma" w:cs="Tahoma"/>
          <w:bCs/>
          <w:sz w:val="20"/>
          <w:szCs w:val="20"/>
          <w:lang w:val="en-US"/>
        </w:rPr>
        <w:t>Moscow Exchange</w:t>
      </w:r>
      <w:r w:rsidR="00C7265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8D3E03">
        <w:rPr>
          <w:rFonts w:ascii="Tahoma" w:hAnsi="Tahoma" w:cs="Tahoma"/>
          <w:bCs/>
          <w:sz w:val="20"/>
          <w:szCs w:val="20"/>
          <w:lang w:val="en-US"/>
        </w:rPr>
        <w:t>for the purposes of calculating the fee for ineff</w:t>
      </w:r>
      <w:r w:rsidR="00C7265F">
        <w:rPr>
          <w:rFonts w:ascii="Tahoma" w:hAnsi="Tahoma" w:cs="Tahoma"/>
          <w:bCs/>
          <w:sz w:val="20"/>
          <w:szCs w:val="20"/>
          <w:lang w:val="en-US"/>
        </w:rPr>
        <w:t>ective</w:t>
      </w:r>
      <w:r w:rsidRPr="008D3E03">
        <w:rPr>
          <w:rFonts w:ascii="Tahoma" w:hAnsi="Tahoma" w:cs="Tahoma"/>
          <w:bCs/>
          <w:sz w:val="20"/>
          <w:szCs w:val="20"/>
          <w:lang w:val="en-US"/>
        </w:rPr>
        <w:t xml:space="preserve"> transactions all futures and options contracts traded on the Derivatives Market </w:t>
      </w:r>
      <w:proofErr w:type="gramStart"/>
      <w:r w:rsidRPr="008D3E03">
        <w:rPr>
          <w:rFonts w:ascii="Tahoma" w:hAnsi="Tahoma" w:cs="Tahoma"/>
          <w:bCs/>
          <w:sz w:val="20"/>
          <w:szCs w:val="20"/>
          <w:lang w:val="en-US"/>
        </w:rPr>
        <w:t>with the exception of</w:t>
      </w:r>
      <w:proofErr w:type="gramEnd"/>
      <w:r w:rsidRPr="008D3E03">
        <w:rPr>
          <w:rFonts w:ascii="Tahoma" w:hAnsi="Tahoma" w:cs="Tahoma"/>
          <w:bCs/>
          <w:sz w:val="20"/>
          <w:szCs w:val="20"/>
          <w:lang w:val="en-US"/>
        </w:rPr>
        <w:t xml:space="preserve"> the following:</w:t>
      </w:r>
      <w:r w:rsidR="00B33EF9" w:rsidRPr="008D3E03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7265F">
        <w:rPr>
          <w:rFonts w:ascii="Tahoma" w:hAnsi="Tahoma" w:cs="Tahoma"/>
          <w:color w:val="000000"/>
          <w:sz w:val="20"/>
          <w:szCs w:val="20"/>
          <w:lang w:val="en-US"/>
        </w:rPr>
        <w:t>Brent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Oil;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 w:rsidR="00C7265F">
        <w:rPr>
          <w:rFonts w:ascii="Tahoma" w:hAnsi="Tahoma" w:cs="Tahoma"/>
          <w:sz w:val="20"/>
          <w:szCs w:val="20"/>
          <w:lang w:val="en-US"/>
        </w:rPr>
        <w:t>RUB</w:t>
      </w:r>
      <w:r>
        <w:rPr>
          <w:rFonts w:ascii="Tahoma" w:hAnsi="Tahoma" w:cs="Tahoma"/>
          <w:sz w:val="20"/>
          <w:szCs w:val="20"/>
          <w:lang w:val="en-US"/>
        </w:rPr>
        <w:t xml:space="preserve">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5639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RTS Index futures</w:t>
      </w:r>
      <w:r w:rsidR="00606AC1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on </w:t>
      </w:r>
      <w:r w:rsidR="00656391">
        <w:rPr>
          <w:rFonts w:ascii="Tahoma" w:hAnsi="Tahoma" w:cs="Tahoma"/>
          <w:color w:val="000000"/>
          <w:sz w:val="20"/>
          <w:szCs w:val="20"/>
          <w:lang w:val="en-US"/>
        </w:rPr>
        <w:t>Brent oil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futures;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DB3F04"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</w:t>
      </w:r>
      <w:r w:rsidR="00DB3F04">
        <w:rPr>
          <w:rFonts w:ascii="Tahoma" w:hAnsi="Tahoma" w:cs="Tahoma"/>
          <w:color w:val="000000"/>
          <w:sz w:val="20"/>
          <w:szCs w:val="20"/>
          <w:lang w:val="en-US"/>
        </w:rPr>
        <w:t>RTS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DB3F04">
        <w:rPr>
          <w:rFonts w:ascii="Tahoma" w:hAnsi="Tahoma" w:cs="Tahoma"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sectPr w:rsidR="000B34F7" w:rsidRPr="00523C41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17B6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A46E2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56391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3E03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138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07EF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265F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B3F04"/>
    <w:rsid w:val="00DC0B94"/>
    <w:rsid w:val="00DC241E"/>
    <w:rsid w:val="00DC301D"/>
    <w:rsid w:val="00DC3CDC"/>
    <w:rsid w:val="00DE0780"/>
    <w:rsid w:val="00DE2A34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09C7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3</cp:revision>
  <cp:lastPrinted>2014-04-01T10:06:00Z</cp:lastPrinted>
  <dcterms:created xsi:type="dcterms:W3CDTF">2021-04-01T10:51:00Z</dcterms:created>
  <dcterms:modified xsi:type="dcterms:W3CDTF">2021-04-01T11:15:00Z</dcterms:modified>
</cp:coreProperties>
</file>