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F7BB" w14:textId="77777777" w:rsidR="00432283" w:rsidRPr="00F644CF" w:rsidRDefault="00432283" w:rsidP="004704B1">
      <w:pPr>
        <w:spacing w:after="0" w:line="240" w:lineRule="auto"/>
        <w:ind w:left="1418" w:hanging="709"/>
        <w:rPr>
          <w:rFonts w:ascii="Tahoma" w:eastAsia="Calibri" w:hAnsi="Tahoma" w:cs="Tahoma"/>
          <w:bCs/>
          <w:szCs w:val="20"/>
          <w:lang w:eastAsia="ru-RU"/>
        </w:rPr>
      </w:pPr>
    </w:p>
    <w:p w14:paraId="008E9A01" w14:textId="12080F05" w:rsidR="00090679" w:rsidRPr="00C42DED" w:rsidRDefault="00854EED" w:rsidP="00907442">
      <w:pPr>
        <w:tabs>
          <w:tab w:val="left" w:pos="993"/>
        </w:tabs>
        <w:spacing w:after="0" w:line="240" w:lineRule="auto"/>
        <w:ind w:right="4677"/>
        <w:rPr>
          <w:rFonts w:ascii="Tahoma" w:hAnsi="Tahoma" w:cs="Tahoma"/>
          <w:b/>
        </w:rPr>
      </w:pPr>
      <w:r w:rsidRPr="00C42DED">
        <w:rPr>
          <w:rFonts w:ascii="Tahoma" w:hAnsi="Tahoma" w:cs="Tahoma"/>
          <w:b/>
        </w:rPr>
        <w:t>Об установлении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времени определения Курс</w:t>
      </w:r>
      <w:r w:rsidR="00134D26" w:rsidRPr="00C42DED">
        <w:rPr>
          <w:rFonts w:ascii="Tahoma" w:hAnsi="Tahoma" w:cs="Tahoma"/>
          <w:b/>
        </w:rPr>
        <w:t>ов иностранных валют</w:t>
      </w:r>
      <w:r w:rsidR="00963B12" w:rsidRPr="00C42DED">
        <w:rPr>
          <w:rFonts w:ascii="Tahoma" w:hAnsi="Tahoma" w:cs="Tahoma"/>
          <w:b/>
        </w:rPr>
        <w:t xml:space="preserve"> к российскому рублю</w:t>
      </w:r>
      <w:r w:rsidRPr="00C42DED">
        <w:rPr>
          <w:rFonts w:ascii="Tahoma" w:hAnsi="Tahoma" w:cs="Tahoma"/>
          <w:b/>
        </w:rPr>
        <w:t>,</w:t>
      </w:r>
      <w:r w:rsidR="004704B1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используем</w:t>
      </w:r>
      <w:r w:rsidR="00963B12" w:rsidRPr="00C42DED">
        <w:rPr>
          <w:rFonts w:ascii="Tahoma" w:hAnsi="Tahoma" w:cs="Tahoma"/>
          <w:b/>
        </w:rPr>
        <w:t>ых</w:t>
      </w:r>
      <w:r w:rsidRPr="00C42DED">
        <w:rPr>
          <w:rFonts w:ascii="Tahoma" w:hAnsi="Tahoma" w:cs="Tahoma"/>
          <w:b/>
        </w:rPr>
        <w:t xml:space="preserve"> для расчета вариационной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маржи</w:t>
      </w:r>
      <w:r w:rsidR="00073CE0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и</w:t>
      </w:r>
      <w:r w:rsidR="004704B1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определения ц</w:t>
      </w:r>
      <w:r w:rsidR="00B4797F" w:rsidRPr="00C42DED">
        <w:rPr>
          <w:rFonts w:ascii="Tahoma" w:hAnsi="Tahoma" w:cs="Tahoma"/>
          <w:b/>
        </w:rPr>
        <w:t>ены исполнения</w:t>
      </w:r>
    </w:p>
    <w:p w14:paraId="3564CC15" w14:textId="76F6229F" w:rsidR="004704B1" w:rsidRPr="00716FA8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0F24D6A0" w14:textId="77777777" w:rsidR="00907442" w:rsidRDefault="00907442" w:rsidP="00907442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987C6C">
        <w:rPr>
          <w:rFonts w:ascii="Tahoma" w:hAnsi="Tahoma" w:cs="Tahoma"/>
        </w:rPr>
        <w:t>В отношении фьючерсн</w:t>
      </w:r>
      <w:r>
        <w:rPr>
          <w:rFonts w:ascii="Tahoma" w:hAnsi="Tahoma" w:cs="Tahoma"/>
        </w:rPr>
        <w:t xml:space="preserve">ых контрактов: </w:t>
      </w:r>
    </w:p>
    <w:p w14:paraId="134A708D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Pr="00987C6C">
        <w:rPr>
          <w:rFonts w:ascii="Tahoma" w:hAnsi="Tahoma" w:cs="Tahoma"/>
        </w:rPr>
        <w:t>а Индекс РТС,</w:t>
      </w:r>
    </w:p>
    <w:p w14:paraId="29CC7C15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волатильность российского рынка, </w:t>
      </w:r>
    </w:p>
    <w:p w14:paraId="24C10793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</w:t>
      </w:r>
    </w:p>
    <w:p w14:paraId="1C4C52FE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3718A3C7" w14:textId="77777777" w:rsidR="00907442" w:rsidRPr="00BB77F9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474FEA66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5FE0347A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цветные и промышленные металлы, </w:t>
      </w:r>
    </w:p>
    <w:p w14:paraId="374A1BF7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медь, </w:t>
      </w:r>
    </w:p>
    <w:p w14:paraId="311F9EEF" w14:textId="77777777" w:rsidR="00907442" w:rsidRPr="00D86D37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D86D37">
        <w:rPr>
          <w:rFonts w:ascii="Tahoma" w:hAnsi="Tahoma" w:cs="Tahoma"/>
        </w:rPr>
        <w:t xml:space="preserve">на Индекс РТС (мини), </w:t>
      </w:r>
    </w:p>
    <w:p w14:paraId="25210640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352145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7EF98D67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товары мирового агропромышленного комплекса,</w:t>
      </w:r>
    </w:p>
    <w:p w14:paraId="46B2A58C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акции </w:t>
      </w:r>
      <w:r w:rsidRPr="001B0009">
        <w:rPr>
          <w:rFonts w:ascii="Tahoma" w:hAnsi="Tahoma" w:cs="Tahoma"/>
        </w:rPr>
        <w:t xml:space="preserve">инвестиционного фонда </w:t>
      </w:r>
      <w:proofErr w:type="spellStart"/>
      <w:r w:rsidRPr="001B0009">
        <w:rPr>
          <w:rFonts w:ascii="Tahoma" w:hAnsi="Tahoma" w:cs="Tahoma"/>
        </w:rPr>
        <w:t>iShares</w:t>
      </w:r>
      <w:proofErr w:type="spellEnd"/>
      <w:r w:rsidRPr="001B0009">
        <w:rPr>
          <w:rFonts w:ascii="Tahoma" w:hAnsi="Tahoma" w:cs="Tahoma"/>
        </w:rPr>
        <w:t xml:space="preserve"> </w:t>
      </w:r>
      <w:proofErr w:type="spellStart"/>
      <w:r w:rsidRPr="001B0009">
        <w:rPr>
          <w:rFonts w:ascii="Tahoma" w:hAnsi="Tahoma" w:cs="Tahoma"/>
        </w:rPr>
        <w:t>Bitcoin</w:t>
      </w:r>
      <w:proofErr w:type="spellEnd"/>
      <w:r w:rsidRPr="001B0009">
        <w:rPr>
          <w:rFonts w:ascii="Tahoma" w:hAnsi="Tahoma" w:cs="Tahoma"/>
        </w:rPr>
        <w:t xml:space="preserve"> </w:t>
      </w:r>
      <w:proofErr w:type="spellStart"/>
      <w:r w:rsidRPr="001B0009">
        <w:rPr>
          <w:rFonts w:ascii="Tahoma" w:hAnsi="Tahoma" w:cs="Tahoma"/>
        </w:rPr>
        <w:t>Trust</w:t>
      </w:r>
      <w:proofErr w:type="spellEnd"/>
      <w:r w:rsidRPr="001B0009">
        <w:rPr>
          <w:rFonts w:ascii="Tahoma" w:hAnsi="Tahoma" w:cs="Tahoma"/>
        </w:rPr>
        <w:t xml:space="preserve"> ETF</w:t>
      </w:r>
      <w:r>
        <w:rPr>
          <w:rFonts w:ascii="Tahoma" w:hAnsi="Tahoma" w:cs="Tahoma"/>
        </w:rPr>
        <w:t>,</w:t>
      </w:r>
    </w:p>
    <w:p w14:paraId="4E85D2E3" w14:textId="77777777" w:rsidR="00907442" w:rsidRDefault="00907442" w:rsidP="00907442">
      <w:pPr>
        <w:pStyle w:val="a7"/>
        <w:spacing w:after="120" w:line="240" w:lineRule="auto"/>
        <w:ind w:left="284" w:hanging="284"/>
        <w:jc w:val="both"/>
        <w:rPr>
          <w:rFonts w:ascii="Tahoma" w:hAnsi="Tahoma" w:cs="Tahoma"/>
        </w:rPr>
      </w:pPr>
      <w:bookmarkStart w:id="1" w:name="_Hlk125542577"/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марж</w:t>
      </w:r>
      <w:r w:rsidRPr="00987C6C">
        <w:rPr>
          <w:rFonts w:ascii="Tahoma" w:hAnsi="Tahoma" w:cs="Tahoma"/>
        </w:rPr>
        <w:t>ируем</w:t>
      </w:r>
      <w:r>
        <w:rPr>
          <w:rFonts w:ascii="Tahoma" w:hAnsi="Tahoma" w:cs="Tahoma"/>
        </w:rPr>
        <w:t>ых</w:t>
      </w:r>
      <w:proofErr w:type="spellEnd"/>
      <w:r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опцион</w:t>
      </w:r>
      <w:r>
        <w:rPr>
          <w:rFonts w:ascii="Tahoma" w:hAnsi="Tahoma" w:cs="Tahoma"/>
        </w:rPr>
        <w:t>ов на фьючерсные контракты:</w:t>
      </w:r>
    </w:p>
    <w:p w14:paraId="7EF81EEF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Индекс РТС, </w:t>
      </w:r>
    </w:p>
    <w:p w14:paraId="0FC7BA2D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 </w:t>
      </w:r>
    </w:p>
    <w:p w14:paraId="7C3E13DB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748CABA5" w14:textId="77777777" w:rsidR="00907442" w:rsidRPr="00BB77F9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53A1D925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03143231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C65B79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38D63BCC" w14:textId="77777777" w:rsidR="00907442" w:rsidRPr="00716FA8" w:rsidRDefault="00907442" w:rsidP="00907442">
      <w:pPr>
        <w:pStyle w:val="a7"/>
        <w:spacing w:after="12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bookmarkEnd w:id="1"/>
    <w:p w14:paraId="0DC0CB38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евро</w:t>
      </w:r>
      <w:r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3840E01D" w14:textId="77777777" w:rsidR="00907442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В отношении фьючерсных контрактов</w:t>
      </w:r>
      <w:r>
        <w:rPr>
          <w:rFonts w:ascii="Tahoma" w:hAnsi="Tahoma" w:cs="Tahoma"/>
        </w:rPr>
        <w:t>:</w:t>
      </w:r>
    </w:p>
    <w:p w14:paraId="2BE277ED" w14:textId="77777777" w:rsidR="00907442" w:rsidRPr="008F2C65" w:rsidRDefault="00907442" w:rsidP="00907442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84940">
        <w:rPr>
          <w:rFonts w:ascii="Tahoma" w:hAnsi="Tahoma" w:cs="Tahoma"/>
        </w:rPr>
        <w:t>на курс иностранной валю</w:t>
      </w:r>
      <w:r w:rsidRPr="008F2C65">
        <w:rPr>
          <w:rFonts w:ascii="Tahoma" w:hAnsi="Tahoma" w:cs="Tahoma"/>
        </w:rPr>
        <w:t xml:space="preserve">ты к канадскому доллару,  </w:t>
      </w:r>
    </w:p>
    <w:p w14:paraId="2A1F8C33" w14:textId="77777777" w:rsidR="00907442" w:rsidRDefault="00907442" w:rsidP="00907442">
      <w:pPr>
        <w:pStyle w:val="a7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Pr="00073CE0">
        <w:rPr>
          <w:rFonts w:ascii="Tahoma" w:hAnsi="Tahoma" w:cs="Tahoma"/>
        </w:rPr>
        <w:t>маржируем</w:t>
      </w:r>
      <w:r>
        <w:rPr>
          <w:rFonts w:ascii="Tahoma" w:hAnsi="Tahoma" w:cs="Tahoma"/>
        </w:rPr>
        <w:t>ых</w:t>
      </w:r>
      <w:proofErr w:type="spellEnd"/>
      <w:r w:rsidRPr="00073CE0">
        <w:rPr>
          <w:rFonts w:ascii="Tahoma" w:hAnsi="Tahoma" w:cs="Tahoma"/>
        </w:rPr>
        <w:t xml:space="preserve"> опцион</w:t>
      </w:r>
      <w:r>
        <w:rPr>
          <w:rFonts w:ascii="Tahoma" w:hAnsi="Tahoma" w:cs="Tahoma"/>
        </w:rPr>
        <w:t>ов</w:t>
      </w:r>
      <w:r w:rsidRPr="00073CE0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Pr="00073CE0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175256D9" w14:textId="77777777" w:rsidR="00907442" w:rsidRDefault="00907442" w:rsidP="00907442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 xml:space="preserve">на курс </w:t>
      </w:r>
      <w:r w:rsidRPr="00F84940">
        <w:rPr>
          <w:rFonts w:ascii="Tahoma" w:hAnsi="Tahoma" w:cs="Tahoma"/>
        </w:rPr>
        <w:t>иностранной валю</w:t>
      </w:r>
      <w:r w:rsidRPr="0082406B">
        <w:rPr>
          <w:rFonts w:ascii="Tahoma" w:hAnsi="Tahoma" w:cs="Tahoma"/>
        </w:rPr>
        <w:t>ты к канадскому доллару</w:t>
      </w:r>
      <w:r w:rsidRPr="00073CE0" w:rsidDel="00F84940">
        <w:rPr>
          <w:rFonts w:ascii="Tahoma" w:hAnsi="Tahoma" w:cs="Tahoma"/>
        </w:rPr>
        <w:t xml:space="preserve"> </w:t>
      </w:r>
    </w:p>
    <w:p w14:paraId="4CDA7FE6" w14:textId="77777777" w:rsidR="00907442" w:rsidRDefault="00907442" w:rsidP="00907442">
      <w:pPr>
        <w:pStyle w:val="a7"/>
        <w:spacing w:after="0" w:line="240" w:lineRule="auto"/>
        <w:ind w:left="0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756975D0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швейцарск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франк</w:t>
      </w:r>
      <w:r>
        <w:rPr>
          <w:rFonts w:ascii="Tahoma" w:hAnsi="Tahoma" w:cs="Tahoma"/>
        </w:rPr>
        <w:t>у</w:t>
      </w:r>
      <w:r w:rsidRPr="00716FA8">
        <w:rPr>
          <w:rFonts w:ascii="Tahoma" w:hAnsi="Tahoma" w:cs="Tahoma"/>
        </w:rPr>
        <w:t xml:space="preserve">, </w:t>
      </w:r>
      <w:proofErr w:type="spellStart"/>
      <w:r w:rsidRPr="00716FA8">
        <w:rPr>
          <w:rFonts w:ascii="Tahoma" w:hAnsi="Tahoma" w:cs="Tahoma"/>
        </w:rPr>
        <w:t>маржируемого</w:t>
      </w:r>
      <w:proofErr w:type="spellEnd"/>
      <w:r w:rsidRPr="00716FA8">
        <w:rPr>
          <w:rFonts w:ascii="Tahoma" w:hAnsi="Tahoma" w:cs="Tahoma"/>
        </w:rPr>
        <w:t xml:space="preserve"> опциона на фьючерсный контракт</w:t>
      </w:r>
      <w:r w:rsidRPr="00716FA8">
        <w:rPr>
          <w:sz w:val="24"/>
          <w:szCs w:val="24"/>
        </w:rPr>
        <w:t xml:space="preserve"> </w:t>
      </w:r>
      <w:r w:rsidRPr="008F2C65">
        <w:rPr>
          <w:rFonts w:ascii="Tahoma" w:hAnsi="Tahoma" w:cs="Tahoma"/>
        </w:rPr>
        <w:t>на курс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швейцарск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франк</w:t>
      </w:r>
      <w:r>
        <w:rPr>
          <w:rFonts w:ascii="Tahoma" w:hAnsi="Tahoma" w:cs="Tahoma"/>
        </w:rPr>
        <w:t>у</w:t>
      </w:r>
      <w:r w:rsidRPr="00716FA8" w:rsidDel="00F84940"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9D9B5E7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турецк</w:t>
      </w:r>
      <w:r>
        <w:rPr>
          <w:rFonts w:ascii="Tahoma" w:hAnsi="Tahoma" w:cs="Tahoma"/>
        </w:rPr>
        <w:t>ой</w:t>
      </w:r>
      <w:r w:rsidRPr="00716FA8">
        <w:rPr>
          <w:rFonts w:ascii="Tahoma" w:hAnsi="Tahoma" w:cs="Tahoma"/>
        </w:rPr>
        <w:t xml:space="preserve"> лир</w:t>
      </w:r>
      <w:r>
        <w:rPr>
          <w:rFonts w:ascii="Tahoma" w:hAnsi="Tahoma" w:cs="Tahoma"/>
        </w:rPr>
        <w:t>е</w:t>
      </w:r>
      <w:r w:rsidRPr="00716FA8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0245D2C" w14:textId="77777777" w:rsidR="00907442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lastRenderedPageBreak/>
        <w:t xml:space="preserve">В отношении фьючерсных контрактов 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китайск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юан</w:t>
      </w:r>
      <w:r>
        <w:rPr>
          <w:rFonts w:ascii="Tahoma" w:hAnsi="Tahoma" w:cs="Tahoma"/>
        </w:rPr>
        <w:t>ю</w:t>
      </w:r>
      <w:r w:rsidRPr="00716FA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фьючерсного контракта на Индекс </w:t>
      </w:r>
      <w:proofErr w:type="spellStart"/>
      <w:r>
        <w:rPr>
          <w:rFonts w:ascii="Tahoma" w:hAnsi="Tahoma" w:cs="Tahoma"/>
        </w:rPr>
        <w:t>МосБиржи</w:t>
      </w:r>
      <w:proofErr w:type="spellEnd"/>
      <w:r>
        <w:rPr>
          <w:rFonts w:ascii="Tahoma" w:hAnsi="Tahoma" w:cs="Tahoma"/>
        </w:rPr>
        <w:t xml:space="preserve"> в юанях, </w:t>
      </w:r>
      <w:proofErr w:type="spellStart"/>
      <w:r w:rsidRPr="00716FA8">
        <w:rPr>
          <w:rFonts w:ascii="Tahoma" w:hAnsi="Tahoma" w:cs="Tahoma"/>
        </w:rPr>
        <w:t>маржируемого</w:t>
      </w:r>
      <w:proofErr w:type="spellEnd"/>
      <w:r w:rsidRPr="00716FA8">
        <w:rPr>
          <w:rFonts w:ascii="Tahoma" w:hAnsi="Tahoma" w:cs="Tahoma"/>
        </w:rPr>
        <w:t xml:space="preserve"> опциона на фьючерсный контракт</w:t>
      </w:r>
      <w:r w:rsidRPr="00716FA8">
        <w:rPr>
          <w:sz w:val="24"/>
          <w:szCs w:val="24"/>
        </w:rPr>
        <w:t xml:space="preserve"> </w:t>
      </w:r>
      <w:r w:rsidRPr="00716FA8">
        <w:rPr>
          <w:rFonts w:ascii="Tahoma" w:hAnsi="Tahoma" w:cs="Tahoma"/>
        </w:rPr>
        <w:t xml:space="preserve">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китайск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юан</w:t>
      </w:r>
      <w:r>
        <w:rPr>
          <w:rFonts w:ascii="Tahoma" w:hAnsi="Tahoma" w:cs="Tahoma"/>
        </w:rPr>
        <w:t>ю</w:t>
      </w:r>
      <w:r w:rsidRPr="00716FA8">
        <w:rPr>
          <w:rFonts w:ascii="Tahoma" w:hAnsi="Tahoma" w:cs="Tahoma"/>
        </w:rPr>
        <w:t xml:space="preserve"> использовать </w:t>
      </w:r>
      <w:r>
        <w:rPr>
          <w:rFonts w:ascii="Tahoma" w:hAnsi="Tahoma" w:cs="Tahoma"/>
        </w:rPr>
        <w:t>К</w:t>
      </w:r>
      <w:r w:rsidRPr="00716FA8">
        <w:rPr>
          <w:rFonts w:ascii="Tahoma" w:hAnsi="Tahoma" w:cs="Tahoma"/>
        </w:rPr>
        <w:t>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E173D4B" w14:textId="41AA5649" w:rsidR="00907442" w:rsidRPr="007D1945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В отношении фьючерсных контрактов на курс </w:t>
      </w:r>
      <w:r>
        <w:rPr>
          <w:rFonts w:ascii="Tahoma" w:hAnsi="Tahoma" w:cs="Tahoma"/>
        </w:rPr>
        <w:t>иностранной валюты к</w:t>
      </w:r>
      <w:bookmarkStart w:id="2" w:name="_GoBack"/>
      <w:bookmarkEnd w:id="2"/>
      <w:r w:rsidRPr="007D1945">
        <w:rPr>
          <w:rFonts w:ascii="Tahoma" w:hAnsi="Tahoma" w:cs="Tahoma"/>
        </w:rPr>
        <w:t xml:space="preserve"> казахстанск</w:t>
      </w:r>
      <w:r>
        <w:rPr>
          <w:rFonts w:ascii="Tahoma" w:hAnsi="Tahoma" w:cs="Tahoma"/>
        </w:rPr>
        <w:t>ому</w:t>
      </w:r>
      <w:r w:rsidRPr="007D1945">
        <w:rPr>
          <w:rFonts w:ascii="Tahoma" w:hAnsi="Tahoma" w:cs="Tahoma"/>
        </w:rPr>
        <w:t xml:space="preserve">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0C975E0F" w14:textId="77777777" w:rsidR="00907442" w:rsidRPr="008F2C65" w:rsidRDefault="00907442" w:rsidP="00907442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8F2C65">
        <w:rPr>
          <w:rFonts w:ascii="Tahoma" w:hAnsi="Tahoma" w:cs="Tahoma"/>
        </w:rPr>
        <w:t>В отношении фьючерсных контрактов на иностранные ценные бумаги</w:t>
      </w:r>
      <w:r w:rsidRPr="00907442">
        <w:rPr>
          <w:rFonts w:ascii="Tahoma" w:hAnsi="Tahoma" w:cs="Tahoma"/>
        </w:rPr>
        <w:t>,</w:t>
      </w:r>
      <w:r w:rsidRPr="008F2C65">
        <w:rPr>
          <w:rFonts w:ascii="Tahoma" w:hAnsi="Tahoma" w:cs="Tahoma"/>
        </w:rPr>
        <w:t xml:space="preserve"> в отношении </w:t>
      </w:r>
      <w:proofErr w:type="spellStart"/>
      <w:r w:rsidRPr="008F2C65">
        <w:rPr>
          <w:rFonts w:ascii="Tahoma" w:hAnsi="Tahoma" w:cs="Tahoma"/>
        </w:rPr>
        <w:t>маржируемых</w:t>
      </w:r>
      <w:proofErr w:type="spellEnd"/>
      <w:r w:rsidRPr="008F2C65">
        <w:rPr>
          <w:rFonts w:ascii="Tahoma" w:hAnsi="Tahoma" w:cs="Tahoma"/>
        </w:rPr>
        <w:t xml:space="preserve"> опционов на фьючерсные контракты на иностранные ценные бумаги,</w:t>
      </w:r>
      <w:r w:rsidRPr="00907442">
        <w:rPr>
          <w:rFonts w:ascii="Tahoma" w:hAnsi="Tahoma" w:cs="Tahoma"/>
        </w:rPr>
        <w:t xml:space="preserve"> на природный газ </w:t>
      </w:r>
      <w:proofErr w:type="spellStart"/>
      <w:r w:rsidRPr="00907442">
        <w:rPr>
          <w:rFonts w:ascii="Tahoma" w:hAnsi="Tahoma" w:cs="Tahoma"/>
        </w:rPr>
        <w:t>Датч</w:t>
      </w:r>
      <w:proofErr w:type="spellEnd"/>
      <w:r w:rsidRPr="00907442">
        <w:rPr>
          <w:rFonts w:ascii="Tahoma" w:hAnsi="Tahoma" w:cs="Tahoma"/>
        </w:rPr>
        <w:t xml:space="preserve"> ТТФ</w:t>
      </w:r>
      <w:r>
        <w:rPr>
          <w:rFonts w:ascii="Tahoma" w:hAnsi="Tahoma" w:cs="Tahoma"/>
        </w:rPr>
        <w:t xml:space="preserve"> </w:t>
      </w:r>
      <w:r w:rsidRPr="008F2C65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26002A03" w14:textId="77777777" w:rsidR="00907442" w:rsidRPr="00716FA8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</w:t>
      </w:r>
      <w:r>
        <w:rPr>
          <w:rFonts w:ascii="Tahoma" w:hAnsi="Tahoma" w:cs="Tahoma"/>
        </w:rPr>
        <w:t xml:space="preserve">иностранные ценные бумаги, </w:t>
      </w:r>
      <w:proofErr w:type="spellStart"/>
      <w:r>
        <w:rPr>
          <w:rFonts w:ascii="Tahoma" w:hAnsi="Tahoma" w:cs="Tahoma"/>
        </w:rPr>
        <w:t>маржируемых</w:t>
      </w:r>
      <w:proofErr w:type="spellEnd"/>
      <w:r>
        <w:rPr>
          <w:rFonts w:ascii="Tahoma" w:hAnsi="Tahoma" w:cs="Tahoma"/>
        </w:rPr>
        <w:t xml:space="preserve"> опционов на фьючерсные контракты на иностранные ценные бумаги </w:t>
      </w:r>
      <w:r w:rsidRPr="00716FA8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F587048" w14:textId="77777777" w:rsidR="00907442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8F2C65">
        <w:rPr>
          <w:rFonts w:ascii="Tahoma" w:hAnsi="Tahoma" w:cs="Tahoma"/>
        </w:rPr>
        <w:t xml:space="preserve">В отношении фьючерсных контрактов на курс иностранной валюты к японской йене, на иностранные ценные бумаги, в отношении </w:t>
      </w:r>
      <w:proofErr w:type="spellStart"/>
      <w:r w:rsidRPr="008F2C65">
        <w:rPr>
          <w:rFonts w:ascii="Tahoma" w:hAnsi="Tahoma" w:cs="Tahoma"/>
        </w:rPr>
        <w:t>маржируемых</w:t>
      </w:r>
      <w:proofErr w:type="spellEnd"/>
      <w:r w:rsidRPr="008F2C65">
        <w:rPr>
          <w:rFonts w:ascii="Tahoma" w:hAnsi="Tahoma" w:cs="Tahoma"/>
        </w:rPr>
        <w:t xml:space="preserve"> опционов на фьючерсные контракты на курс иностранной валюты к японской йене, на иностранные ценные бумаги</w:t>
      </w:r>
      <w:r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2ED86707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16FA8">
        <w:rPr>
          <w:rFonts w:ascii="Tahoma" w:hAnsi="Tahoma" w:cs="Tahoma"/>
        </w:rPr>
        <w:t>фиксингов</w:t>
      </w:r>
      <w:proofErr w:type="spellEnd"/>
      <w:r w:rsidRPr="00716FA8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3EF54E89" w14:textId="77777777" w:rsidR="00907442" w:rsidRPr="007D1945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D1945">
        <w:rPr>
          <w:rFonts w:ascii="Tahoma" w:hAnsi="Tahoma" w:cs="Tahoma"/>
        </w:rPr>
        <w:t>пп</w:t>
      </w:r>
      <w:proofErr w:type="spellEnd"/>
      <w:r w:rsidRPr="007D1945">
        <w:rPr>
          <w:rFonts w:ascii="Tahoma" w:hAnsi="Tahoma" w:cs="Tahoma"/>
        </w:rPr>
        <w:t xml:space="preserve"> 1-1</w:t>
      </w:r>
      <w:r>
        <w:rPr>
          <w:rFonts w:ascii="Tahoma" w:hAnsi="Tahoma" w:cs="Tahoma"/>
        </w:rPr>
        <w:t xml:space="preserve">0 </w:t>
      </w:r>
      <w:r w:rsidRPr="007D1945">
        <w:rPr>
          <w:rFonts w:ascii="Tahoma" w:hAnsi="Tahoma" w:cs="Tahoma"/>
        </w:rPr>
        <w:t>использовать Курс соответствующей валюты к рублю, определенный:</w:t>
      </w:r>
    </w:p>
    <w:p w14:paraId="63D2B330" w14:textId="77777777" w:rsidR="00907442" w:rsidRPr="00716FA8" w:rsidRDefault="00907442" w:rsidP="00907442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по состоянию на 13:45 МСК текущего Торгового дня – в целях расчета вариационной маржи, (определения стоимости минимального шага цены) и обязательства по расчетам (цены исполнения) в ходе дневной клиринговой сессии текущего Торгового дня;</w:t>
      </w:r>
    </w:p>
    <w:p w14:paraId="253114FA" w14:textId="77777777" w:rsidR="00907442" w:rsidRPr="00716FA8" w:rsidRDefault="00907442" w:rsidP="00907442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по состоянию на 18:49 МСК текущего Торгового дня – в целях расчета вариационной маржи, (определения стоимости минимального шага цены)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66FE7ACF" w14:textId="77777777" w:rsidR="00907442" w:rsidRPr="00D45881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D45881">
        <w:rPr>
          <w:rFonts w:ascii="Tahoma" w:hAnsi="Tahoma" w:cs="Tahoma"/>
        </w:rPr>
        <w:t>Валютные курсы, определенные по состоянию на 13:45 МСК текущего Торгового дня, помимо целей, указанных в подпункте 1</w:t>
      </w:r>
      <w:r>
        <w:rPr>
          <w:rFonts w:ascii="Tahoma" w:hAnsi="Tahoma" w:cs="Tahoma"/>
        </w:rPr>
        <w:t>2</w:t>
      </w:r>
      <w:r w:rsidRPr="00D45881">
        <w:rPr>
          <w:rFonts w:ascii="Tahoma" w:hAnsi="Tahoma" w:cs="Tahoma"/>
        </w:rPr>
        <w:t>.1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14:00:00 МСК до 18:49:59 МСК (включительно) текущего Торгового дня.</w:t>
      </w:r>
    </w:p>
    <w:p w14:paraId="4BBA35AF" w14:textId="77777777" w:rsidR="00907442" w:rsidRPr="00716FA8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Валютные курсы, определенные по состоянию на 18:49 МСК текущего Торгового дня, помимо целей, указанных в подпункте 1</w:t>
      </w:r>
      <w:r>
        <w:rPr>
          <w:rFonts w:ascii="Tahoma" w:hAnsi="Tahoma" w:cs="Tahoma"/>
        </w:rPr>
        <w:t>2</w:t>
      </w:r>
      <w:r w:rsidRPr="00716FA8">
        <w:rPr>
          <w:rFonts w:ascii="Tahoma" w:hAnsi="Tahoma" w:cs="Tahoma"/>
        </w:rPr>
        <w:t>.2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18:50:00 МСК текущего Рабочего дня до 13:59:59 МСК (включительно) следующего Торгового дня.</w:t>
      </w:r>
    </w:p>
    <w:bookmarkEnd w:id="0"/>
    <w:p w14:paraId="36FAE31E" w14:textId="50D8CB8F" w:rsidR="00DD602A" w:rsidRPr="00716FA8" w:rsidRDefault="00DD602A" w:rsidP="00D45881">
      <w:pPr>
        <w:pStyle w:val="10"/>
        <w:ind w:firstLine="709"/>
        <w:jc w:val="both"/>
        <w:rPr>
          <w:rFonts w:ascii="Tahoma" w:hAnsi="Tahoma" w:cs="Tahoma"/>
          <w:sz w:val="22"/>
          <w:szCs w:val="22"/>
        </w:rPr>
      </w:pPr>
    </w:p>
    <w:p w14:paraId="2B4497D1" w14:textId="77777777" w:rsidR="00964087" w:rsidRPr="00716FA8" w:rsidRDefault="00964087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</w:rPr>
      </w:pPr>
    </w:p>
    <w:p w14:paraId="70E6369C" w14:textId="77777777" w:rsidR="002E0323" w:rsidRPr="00716FA8" w:rsidRDefault="002E0323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</w:p>
    <w:sectPr w:rsidR="002E0323" w:rsidRPr="00716FA8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270" w14:textId="77777777" w:rsidR="005259EA" w:rsidRDefault="005259EA" w:rsidP="00127F97">
      <w:pPr>
        <w:spacing w:after="0" w:line="240" w:lineRule="auto"/>
      </w:pPr>
      <w:r>
        <w:separator/>
      </w:r>
    </w:p>
  </w:endnote>
  <w:endnote w:type="continuationSeparator" w:id="0">
    <w:p w14:paraId="0AC002A5" w14:textId="77777777" w:rsidR="005259EA" w:rsidRDefault="005259EA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FABD" w14:textId="77777777" w:rsidR="005259EA" w:rsidRDefault="005259EA" w:rsidP="00127F97">
      <w:pPr>
        <w:spacing w:after="0" w:line="240" w:lineRule="auto"/>
      </w:pPr>
      <w:r>
        <w:separator/>
      </w:r>
    </w:p>
  </w:footnote>
  <w:footnote w:type="continuationSeparator" w:id="0">
    <w:p w14:paraId="72BCC481" w14:textId="77777777" w:rsidR="005259EA" w:rsidRDefault="005259EA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FB2"/>
    <w:multiLevelType w:val="hybridMultilevel"/>
    <w:tmpl w:val="A52E6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62986"/>
    <w:multiLevelType w:val="hybridMultilevel"/>
    <w:tmpl w:val="7B0053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E0D50"/>
    <w:multiLevelType w:val="hybridMultilevel"/>
    <w:tmpl w:val="F432B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58A2E5D"/>
    <w:multiLevelType w:val="hybridMultilevel"/>
    <w:tmpl w:val="B7B8BE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2" w:hanging="2160"/>
      </w:pPr>
      <w:rPr>
        <w:rFonts w:hint="default"/>
      </w:rPr>
    </w:lvl>
  </w:abstractNum>
  <w:abstractNum w:abstractNumId="8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04D93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B6BC6"/>
    <w:rsid w:val="001D45BE"/>
    <w:rsid w:val="001E02F8"/>
    <w:rsid w:val="001E0E2A"/>
    <w:rsid w:val="001E41B9"/>
    <w:rsid w:val="00200551"/>
    <w:rsid w:val="0021715A"/>
    <w:rsid w:val="00220E81"/>
    <w:rsid w:val="002237AC"/>
    <w:rsid w:val="002409DB"/>
    <w:rsid w:val="002557EC"/>
    <w:rsid w:val="002563BE"/>
    <w:rsid w:val="002571F6"/>
    <w:rsid w:val="002670A6"/>
    <w:rsid w:val="002816E3"/>
    <w:rsid w:val="00285624"/>
    <w:rsid w:val="002C29E4"/>
    <w:rsid w:val="002C2A5A"/>
    <w:rsid w:val="002E0323"/>
    <w:rsid w:val="002F05A9"/>
    <w:rsid w:val="003103DB"/>
    <w:rsid w:val="00332153"/>
    <w:rsid w:val="003412AD"/>
    <w:rsid w:val="003478A1"/>
    <w:rsid w:val="00352145"/>
    <w:rsid w:val="003724EA"/>
    <w:rsid w:val="0037594D"/>
    <w:rsid w:val="003906EA"/>
    <w:rsid w:val="00395394"/>
    <w:rsid w:val="003C153B"/>
    <w:rsid w:val="003C3F53"/>
    <w:rsid w:val="003E168F"/>
    <w:rsid w:val="003E3006"/>
    <w:rsid w:val="003F27AC"/>
    <w:rsid w:val="00400317"/>
    <w:rsid w:val="00404CAE"/>
    <w:rsid w:val="004075E7"/>
    <w:rsid w:val="00422CA6"/>
    <w:rsid w:val="00432283"/>
    <w:rsid w:val="00456C16"/>
    <w:rsid w:val="00467942"/>
    <w:rsid w:val="004704B1"/>
    <w:rsid w:val="00477D37"/>
    <w:rsid w:val="004878BF"/>
    <w:rsid w:val="00496F60"/>
    <w:rsid w:val="004A79C3"/>
    <w:rsid w:val="004C1C47"/>
    <w:rsid w:val="004E62CF"/>
    <w:rsid w:val="004F4978"/>
    <w:rsid w:val="004F5484"/>
    <w:rsid w:val="00507447"/>
    <w:rsid w:val="00523F5D"/>
    <w:rsid w:val="005259EA"/>
    <w:rsid w:val="005274AC"/>
    <w:rsid w:val="00540F24"/>
    <w:rsid w:val="005531BE"/>
    <w:rsid w:val="005626C5"/>
    <w:rsid w:val="00566B31"/>
    <w:rsid w:val="00566FCD"/>
    <w:rsid w:val="005926AD"/>
    <w:rsid w:val="005A1CD3"/>
    <w:rsid w:val="005A1D19"/>
    <w:rsid w:val="005B42CF"/>
    <w:rsid w:val="005B5FCA"/>
    <w:rsid w:val="005C18F0"/>
    <w:rsid w:val="005C7B47"/>
    <w:rsid w:val="005D0DCD"/>
    <w:rsid w:val="005D13B9"/>
    <w:rsid w:val="005D2199"/>
    <w:rsid w:val="005D7E61"/>
    <w:rsid w:val="005E71B1"/>
    <w:rsid w:val="005E7FB9"/>
    <w:rsid w:val="005F0B39"/>
    <w:rsid w:val="006019E3"/>
    <w:rsid w:val="006135F9"/>
    <w:rsid w:val="006142D1"/>
    <w:rsid w:val="00640612"/>
    <w:rsid w:val="00642CF7"/>
    <w:rsid w:val="00644E21"/>
    <w:rsid w:val="00653755"/>
    <w:rsid w:val="00662F26"/>
    <w:rsid w:val="00662F69"/>
    <w:rsid w:val="00670093"/>
    <w:rsid w:val="0069429D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319CE"/>
    <w:rsid w:val="00736FFD"/>
    <w:rsid w:val="00751253"/>
    <w:rsid w:val="00753162"/>
    <w:rsid w:val="007535D2"/>
    <w:rsid w:val="007545BB"/>
    <w:rsid w:val="00764C73"/>
    <w:rsid w:val="00787D4D"/>
    <w:rsid w:val="007947DF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245C"/>
    <w:rsid w:val="008155AE"/>
    <w:rsid w:val="0082481E"/>
    <w:rsid w:val="00854EED"/>
    <w:rsid w:val="0085685F"/>
    <w:rsid w:val="0086147E"/>
    <w:rsid w:val="00872DD8"/>
    <w:rsid w:val="00876733"/>
    <w:rsid w:val="008938DB"/>
    <w:rsid w:val="008A5BF4"/>
    <w:rsid w:val="008B08B1"/>
    <w:rsid w:val="008C3A80"/>
    <w:rsid w:val="008F2006"/>
    <w:rsid w:val="008F5E28"/>
    <w:rsid w:val="00904207"/>
    <w:rsid w:val="009043A0"/>
    <w:rsid w:val="00906927"/>
    <w:rsid w:val="00907442"/>
    <w:rsid w:val="00915A87"/>
    <w:rsid w:val="009262DA"/>
    <w:rsid w:val="00927B1E"/>
    <w:rsid w:val="0093010E"/>
    <w:rsid w:val="00930F61"/>
    <w:rsid w:val="00935BBE"/>
    <w:rsid w:val="00937A75"/>
    <w:rsid w:val="0094605A"/>
    <w:rsid w:val="00963B12"/>
    <w:rsid w:val="00964087"/>
    <w:rsid w:val="009726B8"/>
    <w:rsid w:val="0098357F"/>
    <w:rsid w:val="009845E3"/>
    <w:rsid w:val="00984AB5"/>
    <w:rsid w:val="00987C6C"/>
    <w:rsid w:val="00994FD7"/>
    <w:rsid w:val="009E19F8"/>
    <w:rsid w:val="009E280F"/>
    <w:rsid w:val="009E3BF9"/>
    <w:rsid w:val="009F1F4E"/>
    <w:rsid w:val="00A06E4F"/>
    <w:rsid w:val="00A11EBC"/>
    <w:rsid w:val="00A17A7B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146BC"/>
    <w:rsid w:val="00B25267"/>
    <w:rsid w:val="00B4797F"/>
    <w:rsid w:val="00B6130E"/>
    <w:rsid w:val="00B66524"/>
    <w:rsid w:val="00B8204F"/>
    <w:rsid w:val="00B86510"/>
    <w:rsid w:val="00B90C62"/>
    <w:rsid w:val="00BB5010"/>
    <w:rsid w:val="00BB77F9"/>
    <w:rsid w:val="00BD03B7"/>
    <w:rsid w:val="00BD4E92"/>
    <w:rsid w:val="00BD6A5A"/>
    <w:rsid w:val="00BD6CC8"/>
    <w:rsid w:val="00BE0343"/>
    <w:rsid w:val="00BF676B"/>
    <w:rsid w:val="00C0011D"/>
    <w:rsid w:val="00C00B41"/>
    <w:rsid w:val="00C17FC0"/>
    <w:rsid w:val="00C24750"/>
    <w:rsid w:val="00C25B58"/>
    <w:rsid w:val="00C42DED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513D"/>
    <w:rsid w:val="00D5703F"/>
    <w:rsid w:val="00D62644"/>
    <w:rsid w:val="00D71B72"/>
    <w:rsid w:val="00D74B0C"/>
    <w:rsid w:val="00D83312"/>
    <w:rsid w:val="00D86D37"/>
    <w:rsid w:val="00DA2340"/>
    <w:rsid w:val="00DA44D4"/>
    <w:rsid w:val="00DB6931"/>
    <w:rsid w:val="00DD602A"/>
    <w:rsid w:val="00DE0FB5"/>
    <w:rsid w:val="00DE4C26"/>
    <w:rsid w:val="00DE7C40"/>
    <w:rsid w:val="00E03B42"/>
    <w:rsid w:val="00E46F3D"/>
    <w:rsid w:val="00E6386F"/>
    <w:rsid w:val="00E65850"/>
    <w:rsid w:val="00E74DF3"/>
    <w:rsid w:val="00E77D49"/>
    <w:rsid w:val="00E96978"/>
    <w:rsid w:val="00EB101F"/>
    <w:rsid w:val="00ED1640"/>
    <w:rsid w:val="00EE1C77"/>
    <w:rsid w:val="00EE5A70"/>
    <w:rsid w:val="00EE6CE0"/>
    <w:rsid w:val="00F05529"/>
    <w:rsid w:val="00F20A36"/>
    <w:rsid w:val="00F46328"/>
    <w:rsid w:val="00F644CF"/>
    <w:rsid w:val="00F74264"/>
    <w:rsid w:val="00F819C3"/>
    <w:rsid w:val="00FB022A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9E78-A88F-4B9C-8925-639867A0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2025-06-26T12:41:00Z</dcterms:created>
  <dcterms:modified xsi:type="dcterms:W3CDTF">2025-06-26T12:41:00Z</dcterms:modified>
</cp:coreProperties>
</file>