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:rsidR="00C263D3" w:rsidRPr="00A874FB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r w:rsidRPr="00A874FB">
        <w:rPr>
          <w:rFonts w:ascii="Tahoma" w:hAnsi="Tahoma" w:cs="Tahoma"/>
          <w:caps/>
          <w:sz w:val="22"/>
          <w:szCs w:val="22"/>
        </w:rPr>
        <w:t xml:space="preserve">Дополнительные условия проведения торгов </w:t>
      </w:r>
      <w:r w:rsidR="003F4752" w:rsidRPr="00A874FB">
        <w:rPr>
          <w:rFonts w:ascii="Tahoma" w:hAnsi="Tahoma" w:cs="Tahoma"/>
          <w:caps/>
          <w:sz w:val="22"/>
          <w:szCs w:val="22"/>
        </w:rPr>
        <w:t>НА РЫНКЕ</w:t>
      </w:r>
      <w:r w:rsidRPr="00A874FB">
        <w:rPr>
          <w:rFonts w:ascii="Tahoma" w:hAnsi="Tahoma" w:cs="Tahoma"/>
          <w:caps/>
          <w:sz w:val="22"/>
          <w:szCs w:val="22"/>
        </w:rPr>
        <w:t xml:space="preserve"> </w:t>
      </w:r>
      <w:r w:rsidR="00EA6831" w:rsidRPr="00A874FB">
        <w:rPr>
          <w:rFonts w:ascii="Tahoma" w:hAnsi="Tahoma" w:cs="Tahoma"/>
          <w:caps/>
          <w:sz w:val="22"/>
          <w:szCs w:val="22"/>
        </w:rPr>
        <w:t>ОБЛИГАЦИЙ</w:t>
      </w:r>
      <w:r w:rsidRPr="00A874FB">
        <w:rPr>
          <w:rFonts w:ascii="Tahoma" w:hAnsi="Tahoma" w:cs="Tahoma"/>
          <w:caps/>
          <w:sz w:val="22"/>
          <w:szCs w:val="22"/>
        </w:rPr>
        <w:t xml:space="preserve"> ПАО Московская Биржа</w:t>
      </w: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C263D3" w:rsidRPr="00A874FB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:rsidR="00FD0538" w:rsidRPr="00A874FB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:rsidR="008F5745" w:rsidRPr="00A874FB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</w:t>
      </w:r>
    </w:p>
    <w:p w:rsidR="008F5745" w:rsidRPr="00A874FB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В соответствии с Частью I. Общая часть (далее – Часть 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14 октября 2019 года (Протокол № 11), Частью II. Секция фондового рынка (далее – Часть 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22 октября 2018 года (Протокол № 10), Частью III. Секция рынка РЕПО (далее – Часть III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ПАО Московская Биржа 31 июля 2019 года (Протокол № 7), </w:t>
      </w:r>
      <w:r w:rsidR="002F75D0">
        <w:rPr>
          <w:rFonts w:ascii="Tahoma" w:hAnsi="Tahoma" w:cs="Tahoma"/>
          <w:sz w:val="24"/>
          <w:szCs w:val="24"/>
        </w:rPr>
        <w:t>(</w:t>
      </w:r>
      <w:r w:rsidRPr="00A874FB">
        <w:rPr>
          <w:rFonts w:ascii="Tahoma" w:hAnsi="Tahoma" w:cs="Tahoma"/>
          <w:sz w:val="24"/>
          <w:szCs w:val="24"/>
        </w:rPr>
        <w:t xml:space="preserve">далее – Правила торгов) с даты вступления в силу Части I и </w:t>
      </w:r>
      <w:r w:rsidRPr="00A874FB">
        <w:rPr>
          <w:rFonts w:ascii="Tahoma" w:hAnsi="Tahoma" w:cs="Tahoma"/>
          <w:sz w:val="24"/>
          <w:szCs w:val="24"/>
          <w:lang w:val="en-US"/>
        </w:rPr>
        <w:t>IV</w:t>
      </w:r>
      <w:r w:rsidRPr="00A874FB">
        <w:rPr>
          <w:rFonts w:ascii="Tahoma" w:hAnsi="Tahoma" w:cs="Tahoma"/>
          <w:sz w:val="24"/>
          <w:szCs w:val="24"/>
        </w:rPr>
        <w:t xml:space="preserve"> Правил торгов устанавливаются дополнительные условия проведения торгов на рынке облигаций ПАО Московская Биржа (далее – Условия).</w:t>
      </w:r>
    </w:p>
    <w:p w:rsidR="00C263D3" w:rsidRPr="00A25ADB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25ADB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A25ADB">
        <w:rPr>
          <w:rFonts w:ascii="Tahoma" w:hAnsi="Tahoma" w:cs="Tahoma"/>
          <w:sz w:val="24"/>
          <w:szCs w:val="24"/>
        </w:rPr>
        <w:t>п. 1.1.1 (1.1.1.19</w:t>
      </w:r>
      <w:r w:rsidR="00985E93" w:rsidRPr="00A25ADB">
        <w:rPr>
          <w:rFonts w:ascii="Tahoma" w:hAnsi="Tahoma" w:cs="Tahoma"/>
          <w:sz w:val="24"/>
          <w:szCs w:val="24"/>
        </w:rPr>
        <w:t>, 1.1.1.53</w:t>
      </w:r>
      <w:r w:rsidR="00A205B7" w:rsidRPr="00A25ADB">
        <w:rPr>
          <w:rFonts w:ascii="Tahoma" w:hAnsi="Tahoma" w:cs="Tahoma"/>
          <w:sz w:val="24"/>
          <w:szCs w:val="24"/>
        </w:rPr>
        <w:t xml:space="preserve">), п. 1.2.7 – 1.2.9, п. 1.2.21, п. 1.3.5, п. 1.8.2, п. 1.8.3, п. 1.9.3, п. 1.10.2 и п. 1.7.6 Части I Правил торгов, п. 1.2.6, п. 1.4.2, п. 1.4.3 (1.4.3.3), п. 1.4.4 (1.4.4.1), п. 1.6.3, п. 1.11.1 – 1.11.4, </w:t>
      </w:r>
      <w:r w:rsidR="00A25ADB" w:rsidRPr="00A25ADB">
        <w:rPr>
          <w:rFonts w:ascii="Tahoma" w:hAnsi="Tahoma" w:cs="Tahoma"/>
          <w:sz w:val="24"/>
          <w:szCs w:val="24"/>
        </w:rPr>
        <w:t>п. 1.11.6</w:t>
      </w:r>
      <w:r w:rsidR="00A205B7" w:rsidRPr="00A25ADB">
        <w:rPr>
          <w:rFonts w:ascii="Tahoma" w:hAnsi="Tahoma" w:cs="Tahoma"/>
          <w:sz w:val="24"/>
          <w:szCs w:val="24"/>
        </w:rPr>
        <w:t xml:space="preserve">, п.1.17.2, п. 1.17.3, п. 1.17.7, 1.19.1 Части II Правил торгов, п. 1.5.2 – 1.5.4, </w:t>
      </w:r>
      <w:proofErr w:type="spellStart"/>
      <w:r w:rsidR="00A25ADB" w:rsidRPr="00A25ADB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A25ADB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A25ADB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A25ADB">
        <w:rPr>
          <w:rFonts w:ascii="Tahoma" w:hAnsi="Tahoma" w:cs="Tahoma"/>
          <w:sz w:val="24"/>
          <w:szCs w:val="24"/>
        </w:rPr>
        <w:t>. 1.6.3.2 (1.6.3.2.5)</w:t>
      </w:r>
      <w:r w:rsidR="00A205B7" w:rsidRPr="00A25ADB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A25ADB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A25ADB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:rsidR="00572BF7" w:rsidRPr="00A874FB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 w:rsidDel="007A0D87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>«</w:t>
      </w:r>
      <w:proofErr w:type="spellStart"/>
      <w:r w:rsidR="008A78D6" w:rsidRPr="00A874FB">
        <w:rPr>
          <w:rFonts w:ascii="Tahoma" w:hAnsi="Tahoma" w:cs="Tahoma"/>
        </w:rPr>
        <w:t>Междилерское</w:t>
      </w:r>
      <w:proofErr w:type="spellEnd"/>
      <w:r w:rsidR="008A78D6" w:rsidRPr="00A874FB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 xml:space="preserve">РЕПО», 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 w:rsidDel="00BD0BEB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>«РЕПО с Банком России: Аукцион РЕПО»,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 w:rsidDel="00167907">
        <w:rPr>
          <w:rFonts w:ascii="Tahoma" w:hAnsi="Tahoma" w:cs="Tahoma"/>
        </w:rPr>
        <w:t xml:space="preserve"> </w:t>
      </w:r>
      <w:r w:rsidRPr="00A874FB">
        <w:rPr>
          <w:rFonts w:ascii="Tahoma" w:hAnsi="Tahoma" w:cs="Tahoma"/>
        </w:rPr>
        <w:t xml:space="preserve">«РЕПО с Банком России: </w:t>
      </w:r>
      <w:proofErr w:type="spellStart"/>
      <w:proofErr w:type="gramStart"/>
      <w:r w:rsidRPr="00A874FB">
        <w:rPr>
          <w:rFonts w:ascii="Tahoma" w:hAnsi="Tahoma" w:cs="Tahoma"/>
        </w:rPr>
        <w:t>фикс.ставка</w:t>
      </w:r>
      <w:proofErr w:type="spellEnd"/>
      <w:proofErr w:type="gramEnd"/>
      <w:r w:rsidRPr="00A874FB">
        <w:rPr>
          <w:rFonts w:ascii="Tahoma" w:hAnsi="Tahoma" w:cs="Tahoma"/>
        </w:rPr>
        <w:t>»,</w:t>
      </w:r>
    </w:p>
    <w:p w:rsidR="00572BF7" w:rsidRPr="00A874FB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A874FB">
        <w:rPr>
          <w:rFonts w:ascii="Tahoma" w:hAnsi="Tahoma" w:cs="Tahoma"/>
        </w:rPr>
        <w:t xml:space="preserve"> «</w:t>
      </w:r>
      <w:proofErr w:type="spellStart"/>
      <w:r w:rsidRPr="00A874FB">
        <w:rPr>
          <w:rFonts w:ascii="Tahoma" w:hAnsi="Tahoma" w:cs="Tahoma"/>
        </w:rPr>
        <w:t>Квал.Инвесторы</w:t>
      </w:r>
      <w:proofErr w:type="spellEnd"/>
      <w:r w:rsidRPr="00A874FB">
        <w:rPr>
          <w:rFonts w:ascii="Tahoma" w:hAnsi="Tahoma" w:cs="Tahoma"/>
        </w:rPr>
        <w:t xml:space="preserve"> </w:t>
      </w:r>
      <w:r w:rsidR="009D4890" w:rsidRPr="00A874FB">
        <w:rPr>
          <w:rFonts w:ascii="Tahoma" w:hAnsi="Tahoma" w:cs="Tahoma"/>
        </w:rPr>
        <w:t>–</w:t>
      </w:r>
      <w:r w:rsidRPr="00A874FB">
        <w:rPr>
          <w:rFonts w:ascii="Tahoma" w:hAnsi="Tahoma" w:cs="Tahoma"/>
        </w:rPr>
        <w:t xml:space="preserve"> РЕПО»,</w:t>
      </w:r>
    </w:p>
    <w:p w:rsidR="00572BF7" w:rsidRPr="00A874FB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:rsidR="00572BF7" w:rsidRPr="00A874FB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 соответственно в дату получения Биржей  от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A874FB" w:rsidDel="00BC10AE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:rsidR="00572BF7" w:rsidRPr="00A874FB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:rsidR="00572BF7" w:rsidRPr="00A874FB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:rsidR="00572BF7" w:rsidRPr="00A874FB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</w:t>
      </w:r>
      <w:r w:rsidR="00572BF7" w:rsidRPr="00A874FB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A874FB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A874FB">
        <w:rPr>
          <w:rFonts w:ascii="Tahoma" w:hAnsi="Tahoma" w:cs="Tahoma"/>
          <w:sz w:val="24"/>
          <w:szCs w:val="24"/>
        </w:rPr>
        <w:t>, заключенных с облигациями в Режимах торгов «</w:t>
      </w:r>
      <w:proofErr w:type="spellStart"/>
      <w:r w:rsidR="008A78D6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A874FB">
        <w:rPr>
          <w:rFonts w:ascii="Tahoma" w:hAnsi="Tahoma" w:cs="Tahoma"/>
          <w:sz w:val="24"/>
          <w:szCs w:val="24"/>
        </w:rPr>
        <w:t xml:space="preserve"> </w:t>
      </w:r>
      <w:r w:rsidR="00572BF7" w:rsidRPr="00A874FB">
        <w:rPr>
          <w:rFonts w:ascii="Tahoma" w:hAnsi="Tahoma" w:cs="Tahoma"/>
          <w:sz w:val="24"/>
          <w:szCs w:val="24"/>
        </w:rPr>
        <w:t>РЕПО», «</w:t>
      </w:r>
      <w:proofErr w:type="spellStart"/>
      <w:r w:rsidR="00572BF7"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572BF7" w:rsidRPr="00A874FB">
        <w:rPr>
          <w:rFonts w:ascii="Tahoma" w:hAnsi="Tahoma" w:cs="Tahoma"/>
          <w:sz w:val="24"/>
          <w:szCs w:val="24"/>
        </w:rPr>
        <w:t xml:space="preserve"> </w:t>
      </w:r>
      <w:r w:rsidR="009D4890" w:rsidRPr="00A874FB">
        <w:rPr>
          <w:rFonts w:ascii="Tahoma" w:hAnsi="Tahoma" w:cs="Tahoma"/>
          <w:sz w:val="24"/>
          <w:szCs w:val="24"/>
        </w:rPr>
        <w:t>–</w:t>
      </w:r>
      <w:r w:rsidR="00572BF7" w:rsidRPr="00A874FB">
        <w:rPr>
          <w:rFonts w:ascii="Tahoma" w:hAnsi="Tahoma" w:cs="Tahoma"/>
          <w:sz w:val="24"/>
          <w:szCs w:val="24"/>
        </w:rPr>
        <w:t xml:space="preserve"> 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A874FB">
        <w:rPr>
          <w:rFonts w:ascii="Tahoma" w:hAnsi="Tahoma" w:cs="Tahoma"/>
          <w:sz w:val="24"/>
          <w:szCs w:val="24"/>
        </w:rPr>
        <w:t>иностранной валюты</w:t>
      </w:r>
      <w:r w:rsidR="00572BF7" w:rsidRPr="00A874FB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A874FB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A874FB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Заявки на совершение сделок с облигациями, не удовлетворенные в ходе торгового периода Режима основных торгов, не принимают участие в </w:t>
      </w:r>
      <w:proofErr w:type="spellStart"/>
      <w:r w:rsidRPr="00A874FB">
        <w:rPr>
          <w:rFonts w:ascii="Tahoma" w:hAnsi="Tahoma" w:cs="Tahoma"/>
          <w:sz w:val="24"/>
          <w:szCs w:val="24"/>
        </w:rPr>
        <w:t>послеторговом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периоде Режима основных торгов. Лимитные заявки с указанием дополнительного реквизита «видимое количество ценных бумаг, выраженное в лотах» (далее – айсберг-заявка), не удовлетворенные в ходе торгового периода Режима основных торгов, не принимают участия в аукционе закрытия Режима основных торгов (за исключением заявок, в которых «скрытое количество ценных бумаг» равно нулю на момент начала аукциона закрытия).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следующих ценных бумаг</w:t>
      </w:r>
    </w:p>
    <w:tbl>
      <w:tblPr>
        <w:tblW w:w="7797" w:type="dxa"/>
        <w:tblInd w:w="72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  <w:hideMark/>
          </w:tcPr>
          <w:p w:rsidR="00AA53BC" w:rsidRPr="00A874FB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shd w:val="clear" w:color="auto" w:fill="auto"/>
            <w:noWrap/>
            <w:hideMark/>
          </w:tcPr>
          <w:p w:rsidR="00AA53BC" w:rsidRPr="00A874FB" w:rsidRDefault="00AA53BC" w:rsidP="0076685F">
            <w:pPr>
              <w:jc w:val="center"/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ap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RU000A0JXXD3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RU000A0JXXE1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DD534A">
        <w:trPr>
          <w:trHeight w:val="300"/>
        </w:trPr>
        <w:tc>
          <w:tcPr>
            <w:tcW w:w="3859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shd w:val="clear" w:color="auto" w:fill="auto"/>
            <w:noWrap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</w:tbl>
    <w:p w:rsidR="00AA53BC" w:rsidRPr="00A874FB" w:rsidRDefault="00AA53BC" w:rsidP="00721ABC">
      <w:pPr>
        <w:pStyle w:val="Iniiaiieoaeno"/>
        <w:spacing w:before="120"/>
        <w:ind w:right="4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при проведении торгов в Режиме торгов  «РЕПО с ЦК: Адресные заявки» с расчетами в рублях РФ установить, что допустимым кодом расчетов является  </w:t>
      </w:r>
      <w:proofErr w:type="spellStart"/>
      <w:r w:rsidRPr="00A874FB">
        <w:rPr>
          <w:rFonts w:ascii="Tahoma" w:hAnsi="Tahoma" w:cs="Tahoma"/>
          <w:szCs w:val="24"/>
        </w:rPr>
        <w:t>Ym</w:t>
      </w:r>
      <w:proofErr w:type="spellEnd"/>
      <w:r w:rsidRPr="00A874FB">
        <w:rPr>
          <w:rFonts w:ascii="Tahoma" w:hAnsi="Tahoma" w:cs="Tahoma"/>
          <w:szCs w:val="24"/>
        </w:rPr>
        <w:t>/</w:t>
      </w:r>
      <w:proofErr w:type="spellStart"/>
      <w:r w:rsidRPr="00A874FB">
        <w:rPr>
          <w:rFonts w:ascii="Tahoma" w:hAnsi="Tahoma" w:cs="Tahoma"/>
          <w:szCs w:val="24"/>
        </w:rPr>
        <w:t>Yn</w:t>
      </w:r>
      <w:proofErr w:type="spellEnd"/>
      <w:r w:rsidRPr="00A874FB">
        <w:rPr>
          <w:rFonts w:ascii="Tahoma" w:hAnsi="Tahoma" w:cs="Tahoma"/>
          <w:szCs w:val="24"/>
        </w:rPr>
        <w:t xml:space="preserve"> (m = 0;1), означающий, что Датой исполнения первой части сделки РЕПО является дата, определяемая как </w:t>
      </w:r>
      <w:proofErr w:type="spellStart"/>
      <w:r w:rsidRPr="00A874FB">
        <w:rPr>
          <w:rFonts w:ascii="Tahoma" w:hAnsi="Tahoma" w:cs="Tahoma"/>
          <w:szCs w:val="24"/>
        </w:rPr>
        <w:t>Т+m</w:t>
      </w:r>
      <w:proofErr w:type="spellEnd"/>
      <w:r w:rsidRPr="00A874FB">
        <w:rPr>
          <w:rFonts w:ascii="Tahoma" w:hAnsi="Tahoma" w:cs="Tahoma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A874FB">
        <w:rPr>
          <w:rFonts w:ascii="Tahoma" w:hAnsi="Tahoma" w:cs="Tahoma"/>
          <w:szCs w:val="24"/>
        </w:rPr>
        <w:t>Т+n</w:t>
      </w:r>
      <w:proofErr w:type="spellEnd"/>
      <w:r w:rsidRPr="00A874FB">
        <w:rPr>
          <w:rFonts w:ascii="Tahoma" w:hAnsi="Tahoma" w:cs="Tahoma"/>
          <w:szCs w:val="24"/>
        </w:rPr>
        <w:t xml:space="preserve"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РЕПО. 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Список </w:t>
      </w:r>
      <w:r w:rsidR="00963A5C" w:rsidRPr="00A874FB">
        <w:rPr>
          <w:rFonts w:ascii="Tahoma" w:hAnsi="Tahoma" w:cs="Tahoma"/>
          <w:sz w:val="24"/>
          <w:szCs w:val="24"/>
        </w:rPr>
        <w:t>ценные бумаги</w:t>
      </w:r>
      <w:r w:rsidRPr="00A874FB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>
        <w:rPr>
          <w:rFonts w:ascii="Tahoma" w:hAnsi="Tahoma" w:cs="Tahoma"/>
          <w:sz w:val="24"/>
          <w:szCs w:val="24"/>
        </w:rPr>
        <w:t>облигаций</w:t>
      </w:r>
      <w:r w:rsidRPr="00A874FB">
        <w:rPr>
          <w:rFonts w:ascii="Tahoma" w:hAnsi="Tahoma" w:cs="Tahoma"/>
          <w:sz w:val="24"/>
          <w:szCs w:val="24"/>
        </w:rPr>
        <w:t>, указанные в Таблице 3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A874FB">
        <w:rPr>
          <w:rFonts w:ascii="Tahoma" w:hAnsi="Tahoma" w:cs="Tahoma"/>
          <w:sz w:val="24"/>
          <w:szCs w:val="24"/>
        </w:rPr>
        <w:t xml:space="preserve">Условиям. </w:t>
      </w:r>
    </w:p>
    <w:p w:rsidR="00885EEE" w:rsidRPr="00475460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</w:t>
      </w:r>
      <w:r w:rsidR="00AA53BC" w:rsidRPr="00A874FB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A874FB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«РЕПО с ЦК – Адресные заявки», </w:t>
      </w:r>
      <w:r w:rsidR="00ED7F9E" w:rsidRPr="00A874FB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="006113DA" w:rsidRPr="00A874FB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A874FB">
        <w:rPr>
          <w:rFonts w:ascii="Tahoma" w:hAnsi="Tahoma" w:cs="Tahoma"/>
          <w:sz w:val="24"/>
          <w:szCs w:val="24"/>
        </w:rPr>
        <w:t>«</w:t>
      </w:r>
      <w:r w:rsidR="006113DA" w:rsidRPr="00A874FB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A874FB">
        <w:rPr>
          <w:rFonts w:ascii="Tahoma" w:hAnsi="Tahoma" w:cs="Tahoma"/>
          <w:sz w:val="24"/>
          <w:szCs w:val="24"/>
        </w:rPr>
        <w:t>,</w:t>
      </w:r>
      <w:r w:rsidR="006113DA" w:rsidRPr="00A874FB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3B4697" w:rsidRPr="00475460">
        <w:rPr>
          <w:rFonts w:ascii="Tahoma" w:hAnsi="Tahoma" w:cs="Tahoma"/>
          <w:sz w:val="24"/>
          <w:szCs w:val="24"/>
        </w:rPr>
        <w:t>и</w:t>
      </w:r>
      <w:r w:rsidR="003B4697" w:rsidRPr="00577B14">
        <w:rPr>
          <w:rFonts w:ascii="Tahoma" w:hAnsi="Tahoma" w:cs="Tahoma"/>
          <w:sz w:val="24"/>
          <w:szCs w:val="24"/>
        </w:rPr>
        <w:t xml:space="preserve"> </w:t>
      </w:r>
      <w:r w:rsidR="003B4697" w:rsidRPr="00475460">
        <w:rPr>
          <w:rFonts w:ascii="Tahoma" w:hAnsi="Tahoma" w:cs="Tahoma"/>
          <w:sz w:val="24"/>
          <w:szCs w:val="24"/>
        </w:rPr>
        <w:t xml:space="preserve">Режиме переговорных сделок (РПС) </w:t>
      </w:r>
      <w:r w:rsidR="006113DA" w:rsidRPr="00577B14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577B14">
        <w:rPr>
          <w:rFonts w:ascii="Tahoma" w:hAnsi="Tahoma" w:cs="Tahoma"/>
          <w:sz w:val="24"/>
          <w:szCs w:val="24"/>
        </w:rPr>
        <w:t>:</w:t>
      </w:r>
    </w:p>
    <w:p w:rsidR="00AA53BC" w:rsidRPr="0095196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75460">
        <w:rPr>
          <w:rFonts w:ascii="Tahoma" w:hAnsi="Tahoma" w:cs="Tahoma"/>
          <w:sz w:val="24"/>
          <w:szCs w:val="24"/>
        </w:rPr>
        <w:t>облигаций</w:t>
      </w:r>
      <w:r w:rsidRPr="00475460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75460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75460">
        <w:rPr>
          <w:rFonts w:ascii="Tahoma" w:hAnsi="Tahoma" w:cs="Tahoma"/>
          <w:sz w:val="24"/>
          <w:szCs w:val="24"/>
        </w:rPr>
        <w:t>г</w:t>
      </w:r>
      <w:r w:rsidRPr="00475460">
        <w:rPr>
          <w:rFonts w:ascii="Tahoma" w:hAnsi="Tahoma" w:cs="Tahoma"/>
          <w:sz w:val="24"/>
          <w:szCs w:val="24"/>
        </w:rPr>
        <w:t xml:space="preserve">ов «Режим </w:t>
      </w:r>
      <w:r w:rsidRPr="00951967">
        <w:rPr>
          <w:rFonts w:ascii="Tahoma" w:hAnsi="Tahoma" w:cs="Tahoma"/>
          <w:sz w:val="24"/>
          <w:szCs w:val="24"/>
        </w:rPr>
        <w:t xml:space="preserve">основных торгов Т+», «РЕПО с ЦК – Адресные заявки», </w:t>
      </w:r>
      <w:r w:rsidR="00ED7F9E" w:rsidRPr="00951967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951967">
        <w:rPr>
          <w:rFonts w:ascii="Tahoma" w:hAnsi="Tahoma" w:cs="Tahoma"/>
          <w:sz w:val="24"/>
          <w:szCs w:val="24"/>
        </w:rPr>
        <w:t xml:space="preserve">«РПС с ЦК» </w:t>
      </w:r>
      <w:r w:rsidR="00E95B0F" w:rsidRPr="00951967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951967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FB4993" w:rsidRPr="00951967">
        <w:rPr>
          <w:rFonts w:ascii="Tahoma" w:hAnsi="Tahoma" w:cs="Tahoma"/>
          <w:sz w:val="24"/>
          <w:szCs w:val="24"/>
        </w:rPr>
        <w:t>О-</w:t>
      </w:r>
      <w:r w:rsidRPr="00951967">
        <w:rPr>
          <w:rFonts w:ascii="Tahoma" w:hAnsi="Tahoma" w:cs="Tahoma"/>
          <w:sz w:val="24"/>
          <w:szCs w:val="24"/>
        </w:rPr>
        <w:t xml:space="preserve">1 Приложения к настоящим Условиям. </w:t>
      </w:r>
    </w:p>
    <w:p w:rsidR="00AA53BC" w:rsidRPr="00951967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Для облигаций объем сделки и НКД рассчитываются на дату исполнения сделки, исходя из номинальной стоимости облигации на дату исполнения сделки, известной ПАО Московская </w:t>
      </w:r>
      <w:r w:rsidR="00A97366" w:rsidRPr="00951967">
        <w:rPr>
          <w:rFonts w:ascii="Tahoma" w:hAnsi="Tahoma" w:cs="Tahoma"/>
          <w:sz w:val="24"/>
          <w:szCs w:val="24"/>
        </w:rPr>
        <w:t xml:space="preserve">Биржа </w:t>
      </w:r>
      <w:r w:rsidRPr="00951967">
        <w:rPr>
          <w:rFonts w:ascii="Tahoma" w:hAnsi="Tahoma" w:cs="Tahoma"/>
          <w:sz w:val="24"/>
          <w:szCs w:val="24"/>
        </w:rPr>
        <w:t xml:space="preserve">на начало торгового дня даты заключения сделки. 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</w:t>
      </w:r>
      <w:r w:rsidR="00FB4993" w:rsidRPr="00951967">
        <w:rPr>
          <w:rFonts w:ascii="Tahoma" w:hAnsi="Tahoma" w:cs="Tahoma"/>
          <w:sz w:val="24"/>
          <w:szCs w:val="24"/>
        </w:rPr>
        <w:t>облигациями</w:t>
      </w:r>
      <w:r w:rsidRPr="00951967">
        <w:rPr>
          <w:rFonts w:ascii="Tahoma" w:hAnsi="Tahoma" w:cs="Tahoma"/>
          <w:sz w:val="24"/>
          <w:szCs w:val="24"/>
        </w:rPr>
        <w:t xml:space="preserve"> с расчетами в рублях и иностранной валюте указаны в Таблице 1</w:t>
      </w:r>
      <w:r w:rsidR="00FB4993" w:rsidRPr="00951967">
        <w:rPr>
          <w:rFonts w:ascii="Tahoma" w:hAnsi="Tahoma" w:cs="Tahoma"/>
          <w:sz w:val="24"/>
          <w:szCs w:val="24"/>
        </w:rPr>
        <w:t>-О</w:t>
      </w:r>
      <w:r w:rsidR="00951967" w:rsidRPr="00951967">
        <w:rPr>
          <w:rFonts w:ascii="Tahoma" w:hAnsi="Tahoma" w:cs="Tahoma"/>
          <w:sz w:val="24"/>
          <w:szCs w:val="24"/>
        </w:rPr>
        <w:t xml:space="preserve"> </w:t>
      </w:r>
      <w:r w:rsidRPr="00951967">
        <w:rPr>
          <w:rFonts w:ascii="Tahoma" w:hAnsi="Tahoma" w:cs="Tahoma"/>
          <w:sz w:val="24"/>
          <w:szCs w:val="24"/>
        </w:rPr>
        <w:t>Приложения</w:t>
      </w:r>
      <w:r w:rsidRPr="00A874FB">
        <w:rPr>
          <w:rFonts w:ascii="Tahoma" w:hAnsi="Tahoma" w:cs="Tahoma"/>
          <w:sz w:val="24"/>
          <w:szCs w:val="24"/>
        </w:rPr>
        <w:t xml:space="preserve"> к настоящим Условиям. Для сделок в Режиме торгов «РЕПО с ЦК – Адресные заявки» с расчетами в юанях допустимым кодом расчетов является только Y0/Y1.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«Режим основных торгов Т+»: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A874FB">
        <w:rPr>
          <w:rFonts w:ascii="Tahoma" w:hAnsi="Tahoma" w:cs="Tahoma"/>
          <w:szCs w:val="24"/>
        </w:rPr>
        <w:t xml:space="preserve">проводятся </w:t>
      </w:r>
      <w:r w:rsidRPr="00A874FB">
        <w:rPr>
          <w:rFonts w:ascii="Tahoma" w:hAnsi="Tahoma" w:cs="Tahoma"/>
          <w:szCs w:val="24"/>
        </w:rPr>
        <w:t>в форме аукциона закрытия.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A874FB">
        <w:rPr>
          <w:rFonts w:ascii="Tahoma" w:hAnsi="Tahoma" w:cs="Tahoma"/>
          <w:szCs w:val="24"/>
        </w:rPr>
        <w:t xml:space="preserve">проводятся </w:t>
      </w:r>
      <w:r w:rsidRPr="00A874FB">
        <w:rPr>
          <w:rFonts w:ascii="Tahoma" w:hAnsi="Tahoma" w:cs="Tahoma"/>
          <w:szCs w:val="24"/>
        </w:rPr>
        <w:t>в форме аукциона закрытия.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A874FB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A874FB">
        <w:rPr>
          <w:rFonts w:ascii="Tahoma" w:hAnsi="Tahoma" w:cs="Tahoma"/>
          <w:sz w:val="24"/>
          <w:szCs w:val="24"/>
        </w:rPr>
        <w:t xml:space="preserve"> в Режимах торгов «</w:t>
      </w:r>
      <w:proofErr w:type="spellStart"/>
      <w:r w:rsidR="00740FA2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</w:t>
      </w:r>
      <w:r w:rsidR="00740FA2" w:rsidRPr="00A874FB">
        <w:rPr>
          <w:rFonts w:ascii="Tahoma" w:hAnsi="Tahoma" w:cs="Tahoma"/>
          <w:sz w:val="24"/>
          <w:szCs w:val="24"/>
        </w:rPr>
        <w:t xml:space="preserve">» и </w:t>
      </w:r>
      <w:r w:rsidRPr="00A874FB">
        <w:rPr>
          <w:rFonts w:ascii="Tahoma" w:hAnsi="Tahoma" w:cs="Tahoma"/>
          <w:sz w:val="24"/>
          <w:szCs w:val="24"/>
        </w:rPr>
        <w:t>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– РЕПО» 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A874FB">
        <w:rPr>
          <w:rFonts w:ascii="Tahoma" w:hAnsi="Tahoma" w:cs="Tahoma"/>
          <w:sz w:val="24"/>
          <w:szCs w:val="24"/>
        </w:rPr>
        <w:t>Rb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A874FB">
        <w:rPr>
          <w:rFonts w:ascii="Tahoma" w:hAnsi="Tahoma" w:cs="Tahoma"/>
          <w:sz w:val="24"/>
          <w:szCs w:val="24"/>
        </w:rPr>
        <w:t>Sn</w:t>
      </w:r>
      <w:proofErr w:type="spellEnd"/>
      <w:r w:rsidRPr="00A874FB">
        <w:rPr>
          <w:rFonts w:ascii="Tahoma" w:hAnsi="Tahoma" w:cs="Tahoma"/>
          <w:sz w:val="24"/>
          <w:szCs w:val="24"/>
        </w:rPr>
        <w:t>, Z0 (Таблица 1</w:t>
      </w:r>
      <w:r w:rsidR="00FB4993">
        <w:rPr>
          <w:rFonts w:ascii="Tahoma" w:hAnsi="Tahoma" w:cs="Tahoma"/>
          <w:sz w:val="24"/>
          <w:szCs w:val="24"/>
        </w:rPr>
        <w:t>-</w:t>
      </w:r>
      <w:r w:rsidR="00951967">
        <w:rPr>
          <w:rFonts w:ascii="Tahoma" w:hAnsi="Tahoma" w:cs="Tahoma"/>
          <w:sz w:val="24"/>
          <w:szCs w:val="24"/>
        </w:rPr>
        <w:t xml:space="preserve"> </w:t>
      </w:r>
      <w:r w:rsidR="00FB4993">
        <w:rPr>
          <w:rFonts w:ascii="Tahoma" w:hAnsi="Tahoma" w:cs="Tahoma"/>
          <w:sz w:val="24"/>
          <w:szCs w:val="24"/>
        </w:rPr>
        <w:t>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:rsidR="00AA53BC" w:rsidRPr="00951967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951967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951967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951967">
        <w:rPr>
          <w:rFonts w:ascii="Tahoma" w:hAnsi="Tahoma" w:cs="Tahoma"/>
          <w:sz w:val="24"/>
          <w:szCs w:val="24"/>
        </w:rPr>
        <w:t xml:space="preserve"> в Режимах торгов «</w:t>
      </w:r>
      <w:proofErr w:type="spellStart"/>
      <w:r w:rsidR="005E0010" w:rsidRPr="0095196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951967">
        <w:rPr>
          <w:rFonts w:ascii="Tahoma" w:hAnsi="Tahoma" w:cs="Tahoma"/>
          <w:sz w:val="24"/>
          <w:szCs w:val="24"/>
        </w:rPr>
        <w:t xml:space="preserve"> </w:t>
      </w:r>
      <w:r w:rsidR="00AA53BC" w:rsidRPr="00951967">
        <w:rPr>
          <w:rFonts w:ascii="Tahoma" w:hAnsi="Tahoma" w:cs="Tahoma"/>
          <w:sz w:val="24"/>
          <w:szCs w:val="24"/>
        </w:rPr>
        <w:t>РЕПО»</w:t>
      </w:r>
      <w:r w:rsidR="00EE65FF" w:rsidRPr="00951967">
        <w:rPr>
          <w:rFonts w:ascii="Tahoma" w:hAnsi="Tahoma" w:cs="Tahoma"/>
          <w:sz w:val="24"/>
          <w:szCs w:val="24"/>
        </w:rPr>
        <w:t>,</w:t>
      </w:r>
      <w:r w:rsidR="005E0010" w:rsidRPr="00951967">
        <w:rPr>
          <w:rFonts w:ascii="Tahoma" w:hAnsi="Tahoma" w:cs="Tahoma"/>
          <w:sz w:val="24"/>
          <w:szCs w:val="24"/>
        </w:rPr>
        <w:t xml:space="preserve"> и</w:t>
      </w:r>
      <w:r w:rsidR="00AA53BC" w:rsidRPr="00951967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AA53BC" w:rsidRPr="00951967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="00AA53BC" w:rsidRPr="00951967">
        <w:rPr>
          <w:rFonts w:ascii="Tahoma" w:hAnsi="Tahoma" w:cs="Tahoma"/>
          <w:sz w:val="24"/>
          <w:szCs w:val="24"/>
        </w:rPr>
        <w:t xml:space="preserve"> - РЕПО»</w:t>
      </w:r>
      <w:r w:rsidRPr="00951967">
        <w:rPr>
          <w:rFonts w:ascii="Tahoma" w:hAnsi="Tahoma" w:cs="Tahoma"/>
          <w:sz w:val="24"/>
          <w:szCs w:val="24"/>
        </w:rPr>
        <w:t xml:space="preserve"> (Таблица 2-О Приложения к настоящим Условиям)</w:t>
      </w:r>
      <w:r w:rsidR="00AA53BC" w:rsidRPr="00951967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951967">
        <w:rPr>
          <w:rFonts w:ascii="Tahoma" w:hAnsi="Tahoma" w:cs="Tahoma"/>
          <w:sz w:val="24"/>
          <w:szCs w:val="24"/>
        </w:rPr>
        <w:t>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облигациями в Режиме основных торгов Т+, Режиме переговорных сделок (РПС) и в Режимах торгов  «Облигации Д - РПС»,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РЕПО», «</w:t>
      </w:r>
      <w:proofErr w:type="spellStart"/>
      <w:r w:rsidR="005E0010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РЕПО», «РЕПО с ЦК</w:t>
      </w:r>
      <w:r w:rsidR="005E0010" w:rsidRPr="00A874FB">
        <w:rPr>
          <w:rFonts w:ascii="Tahoma" w:hAnsi="Tahoma" w:cs="Tahoma"/>
          <w:sz w:val="24"/>
          <w:szCs w:val="24"/>
        </w:rPr>
        <w:t xml:space="preserve"> - </w:t>
      </w:r>
      <w:r w:rsidRPr="00A874FB">
        <w:rPr>
          <w:rFonts w:ascii="Tahoma" w:hAnsi="Tahoma" w:cs="Tahoma"/>
          <w:sz w:val="24"/>
          <w:szCs w:val="24"/>
        </w:rPr>
        <w:t>Адресные заявки», «РЕПО с ЦК</w:t>
      </w:r>
      <w:r w:rsidR="005E0010" w:rsidRPr="00A874FB">
        <w:rPr>
          <w:rFonts w:ascii="Tahoma" w:hAnsi="Tahoma" w:cs="Tahoma"/>
          <w:sz w:val="24"/>
          <w:szCs w:val="24"/>
        </w:rPr>
        <w:t xml:space="preserve"> - </w:t>
      </w:r>
      <w:r w:rsidRPr="00A874FB">
        <w:rPr>
          <w:rFonts w:ascii="Tahoma" w:hAnsi="Tahoma" w:cs="Tahoma"/>
          <w:sz w:val="24"/>
          <w:szCs w:val="24"/>
        </w:rPr>
        <w:t xml:space="preserve">Безадресные заявки», «РЕПО с Банком России: Аукцион РЕПО», «РЕПО с Банком России: </w:t>
      </w:r>
      <w:proofErr w:type="spell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 или в период, находящийся за пределами последнего купонного периода с известной ставкой купона. 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A874FB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A874FB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A874FB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</w:tbl>
    <w:p w:rsidR="00AA53BC" w:rsidRPr="00A874FB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основных торгов  Т+, Режиме переговорных сделок (РПС) и в Режимах торгов  «Облигации Д </w:t>
      </w:r>
      <w:r w:rsidR="00E94CBE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РПС»,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</w:t>
      </w:r>
      <w:r w:rsidR="00E94CBE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РЕПО», «</w:t>
      </w:r>
      <w:proofErr w:type="spellStart"/>
      <w:r w:rsidR="00B556DA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РЕПО», «РЕПО с ЦК</w:t>
      </w:r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="00E94CBE" w:rsidRPr="00A874FB">
        <w:rPr>
          <w:rFonts w:ascii="Tahoma" w:hAnsi="Tahoma" w:cs="Tahoma"/>
          <w:sz w:val="24"/>
          <w:szCs w:val="24"/>
        </w:rPr>
        <w:t>–</w:t>
      </w:r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="00BB1DA1" w:rsidRPr="00A874FB">
        <w:rPr>
          <w:rFonts w:ascii="Tahoma" w:hAnsi="Tahoma" w:cs="Tahoma"/>
          <w:sz w:val="24"/>
          <w:szCs w:val="24"/>
        </w:rPr>
        <w:t xml:space="preserve">– </w:t>
      </w:r>
      <w:r w:rsidRPr="00A874FB">
        <w:rPr>
          <w:rFonts w:ascii="Tahoma" w:hAnsi="Tahoma" w:cs="Tahoma"/>
          <w:sz w:val="24"/>
          <w:szCs w:val="24"/>
        </w:rPr>
        <w:t xml:space="preserve">Безадресные заявки», «РЕПО с Банком России: Аукцион РЕПО», «РЕПО с Банком России: </w:t>
      </w:r>
      <w:proofErr w:type="spell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»,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Режимах торгов Режиме переговорных сделок (РПС) и в Режимах торгов «Облигации Д </w:t>
      </w:r>
      <w:r w:rsidR="00BB1DA1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РПС»,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</w:t>
      </w:r>
      <w:r w:rsidR="00BB1DA1" w:rsidRPr="00A874FB">
        <w:rPr>
          <w:rFonts w:ascii="Tahoma" w:hAnsi="Tahoma" w:cs="Tahoma"/>
          <w:sz w:val="24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РЕПО», «</w:t>
      </w:r>
      <w:proofErr w:type="spellStart"/>
      <w:r w:rsidR="00F20E66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A874FB">
        <w:rPr>
          <w:rFonts w:ascii="Tahoma" w:hAnsi="Tahoma" w:cs="Tahoma"/>
          <w:sz w:val="24"/>
          <w:szCs w:val="24"/>
        </w:rPr>
        <w:t>уста</w:t>
      </w:r>
      <w:r w:rsidR="00FB4993">
        <w:rPr>
          <w:rFonts w:ascii="Tahoma" w:hAnsi="Tahoma" w:cs="Tahoma"/>
          <w:sz w:val="24"/>
          <w:szCs w:val="24"/>
        </w:rPr>
        <w:t>навливаются</w:t>
      </w:r>
      <w:r w:rsidR="00FB4993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>в Режиме основных торгов, Режимах торгов «</w:t>
      </w:r>
      <w:proofErr w:type="spellStart"/>
      <w:r w:rsidRPr="00A874FB">
        <w:rPr>
          <w:rFonts w:ascii="Tahoma" w:hAnsi="Tahoma" w:cs="Tahoma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Cs w:val="24"/>
        </w:rPr>
        <w:t xml:space="preserve">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Режим основных торгов», «Облигации Д – Режим основных торгов»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Т0;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 xml:space="preserve">в Режиме переговорных сделок (РПС), Режимах торгов «Облигации Д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РПС», «</w:t>
      </w:r>
      <w:proofErr w:type="spellStart"/>
      <w:r w:rsidRPr="00A874FB">
        <w:rPr>
          <w:rFonts w:ascii="Tahoma" w:hAnsi="Tahoma" w:cs="Tahoma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Cs w:val="24"/>
        </w:rPr>
        <w:t xml:space="preserve">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РПС» – T0, B0-B30, Z0;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>в Режиме торгов «РИИ2 – РПС» – T0, B0-B30, Z0;</w:t>
      </w:r>
    </w:p>
    <w:p w:rsidR="00AA53BC" w:rsidRPr="00A874FB" w:rsidRDefault="00AA53BC" w:rsidP="00997200">
      <w:pPr>
        <w:pStyle w:val="Iauiue3"/>
        <w:keepLines w:val="0"/>
        <w:numPr>
          <w:ilvl w:val="0"/>
          <w:numId w:val="19"/>
        </w:numPr>
        <w:adjustRightInd w:val="0"/>
        <w:textAlignment w:val="baseline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Cs w:val="24"/>
        </w:rPr>
        <w:t>в Режимах торгов «</w:t>
      </w:r>
      <w:proofErr w:type="spellStart"/>
      <w:r w:rsidR="00F20E66" w:rsidRPr="00A874FB">
        <w:rPr>
          <w:rFonts w:ascii="Tahoma" w:hAnsi="Tahoma" w:cs="Tahoma"/>
          <w:szCs w:val="24"/>
        </w:rPr>
        <w:t>Междилерское</w:t>
      </w:r>
      <w:proofErr w:type="spellEnd"/>
      <w:r w:rsidR="00F20E66" w:rsidRPr="00A874FB">
        <w:rPr>
          <w:rFonts w:ascii="Tahoma" w:hAnsi="Tahoma" w:cs="Tahoma"/>
          <w:szCs w:val="24"/>
        </w:rPr>
        <w:t xml:space="preserve"> </w:t>
      </w:r>
      <w:r w:rsidRPr="00A874FB">
        <w:rPr>
          <w:rFonts w:ascii="Tahoma" w:hAnsi="Tahoma" w:cs="Tahoma"/>
          <w:szCs w:val="24"/>
        </w:rPr>
        <w:t>РЕПО», «</w:t>
      </w:r>
      <w:proofErr w:type="spellStart"/>
      <w:r w:rsidRPr="00A874FB">
        <w:rPr>
          <w:rFonts w:ascii="Tahoma" w:hAnsi="Tahoma" w:cs="Tahoma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Cs w:val="24"/>
        </w:rPr>
        <w:t xml:space="preserve">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РЕПО», «РЕПО с Банком России: Аукцион РЕПО», «РЕПО с Банком России: </w:t>
      </w:r>
      <w:proofErr w:type="spellStart"/>
      <w:proofErr w:type="gramStart"/>
      <w:r w:rsidRPr="00A874FB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Cs w:val="24"/>
        </w:rPr>
        <w:t xml:space="preserve">» </w:t>
      </w:r>
      <w:r w:rsidR="00BB1DA1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Cs w:val="24"/>
        </w:rPr>
        <w:t xml:space="preserve"> </w:t>
      </w:r>
      <w:proofErr w:type="spellStart"/>
      <w:r w:rsidRPr="00A874FB">
        <w:rPr>
          <w:rFonts w:ascii="Tahoma" w:hAnsi="Tahoma" w:cs="Tahoma"/>
          <w:szCs w:val="24"/>
        </w:rPr>
        <w:t>Rb</w:t>
      </w:r>
      <w:proofErr w:type="spellEnd"/>
      <w:r w:rsidRPr="00A874FB">
        <w:rPr>
          <w:rFonts w:ascii="Tahoma" w:hAnsi="Tahoma" w:cs="Tahoma"/>
          <w:szCs w:val="24"/>
        </w:rPr>
        <w:t xml:space="preserve">, </w:t>
      </w:r>
      <w:proofErr w:type="spellStart"/>
      <w:r w:rsidRPr="00A874FB">
        <w:rPr>
          <w:rFonts w:ascii="Tahoma" w:hAnsi="Tahoma" w:cs="Tahoma"/>
          <w:szCs w:val="24"/>
        </w:rPr>
        <w:t>Sn</w:t>
      </w:r>
      <w:proofErr w:type="spellEnd"/>
      <w:r w:rsidRPr="00A874FB">
        <w:rPr>
          <w:rFonts w:ascii="Tahoma" w:hAnsi="Tahoma" w:cs="Tahoma"/>
          <w:szCs w:val="24"/>
        </w:rPr>
        <w:t>, Z0 (кроме внутридневных сроков сделок РЕПО).</w:t>
      </w:r>
    </w:p>
    <w:p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адресной заявки РЕПО в Режимах</w:t>
      </w:r>
      <w:r w:rsidR="00666F98" w:rsidRPr="00A874FB">
        <w:rPr>
          <w:rFonts w:ascii="Tahoma" w:hAnsi="Tahoma" w:cs="Tahoma"/>
          <w:sz w:val="24"/>
          <w:szCs w:val="24"/>
        </w:rPr>
        <w:t xml:space="preserve"> торгов</w:t>
      </w:r>
      <w:r w:rsidRPr="00A874FB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 и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</w:t>
      </w:r>
      <w:r w:rsidR="00FA09A3" w:rsidRPr="00A874FB">
        <w:rPr>
          <w:rFonts w:ascii="Tahoma" w:hAnsi="Tahoma" w:cs="Tahoma"/>
          <w:szCs w:val="24"/>
        </w:rPr>
        <w:t>–</w:t>
      </w:r>
      <w:r w:rsidRPr="00A874FB">
        <w:rPr>
          <w:rFonts w:ascii="Tahoma" w:hAnsi="Tahoma" w:cs="Tahoma"/>
          <w:sz w:val="24"/>
          <w:szCs w:val="24"/>
        </w:rPr>
        <w:t xml:space="preserve"> РЕПО» может быть указана ставка фиксированного возмещения</w:t>
      </w:r>
      <w:r w:rsidR="00807782" w:rsidRPr="00A874FB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A874FB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A874FB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A874FB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A874FB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A874FB">
        <w:rPr>
          <w:rFonts w:ascii="Tahoma" w:hAnsi="Tahoma" w:cs="Tahoma"/>
          <w:sz w:val="24"/>
          <w:szCs w:val="24"/>
        </w:rPr>
        <w:t>)</w:t>
      </w:r>
      <w:r w:rsidR="00807782" w:rsidRPr="00A874FB">
        <w:rPr>
          <w:rFonts w:ascii="Tahoma" w:hAnsi="Tahoma" w:cs="Tahoma"/>
          <w:sz w:val="24"/>
          <w:szCs w:val="24"/>
        </w:rPr>
        <w:t>.</w:t>
      </w:r>
      <w:r w:rsidRPr="00A874FB">
        <w:rPr>
          <w:rFonts w:ascii="Tahoma" w:hAnsi="Tahoma" w:cs="Tahoma"/>
          <w:sz w:val="24"/>
          <w:szCs w:val="24"/>
        </w:rPr>
        <w:t xml:space="preserve"> </w:t>
      </w:r>
    </w:p>
    <w:p w:rsidR="00912C7F" w:rsidRPr="002B0694" w:rsidRDefault="00912C7F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:rsidR="00912C7F" w:rsidRPr="002B0694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:rsidR="00912C7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ставка РЕПО указывается с точностью до 2-х знаков после запятой для сделок с расчетами в рублях </w:t>
      </w:r>
      <w:r>
        <w:rPr>
          <w:rFonts w:ascii="Tahoma" w:hAnsi="Tahoma" w:cs="Tahoma"/>
          <w:sz w:val="24"/>
          <w:szCs w:val="24"/>
        </w:rPr>
        <w:t xml:space="preserve">РФ </w:t>
      </w:r>
      <w:r w:rsidRPr="002B0694">
        <w:rPr>
          <w:rFonts w:ascii="Tahoma" w:hAnsi="Tahoma" w:cs="Tahoma"/>
          <w:sz w:val="24"/>
          <w:szCs w:val="24"/>
        </w:rPr>
        <w:t>и до 5-и знаков после запятой для сделок с расчетами в иностранной валюте.</w:t>
      </w:r>
    </w:p>
    <w:p w:rsidR="00912C7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627D69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</w:t>
      </w:r>
      <w:r w:rsidRPr="003638B6">
        <w:rPr>
          <w:rFonts w:ascii="Tahoma" w:hAnsi="Tahoma" w:cs="Tahoma"/>
          <w:sz w:val="24"/>
          <w:szCs w:val="24"/>
        </w:rPr>
        <w:t>–</w:t>
      </w:r>
      <w:r w:rsidRPr="00627D69">
        <w:rPr>
          <w:rFonts w:ascii="Tahoma" w:hAnsi="Tahoma" w:cs="Tahoma"/>
          <w:sz w:val="24"/>
          <w:szCs w:val="24"/>
        </w:rPr>
        <w:t xml:space="preserve"> Адресные заявки» и «РЕПО с ЦК </w:t>
      </w:r>
      <w:r w:rsidRPr="003638B6">
        <w:rPr>
          <w:rFonts w:ascii="Tahoma" w:hAnsi="Tahoma" w:cs="Tahoma"/>
          <w:sz w:val="24"/>
          <w:szCs w:val="24"/>
        </w:rPr>
        <w:t>–</w:t>
      </w:r>
      <w:r w:rsidRPr="00627D69">
        <w:rPr>
          <w:rFonts w:ascii="Tahoma" w:hAnsi="Tahoma" w:cs="Tahoma"/>
          <w:sz w:val="24"/>
          <w:szCs w:val="24"/>
        </w:rPr>
        <w:t xml:space="preserve">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</w:t>
      </w:r>
      <w:r w:rsidRPr="00627D69">
        <w:rPr>
          <w:rFonts w:ascii="Tahoma" w:hAnsi="Tahoma" w:cs="Tahoma"/>
          <w:sz w:val="24"/>
          <w:szCs w:val="24"/>
        </w:rPr>
        <w:t>рублях</w:t>
      </w:r>
      <w:r>
        <w:rPr>
          <w:rFonts w:ascii="Tahoma" w:hAnsi="Tahoma" w:cs="Tahoma"/>
          <w:sz w:val="24"/>
          <w:szCs w:val="24"/>
        </w:rPr>
        <w:t xml:space="preserve"> РФ</w:t>
      </w:r>
      <w:r w:rsidRPr="00627D69">
        <w:rPr>
          <w:rFonts w:ascii="Tahoma" w:hAnsi="Tahoma" w:cs="Tahoma"/>
          <w:sz w:val="24"/>
          <w:szCs w:val="24"/>
        </w:rPr>
        <w:t xml:space="preserve"> устанавливается равным 1 000 (одной тысяче) ценных бумаг. Размер стандартного лота при торгах </w:t>
      </w:r>
      <w:r w:rsidRPr="000722B9">
        <w:rPr>
          <w:rFonts w:ascii="Tahoma" w:hAnsi="Tahoma" w:cs="Tahoma"/>
          <w:sz w:val="24"/>
          <w:szCs w:val="24"/>
        </w:rPr>
        <w:t xml:space="preserve">КСУ в Режиме торгов «РЕПО с ЦК </w:t>
      </w:r>
      <w:r w:rsidRPr="003638B6">
        <w:rPr>
          <w:rFonts w:ascii="Tahoma" w:hAnsi="Tahoma" w:cs="Tahoma"/>
          <w:sz w:val="24"/>
          <w:szCs w:val="24"/>
        </w:rPr>
        <w:t>–</w:t>
      </w:r>
      <w:r w:rsidRPr="000722B9">
        <w:rPr>
          <w:rFonts w:ascii="Tahoma" w:hAnsi="Tahoma" w:cs="Tahoma"/>
          <w:sz w:val="24"/>
          <w:szCs w:val="24"/>
        </w:rPr>
        <w:t xml:space="preserve"> Аукцион» с расчетами в рублях </w:t>
      </w:r>
      <w:r>
        <w:rPr>
          <w:rFonts w:ascii="Tahoma" w:hAnsi="Tahoma" w:cs="Tahoma"/>
          <w:sz w:val="24"/>
          <w:szCs w:val="24"/>
        </w:rPr>
        <w:t xml:space="preserve">РФ </w:t>
      </w:r>
      <w:r w:rsidRPr="000722B9">
        <w:rPr>
          <w:rFonts w:ascii="Tahoma" w:hAnsi="Tahoma" w:cs="Tahoma"/>
          <w:sz w:val="24"/>
          <w:szCs w:val="24"/>
        </w:rPr>
        <w:t xml:space="preserve">устанавливается равным 1 000 000 (одному миллиону) ценных бумаг. </w:t>
      </w:r>
      <w:r>
        <w:rPr>
          <w:rFonts w:ascii="Tahoma" w:hAnsi="Tahoma" w:cs="Tahoma"/>
          <w:sz w:val="24"/>
          <w:szCs w:val="24"/>
        </w:rPr>
        <w:t>Р</w:t>
      </w:r>
      <w:r w:rsidRPr="00627D69">
        <w:rPr>
          <w:rFonts w:ascii="Tahoma" w:hAnsi="Tahoma" w:cs="Tahoma"/>
          <w:sz w:val="24"/>
          <w:szCs w:val="24"/>
        </w:rPr>
        <w:t>азмер стандартного лота при торгах КСУ в Режимах торгов РЕПО с ЦК с расчетами в долларах США и в Режимах торгов РЕПО с ЦК с расчетами в евро устанавливается равным 100 000 (ста тысячам) ценных бумаг.</w:t>
      </w:r>
    </w:p>
    <w:p w:rsidR="00912C7F" w:rsidRPr="00951967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</w:t>
      </w:r>
      <w:r w:rsidRPr="00C325FD">
        <w:rPr>
          <w:rFonts w:ascii="Tahoma" w:hAnsi="Tahoma" w:cs="Tahoma"/>
          <w:sz w:val="24"/>
          <w:szCs w:val="24"/>
        </w:rPr>
        <w:t xml:space="preserve">еречень </w:t>
      </w:r>
      <w:r>
        <w:rPr>
          <w:rFonts w:ascii="Tahoma" w:hAnsi="Tahoma" w:cs="Tahoma"/>
          <w:sz w:val="24"/>
          <w:szCs w:val="24"/>
        </w:rPr>
        <w:t>КСУ</w:t>
      </w:r>
      <w:r w:rsidRPr="00C325FD">
        <w:rPr>
          <w:rFonts w:ascii="Tahoma" w:hAnsi="Tahoma" w:cs="Tahoma"/>
          <w:sz w:val="24"/>
          <w:szCs w:val="24"/>
        </w:rPr>
        <w:t xml:space="preserve">, </w:t>
      </w:r>
      <w:r w:rsidRPr="00951967">
        <w:rPr>
          <w:rFonts w:ascii="Tahoma" w:hAnsi="Tahoma" w:cs="Tahoma"/>
          <w:sz w:val="24"/>
          <w:szCs w:val="24"/>
        </w:rPr>
        <w:t xml:space="preserve">с которыми допускается заключение сделок в Секции рынка РЕПО, предусмотрен в Таблице </w:t>
      </w:r>
      <w:r w:rsidR="00951967">
        <w:rPr>
          <w:rFonts w:ascii="Tahoma" w:hAnsi="Tahoma" w:cs="Tahoma"/>
          <w:sz w:val="24"/>
          <w:szCs w:val="24"/>
        </w:rPr>
        <w:t>1-О</w:t>
      </w:r>
      <w:r w:rsidRPr="00951967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:rsidR="00AA53BC" w:rsidRPr="0095196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951967">
        <w:rPr>
          <w:rFonts w:ascii="Tahoma" w:hAnsi="Tahoma" w:cs="Tahoma"/>
          <w:sz w:val="24"/>
          <w:szCs w:val="24"/>
        </w:rPr>
        <w:t>3</w:t>
      </w:r>
      <w:r w:rsidR="00FB4993" w:rsidRPr="00951967">
        <w:rPr>
          <w:rFonts w:ascii="Tahoma" w:hAnsi="Tahoma" w:cs="Tahoma"/>
          <w:sz w:val="24"/>
          <w:szCs w:val="24"/>
        </w:rPr>
        <w:t>-О</w:t>
      </w:r>
      <w:r w:rsidRPr="00951967">
        <w:rPr>
          <w:rFonts w:ascii="Tahoma" w:hAnsi="Tahoma" w:cs="Tahoma"/>
          <w:sz w:val="24"/>
          <w:szCs w:val="24"/>
        </w:rPr>
        <w:t xml:space="preserve"> и </w:t>
      </w:r>
      <w:r w:rsidR="00FA09A3" w:rsidRPr="00951967">
        <w:rPr>
          <w:rFonts w:ascii="Tahoma" w:hAnsi="Tahoma" w:cs="Tahoma"/>
          <w:sz w:val="24"/>
          <w:szCs w:val="24"/>
        </w:rPr>
        <w:t>4</w:t>
      </w:r>
      <w:r w:rsidR="00FB4993" w:rsidRPr="00951967">
        <w:rPr>
          <w:rFonts w:ascii="Tahoma" w:hAnsi="Tahoma" w:cs="Tahoma"/>
          <w:sz w:val="24"/>
          <w:szCs w:val="24"/>
        </w:rPr>
        <w:t>-О</w:t>
      </w:r>
      <w:r w:rsidRPr="00951967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951967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951967">
        <w:rPr>
          <w:rFonts w:ascii="Tahoma" w:hAnsi="Tahoma" w:cs="Tahoma"/>
          <w:sz w:val="24"/>
          <w:szCs w:val="24"/>
        </w:rPr>
        <w:t>е</w:t>
      </w:r>
      <w:r w:rsidRPr="00951967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95196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951967">
        <w:rPr>
          <w:rFonts w:ascii="Tahoma" w:hAnsi="Tahoma" w:cs="Tahoma"/>
          <w:sz w:val="24"/>
          <w:szCs w:val="24"/>
        </w:rPr>
        <w:t xml:space="preserve"> </w:t>
      </w:r>
      <w:r w:rsidRPr="00951967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951967">
        <w:rPr>
          <w:rFonts w:ascii="Tahoma" w:hAnsi="Tahoma" w:cs="Tahoma"/>
          <w:sz w:val="24"/>
          <w:szCs w:val="24"/>
        </w:rPr>
        <w:t>Rb</w:t>
      </w:r>
      <w:proofErr w:type="spellEnd"/>
      <w:r w:rsidRPr="0095196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51967">
        <w:rPr>
          <w:rFonts w:ascii="Tahoma" w:hAnsi="Tahoma" w:cs="Tahoma"/>
          <w:sz w:val="24"/>
          <w:szCs w:val="24"/>
        </w:rPr>
        <w:t>Sn</w:t>
      </w:r>
      <w:proofErr w:type="spellEnd"/>
      <w:r w:rsidRPr="00951967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951967">
        <w:rPr>
          <w:rFonts w:ascii="Tahoma" w:hAnsi="Tahoma" w:cs="Tahoma"/>
          <w:sz w:val="24"/>
          <w:szCs w:val="24"/>
        </w:rPr>
        <w:t>3-</w:t>
      </w:r>
      <w:r w:rsidR="00475460" w:rsidRPr="00951967">
        <w:rPr>
          <w:rFonts w:ascii="Tahoma" w:hAnsi="Tahoma" w:cs="Tahoma"/>
          <w:sz w:val="24"/>
          <w:szCs w:val="24"/>
        </w:rPr>
        <w:t xml:space="preserve">О </w:t>
      </w:r>
      <w:r w:rsidRPr="00951967">
        <w:rPr>
          <w:rFonts w:ascii="Tahoma" w:hAnsi="Tahoma" w:cs="Tahoma"/>
          <w:sz w:val="24"/>
          <w:szCs w:val="24"/>
        </w:rPr>
        <w:t>Приложения</w:t>
      </w:r>
      <w:r w:rsidRPr="00A874FB">
        <w:rPr>
          <w:rFonts w:ascii="Tahoma" w:hAnsi="Tahoma" w:cs="Tahoma"/>
          <w:sz w:val="24"/>
          <w:szCs w:val="24"/>
        </w:rPr>
        <w:t xml:space="preserve"> к настоящим Условиям).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Федерации, 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:rsidR="00AA53BC" w:rsidRPr="00A874FB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сделок в Режиме основных торгов и Режиме переговорных сделок (РПС) с кодом расчетов Т0, заключенных в российских рублях с государственными облигациями внешних облигационных займов Российской Федерации,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A874FB">
        <w:rPr>
          <w:rFonts w:ascii="Tahoma" w:hAnsi="Tahoma" w:cs="Tahoma"/>
          <w:sz w:val="24"/>
          <w:szCs w:val="24"/>
        </w:rPr>
        <w:t>Б</w:t>
      </w:r>
      <w:r w:rsidRPr="00A874FB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843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основных торгов - Т0;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переговорных сделок (РПС) – T0, B0-B-30, </w:t>
      </w:r>
      <w:r w:rsidRPr="00A874FB">
        <w:rPr>
          <w:rFonts w:ascii="Tahoma" w:hAnsi="Tahoma" w:cs="Tahoma"/>
          <w:sz w:val="24"/>
          <w:szCs w:val="24"/>
          <w:lang w:val="en-US"/>
        </w:rPr>
        <w:t>Z</w:t>
      </w:r>
      <w:r w:rsidRPr="00A874FB">
        <w:rPr>
          <w:rFonts w:ascii="Tahoma" w:hAnsi="Tahoma" w:cs="Tahoma"/>
          <w:sz w:val="24"/>
          <w:szCs w:val="24"/>
        </w:rPr>
        <w:t>0;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</w:t>
      </w:r>
      <w:proofErr w:type="spellStart"/>
      <w:r w:rsidR="00666F98"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 xml:space="preserve">РЕПО» - </w:t>
      </w:r>
      <w:proofErr w:type="spellStart"/>
      <w:r w:rsidRPr="00A874FB">
        <w:rPr>
          <w:rFonts w:ascii="Tahoma" w:hAnsi="Tahoma" w:cs="Tahoma"/>
          <w:sz w:val="24"/>
          <w:szCs w:val="24"/>
        </w:rPr>
        <w:t>Rb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, S0, S1, S2, </w:t>
      </w:r>
      <w:r w:rsidRPr="00A874FB">
        <w:rPr>
          <w:rFonts w:ascii="Tahoma" w:hAnsi="Tahoma" w:cs="Tahoma"/>
          <w:sz w:val="24"/>
          <w:szCs w:val="24"/>
          <w:lang w:val="en-US"/>
        </w:rPr>
        <w:t>Z</w:t>
      </w:r>
      <w:r w:rsidRPr="00A874FB">
        <w:rPr>
          <w:rFonts w:ascii="Tahoma" w:hAnsi="Tahoma" w:cs="Tahoma"/>
          <w:sz w:val="24"/>
          <w:szCs w:val="24"/>
        </w:rPr>
        <w:t>0;</w:t>
      </w:r>
    </w:p>
    <w:p w:rsidR="00AA53BC" w:rsidRPr="00A874FB" w:rsidRDefault="00AA53BC" w:rsidP="00997200">
      <w:pPr>
        <w:pStyle w:val="Iauiue"/>
        <w:numPr>
          <w:ilvl w:val="6"/>
          <w:numId w:val="12"/>
        </w:numPr>
        <w:spacing w:after="24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торгов «РЕПО с Банком России: Аукцион РЕПО»,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 xml:space="preserve">» - </w:t>
      </w:r>
      <w:proofErr w:type="spellStart"/>
      <w:r w:rsidRPr="00A874FB">
        <w:rPr>
          <w:rFonts w:ascii="Tahoma" w:hAnsi="Tahoma" w:cs="Tahoma"/>
          <w:sz w:val="24"/>
          <w:szCs w:val="24"/>
        </w:rPr>
        <w:t>Rb</w:t>
      </w:r>
      <w:proofErr w:type="spellEnd"/>
      <w:r w:rsidRPr="00A874FB">
        <w:rPr>
          <w:rFonts w:ascii="Tahoma" w:hAnsi="Tahoma" w:cs="Tahoma"/>
          <w:sz w:val="24"/>
          <w:szCs w:val="24"/>
        </w:rPr>
        <w:t>, S</w:t>
      </w:r>
      <w:r w:rsidRPr="00A874FB">
        <w:rPr>
          <w:rFonts w:ascii="Tahoma" w:hAnsi="Tahoma" w:cs="Tahoma"/>
          <w:sz w:val="24"/>
          <w:szCs w:val="24"/>
          <w:lang w:val="en-US"/>
        </w:rPr>
        <w:t>n</w:t>
      </w:r>
      <w:r w:rsidRPr="00A874FB">
        <w:rPr>
          <w:rFonts w:ascii="Tahoma" w:hAnsi="Tahoma" w:cs="Tahoma"/>
          <w:sz w:val="24"/>
          <w:szCs w:val="24"/>
        </w:rPr>
        <w:t>, Z0 (кроме внутридневных сроков сделок РЕПО).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Торги в Режиме основных торгов Т+ для облигаций и ОФЗ проводятся в форме аукциона открытия с учетом следующих особенностей: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418" w:right="284" w:hanging="698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A874FB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09:59:30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9:59:59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-</w:t>
            </w:r>
          </w:p>
        </w:tc>
      </w:tr>
    </w:tbl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418" w:right="284" w:hanging="698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418" w:right="284" w:hanging="698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Торги в Режиме основных торгов Т+ после окончания торгового периода </w:t>
      </w:r>
      <w:r w:rsidR="003F4752" w:rsidRPr="00A874FB">
        <w:rPr>
          <w:rFonts w:ascii="Tahoma" w:hAnsi="Tahoma" w:cs="Tahoma"/>
          <w:sz w:val="24"/>
          <w:szCs w:val="24"/>
        </w:rPr>
        <w:t>для облигаций</w:t>
      </w:r>
      <w:r w:rsidRPr="00A874FB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A874FB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:rsidR="00BC06EE" w:rsidRPr="00A874FB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:rsidR="00BC06EE" w:rsidRPr="00A874FB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A874FB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18:40:0</w:t>
            </w:r>
            <w:r w:rsidRPr="00A874FB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18:45:00 -18:45:29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18:45:00 -18:45:</w:t>
            </w:r>
            <w:r w:rsidRPr="00A874FB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18:48:00 -18:4</w:t>
            </w:r>
            <w:r w:rsidRPr="00A874FB">
              <w:rPr>
                <w:rFonts w:ascii="Tahoma" w:hAnsi="Tahoma" w:cs="Tahoma"/>
                <w:lang w:val="en-US"/>
              </w:rPr>
              <w:t>8</w:t>
            </w:r>
            <w:r w:rsidRPr="00A874FB">
              <w:rPr>
                <w:rFonts w:ascii="Tahoma" w:hAnsi="Tahoma" w:cs="Tahoma"/>
              </w:rPr>
              <w:t>:</w:t>
            </w:r>
            <w:r w:rsidRPr="00A874FB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A874FB">
              <w:rPr>
                <w:rFonts w:ascii="Tahoma" w:hAnsi="Tahoma" w:cs="Tahoma"/>
              </w:rPr>
              <w:t>18:45:00 -18:45:</w:t>
            </w:r>
            <w:r w:rsidRPr="00A874FB">
              <w:rPr>
                <w:rFonts w:ascii="Tahoma" w:hAnsi="Tahoma" w:cs="Tahoma"/>
                <w:lang w:val="en-US"/>
              </w:rPr>
              <w:t>29</w:t>
            </w:r>
          </w:p>
          <w:p w:rsidR="00AA53BC" w:rsidRPr="00A874FB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A874FB">
              <w:rPr>
                <w:rFonts w:ascii="Tahoma" w:hAnsi="Tahoma" w:cs="Tahoma"/>
              </w:rPr>
              <w:t>либо</w:t>
            </w:r>
          </w:p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18:48:00 -18:4</w:t>
            </w:r>
            <w:r w:rsidRPr="00A874FB">
              <w:rPr>
                <w:rFonts w:ascii="Tahoma" w:hAnsi="Tahoma" w:cs="Tahoma"/>
                <w:lang w:val="en-US"/>
              </w:rPr>
              <w:t>8</w:t>
            </w:r>
            <w:r w:rsidRPr="00A874FB">
              <w:rPr>
                <w:rFonts w:ascii="Tahoma" w:hAnsi="Tahoma" w:cs="Tahoma"/>
              </w:rPr>
              <w:t>:</w:t>
            </w:r>
            <w:r w:rsidRPr="00A874FB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-</w:t>
            </w:r>
          </w:p>
        </w:tc>
      </w:tr>
      <w:tr w:rsidR="00AA53BC" w:rsidRPr="00A874FB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53BC" w:rsidRPr="00A874FB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874FB">
              <w:rPr>
                <w:rFonts w:ascii="Tahoma" w:hAnsi="Tahoma" w:cs="Tahoma"/>
              </w:rPr>
              <w:t>18:50:00</w:t>
            </w:r>
          </w:p>
        </w:tc>
      </w:tr>
    </w:tbl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276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Лимитные заявки с указанием дополнительного реквизита «видимое количество ценных бумаг, выраженное в лотах» (айсберг-заявка), не принимают участия в АЗ, кроме случая, когда на момент начала АЗ размер «скрытого количества ценных бумаг» в айсберг-заявке равно нулю.</w:t>
      </w:r>
    </w:p>
    <w:p w:rsidR="00AA53BC" w:rsidRPr="00A874FB" w:rsidRDefault="00AA53BC" w:rsidP="00997200">
      <w:pPr>
        <w:pStyle w:val="Iauiue"/>
        <w:numPr>
          <w:ilvl w:val="2"/>
          <w:numId w:val="11"/>
        </w:numPr>
        <w:spacing w:before="120" w:after="120"/>
        <w:ind w:left="1276" w:right="284" w:hanging="85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A874FB">
        <w:rPr>
          <w:rFonts w:ascii="Tahoma" w:hAnsi="Tahoma" w:cs="Tahoma"/>
          <w:sz w:val="24"/>
          <w:szCs w:val="24"/>
        </w:rPr>
        <w:t xml:space="preserve"> </w:t>
      </w:r>
      <w:r w:rsidRPr="00A874FB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A874FB">
        <w:rPr>
          <w:rFonts w:ascii="Tahoma" w:hAnsi="Tahoma" w:cs="Tahoma"/>
          <w:sz w:val="24"/>
          <w:szCs w:val="24"/>
        </w:rPr>
        <w:t>.</w:t>
      </w:r>
    </w:p>
    <w:p w:rsidR="00346F6C" w:rsidRPr="00AD4B51" w:rsidRDefault="00346F6C" w:rsidP="00AD4B51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D4B51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>
        <w:rPr>
          <w:rFonts w:ascii="Tahoma" w:hAnsi="Tahoma" w:cs="Tahoma"/>
          <w:sz w:val="24"/>
          <w:szCs w:val="24"/>
        </w:rPr>
        <w:t>и</w:t>
      </w:r>
      <w:r w:rsidRPr="00AD4B51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:rsidR="00346F6C" w:rsidRDefault="006470E9" w:rsidP="00475460">
      <w:pPr>
        <w:pStyle w:val="Iauiue"/>
        <w:numPr>
          <w:ilvl w:val="2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6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6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), Перечень облигаций, с которыми допускается совершение сделок в Режиме торгов крупными пакетами ценных бумаг с расчетами в долларах США представлен в </w:t>
      </w:r>
      <w:r w:rsidRPr="00951967">
        <w:rPr>
          <w:rFonts w:ascii="Tahoma" w:hAnsi="Tahoma" w:cs="Tahoma"/>
          <w:sz w:val="24"/>
          <w:szCs w:val="24"/>
        </w:rPr>
        <w:t>Таблице 7</w:t>
      </w:r>
      <w:r w:rsidR="00951967" w:rsidRPr="00951967">
        <w:rPr>
          <w:rFonts w:ascii="Tahoma" w:hAnsi="Tahoma" w:cs="Tahoma"/>
          <w:sz w:val="24"/>
          <w:szCs w:val="24"/>
        </w:rPr>
        <w:t>-</w:t>
      </w:r>
      <w:r w:rsidR="00FB4993" w:rsidRPr="00951967">
        <w:rPr>
          <w:rFonts w:ascii="Tahoma" w:hAnsi="Tahoma" w:cs="Tahoma"/>
          <w:sz w:val="24"/>
          <w:szCs w:val="24"/>
        </w:rPr>
        <w:t>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7</w:t>
      </w:r>
      <w:r w:rsidR="00FB4993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.</w:t>
      </w:r>
    </w:p>
    <w:p w:rsidR="00CD5674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Pr="00475460">
        <w:rPr>
          <w:rFonts w:ascii="Tahoma" w:hAnsi="Tahoma" w:cs="Tahoma"/>
          <w:sz w:val="24"/>
          <w:szCs w:val="24"/>
        </w:rPr>
        <w:t xml:space="preserve">.2. </w:t>
      </w:r>
      <w:r w:rsidR="00346F6C" w:rsidRPr="00475460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F6C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11:29:59</w:t>
            </w:r>
          </w:p>
        </w:tc>
      </w:tr>
      <w:tr w:rsidR="00346F6C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11:45:00</w:t>
            </w:r>
          </w:p>
        </w:tc>
      </w:tr>
      <w:tr w:rsidR="00346F6C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16:29:59</w:t>
            </w:r>
          </w:p>
        </w:tc>
      </w:tr>
      <w:tr w:rsidR="00346F6C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46F6C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Pr="00951967" w:rsidRDefault="00346F6C">
            <w:pPr>
              <w:spacing w:line="252" w:lineRule="auto"/>
              <w:rPr>
                <w:rFonts w:ascii="Tahoma" w:hAnsi="Tahoma" w:cs="Tahoma"/>
              </w:rPr>
            </w:pPr>
            <w:r w:rsidRPr="00951967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F6C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16:45:00</w:t>
            </w:r>
          </w:p>
        </w:tc>
      </w:tr>
    </w:tbl>
    <w:p w:rsidR="00346F6C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:rsidR="00346F6C" w:rsidRPr="00475460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Для ОФЗ - Y1;</w:t>
      </w:r>
    </w:p>
    <w:p w:rsidR="00346F6C" w:rsidRPr="00475460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Для ГОВОЗ – Y2.</w:t>
      </w: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>
        <w:rPr>
          <w:rFonts w:ascii="Tahoma" w:hAnsi="Tahoma" w:cs="Tahoma"/>
          <w:sz w:val="24"/>
          <w:szCs w:val="24"/>
        </w:rPr>
        <w:t xml:space="preserve"> ценных бумаг</w:t>
      </w:r>
      <w:r w:rsidRPr="00475460">
        <w:rPr>
          <w:rFonts w:ascii="Tahoma" w:hAnsi="Tahoma" w:cs="Tahoma"/>
          <w:sz w:val="24"/>
          <w:szCs w:val="24"/>
        </w:rPr>
        <w:t xml:space="preserve">, </w:t>
      </w:r>
      <w:r w:rsidR="00346F6C" w:rsidRPr="00475460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.5. Подача заявок с условием «Заявка </w:t>
      </w:r>
      <w:proofErr w:type="spellStart"/>
      <w:r w:rsidR="00346F6C" w:rsidRPr="00475460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="00346F6C" w:rsidRPr="00475460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:rsidR="00346F6C" w:rsidRPr="00475460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:rsidR="00346F6C" w:rsidRPr="00475460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Pr="00475460">
        <w:rPr>
          <w:rFonts w:ascii="Tahoma" w:hAnsi="Tahoma" w:cs="Tahoma"/>
          <w:sz w:val="24"/>
          <w:szCs w:val="24"/>
        </w:rPr>
        <w:t>6</w:t>
      </w:r>
      <w:r w:rsidR="00346F6C" w:rsidRPr="00475460">
        <w:rPr>
          <w:rFonts w:ascii="Tahoma" w:hAnsi="Tahoma" w:cs="Tahoma"/>
          <w:sz w:val="24"/>
          <w:szCs w:val="24"/>
        </w:rPr>
        <w:t xml:space="preserve"> и </w:t>
      </w:r>
      <w:r w:rsidRPr="00475460">
        <w:rPr>
          <w:rFonts w:ascii="Tahoma" w:hAnsi="Tahoma" w:cs="Tahoma"/>
          <w:sz w:val="24"/>
          <w:szCs w:val="24"/>
        </w:rPr>
        <w:t>7</w:t>
      </w:r>
      <w:r w:rsidR="00346F6C" w:rsidRPr="00475460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:rsidR="00346F6C" w:rsidRPr="00475460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75460">
        <w:rPr>
          <w:rFonts w:ascii="Tahoma" w:hAnsi="Tahoma" w:cs="Tahoma"/>
          <w:sz w:val="24"/>
          <w:szCs w:val="24"/>
        </w:rPr>
        <w:t>1.</w:t>
      </w:r>
      <w:r w:rsidR="00912C7F" w:rsidRPr="00475460">
        <w:rPr>
          <w:rFonts w:ascii="Tahoma" w:hAnsi="Tahoma" w:cs="Tahoma"/>
          <w:sz w:val="24"/>
          <w:szCs w:val="24"/>
        </w:rPr>
        <w:t>1</w:t>
      </w:r>
      <w:r w:rsidR="00912C7F">
        <w:rPr>
          <w:rFonts w:ascii="Tahoma" w:hAnsi="Tahoma" w:cs="Tahoma"/>
          <w:sz w:val="24"/>
          <w:szCs w:val="24"/>
        </w:rPr>
        <w:t>2</w:t>
      </w:r>
      <w:r w:rsidR="00346F6C" w:rsidRPr="00475460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75460">
        <w:rPr>
          <w:rFonts w:ascii="Tahoma" w:hAnsi="Tahoma" w:cs="Tahoma"/>
          <w:sz w:val="24"/>
          <w:szCs w:val="24"/>
        </w:rPr>
        <w:t>случаях, указанных в п. 1.1</w:t>
      </w:r>
      <w:r w:rsidR="00912C7F">
        <w:rPr>
          <w:rFonts w:ascii="Tahoma" w:hAnsi="Tahoma" w:cs="Tahoma"/>
          <w:sz w:val="24"/>
          <w:szCs w:val="24"/>
        </w:rPr>
        <w:t>2</w:t>
      </w:r>
      <w:r w:rsidR="00EE65FF" w:rsidRPr="00475460">
        <w:rPr>
          <w:rFonts w:ascii="Tahoma" w:hAnsi="Tahoma" w:cs="Tahoma"/>
          <w:sz w:val="24"/>
          <w:szCs w:val="24"/>
        </w:rPr>
        <w:t>.6.3 и 1.1</w:t>
      </w:r>
      <w:r w:rsidR="00912C7F">
        <w:rPr>
          <w:rFonts w:ascii="Tahoma" w:hAnsi="Tahoma" w:cs="Tahoma"/>
          <w:sz w:val="24"/>
          <w:szCs w:val="24"/>
        </w:rPr>
        <w:t>2</w:t>
      </w:r>
      <w:r w:rsidR="00EE65FF" w:rsidRPr="00475460">
        <w:rPr>
          <w:rFonts w:ascii="Tahoma" w:hAnsi="Tahoma" w:cs="Tahoma"/>
          <w:sz w:val="24"/>
          <w:szCs w:val="24"/>
        </w:rPr>
        <w:t>.6.4</w:t>
      </w:r>
      <w:r w:rsidR="00346F6C" w:rsidRPr="00475460">
        <w:rPr>
          <w:rFonts w:ascii="Tahoma" w:hAnsi="Tahoma" w:cs="Tahoma"/>
          <w:sz w:val="24"/>
          <w:szCs w:val="24"/>
        </w:rPr>
        <w:t>, такая цена не рассчитывается и не фик</w:t>
      </w:r>
      <w:r w:rsidR="00346F6C" w:rsidRPr="00951967">
        <w:rPr>
          <w:rFonts w:ascii="Tahoma" w:hAnsi="Tahoma" w:cs="Tahoma"/>
          <w:sz w:val="24"/>
          <w:szCs w:val="24"/>
        </w:rPr>
        <w:t xml:space="preserve">сируется. На основе значений, полученных в соответствии с п. </w:t>
      </w:r>
      <w:r w:rsidR="00AD4B51" w:rsidRPr="00951967">
        <w:rPr>
          <w:rFonts w:ascii="Tahoma" w:hAnsi="Tahoma" w:cs="Tahoma"/>
          <w:sz w:val="24"/>
          <w:szCs w:val="24"/>
        </w:rPr>
        <w:t>1.11</w:t>
      </w:r>
      <w:r w:rsidR="00346F6C" w:rsidRPr="00951967">
        <w:rPr>
          <w:rFonts w:ascii="Tahoma" w:hAnsi="Tahoma" w:cs="Tahoma"/>
          <w:sz w:val="24"/>
          <w:szCs w:val="24"/>
        </w:rPr>
        <w:t>.6.1.</w:t>
      </w:r>
      <w:r w:rsidR="00346F6C" w:rsidRPr="00475460">
        <w:rPr>
          <w:rFonts w:ascii="Tahoma" w:hAnsi="Tahoma" w:cs="Tahoma"/>
          <w:sz w:val="24"/>
          <w:szCs w:val="24"/>
        </w:rPr>
        <w:t xml:space="preserve"> настоящих Условий, определяется цена Аукциона по следующей формуле:</w:t>
      </w:r>
    </w:p>
    <w:p w:rsidR="00346F6C" w:rsidRDefault="003E2D68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>
        <w:rPr>
          <w:rFonts w:ascii="Tahoma" w:hAnsi="Tahoma" w:cs="Tahoma"/>
        </w:rPr>
        <w:t>  , где</w:t>
      </w:r>
    </w:p>
    <w:p w:rsidR="00346F6C" w:rsidRDefault="003E2D68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>
        <w:rPr>
          <w:rFonts w:ascii="Tahoma" w:hAnsi="Tahoma" w:cs="Tahoma"/>
        </w:rPr>
        <w:t xml:space="preserve"> , где</w:t>
      </w:r>
    </w:p>
    <w:p w:rsidR="00346F6C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спрос</w:t>
      </w:r>
      <w:proofErr w:type="spellEnd"/>
      <w:r>
        <w:rPr>
          <w:rFonts w:ascii="Tahoma" w:hAnsi="Tahoma" w:cs="Tahoma"/>
        </w:rPr>
        <w:t xml:space="preserve"> – средневзвешенная цена спроса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>n</w:t>
      </w:r>
      <w:r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6470E9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и </w:t>
      </w:r>
      <w:r w:rsidR="006470E9">
        <w:rPr>
          <w:rFonts w:ascii="Tahoma" w:hAnsi="Tahoma" w:cs="Tahoma"/>
        </w:rPr>
        <w:t>7</w:t>
      </w:r>
      <w:r>
        <w:rPr>
          <w:rFonts w:ascii="Tahoma" w:hAnsi="Tahoma" w:cs="Tahoma"/>
        </w:rPr>
        <w:t>).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q</w:t>
      </w:r>
      <w:r>
        <w:rPr>
          <w:rFonts w:ascii="Tahoma" w:hAnsi="Tahoma" w:cs="Tahoma"/>
          <w:i/>
          <w:iCs/>
          <w:vertAlign w:val="subscript"/>
        </w:rPr>
        <w:t>i</w:t>
      </w:r>
      <w:proofErr w:type="spellEnd"/>
      <w:r>
        <w:rPr>
          <w:rFonts w:ascii="Tahoma" w:hAnsi="Tahoma" w:cs="Tahoma"/>
        </w:rPr>
        <w:t xml:space="preserve"> – объем отдельной заявки на покупку, шт.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i</w:t>
      </w:r>
      <w:proofErr w:type="spellEnd"/>
      <w:r>
        <w:rPr>
          <w:rFonts w:ascii="Tahoma" w:hAnsi="Tahoma" w:cs="Tahoma"/>
        </w:rPr>
        <w:t xml:space="preserve"> – цена отдельной заявки на покупку в валюте расчетов</w:t>
      </w:r>
    </w:p>
    <w:p w:rsidR="00346F6C" w:rsidRDefault="003E2D68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>
        <w:rPr>
          <w:rFonts w:ascii="Tahoma" w:hAnsi="Tahoma" w:cs="Tahoma"/>
        </w:rPr>
        <w:t xml:space="preserve"> , где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>
        <w:rPr>
          <w:rFonts w:ascii="Tahoma" w:hAnsi="Tahoma" w:cs="Tahoma"/>
          <w:i/>
          <w:iCs/>
        </w:rPr>
        <w:t xml:space="preserve"> </w:t>
      </w:r>
      <w:r>
        <w:rPr>
          <w:rFonts w:ascii="Tahoma" w:hAnsi="Tahoma" w:cs="Tahoma"/>
        </w:rPr>
        <w:t>– средневзвешенная цена предложения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>
        <w:rPr>
          <w:rFonts w:ascii="Tahoma" w:hAnsi="Tahoma" w:cs="Tahoma"/>
          <w:i/>
          <w:iCs/>
        </w:rPr>
        <w:t xml:space="preserve">n </w:t>
      </w:r>
      <w:r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6470E9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и </w:t>
      </w:r>
      <w:r w:rsidR="006470E9">
        <w:rPr>
          <w:rFonts w:ascii="Tahoma" w:hAnsi="Tahoma" w:cs="Tahoma"/>
        </w:rPr>
        <w:t>7</w:t>
      </w:r>
      <w:r>
        <w:rPr>
          <w:rFonts w:ascii="Tahoma" w:hAnsi="Tahoma" w:cs="Tahoma"/>
        </w:rPr>
        <w:t>).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q</w:t>
      </w:r>
      <w:r>
        <w:rPr>
          <w:rFonts w:ascii="Tahoma" w:hAnsi="Tahoma" w:cs="Tahoma"/>
          <w:i/>
          <w:iCs/>
          <w:vertAlign w:val="subscript"/>
        </w:rPr>
        <w:t>j</w:t>
      </w:r>
      <w:proofErr w:type="spellEnd"/>
      <w:r>
        <w:rPr>
          <w:rFonts w:ascii="Tahoma" w:hAnsi="Tahoma" w:cs="Tahoma"/>
        </w:rPr>
        <w:t xml:space="preserve"> – объем отдельной заявки на продажу, шт.</w:t>
      </w:r>
    </w:p>
    <w:p w:rsidR="00346F6C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>
        <w:rPr>
          <w:rFonts w:ascii="Tahoma" w:hAnsi="Tahoma" w:cs="Tahoma"/>
          <w:i/>
          <w:iCs/>
        </w:rPr>
        <w:t>p</w:t>
      </w:r>
      <w:r>
        <w:rPr>
          <w:rFonts w:ascii="Tahoma" w:hAnsi="Tahoma" w:cs="Tahoma"/>
          <w:i/>
          <w:iCs/>
          <w:vertAlign w:val="subscript"/>
        </w:rPr>
        <w:t>j</w:t>
      </w:r>
      <w:proofErr w:type="spellEnd"/>
      <w:r>
        <w:rPr>
          <w:rFonts w:ascii="Tahoma" w:hAnsi="Tahoma" w:cs="Tahoma"/>
        </w:rPr>
        <w:t xml:space="preserve"> – цена отдельной заявки на продажу в валюте расчетов</w:t>
      </w:r>
    </w:p>
    <w:p w:rsidR="00346F6C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:rsidR="00346F6C" w:rsidRDefault="006470E9" w:rsidP="00346F6C">
      <w:pPr>
        <w:pStyle w:val="Iauiue3"/>
        <w:ind w:left="1854" w:firstLine="11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="00912C7F">
        <w:rPr>
          <w:rFonts w:ascii="Tahoma" w:hAnsi="Tahoma" w:cs="Tahoma"/>
        </w:rPr>
        <w:t>12</w:t>
      </w:r>
      <w:r w:rsidR="00346F6C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>
        <w:rPr>
          <w:rFonts w:ascii="Tahoma" w:hAnsi="Tahoma" w:cs="Tahoma"/>
        </w:rPr>
        <w:t>1.11</w:t>
      </w:r>
      <w:r w:rsidR="00346F6C">
        <w:rPr>
          <w:rFonts w:ascii="Tahoma" w:hAnsi="Tahoma" w:cs="Tahoma"/>
        </w:rPr>
        <w:t>.6.1. настоящих Условий:</w:t>
      </w:r>
    </w:p>
    <w:p w:rsidR="00346F6C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6470E9">
        <w:rPr>
          <w:rFonts w:ascii="Tahoma" w:hAnsi="Tahoma" w:cs="Tahoma"/>
        </w:rPr>
        <w:t>6</w:t>
      </w:r>
      <w:r w:rsidR="001A50A6">
        <w:rPr>
          <w:rFonts w:ascii="Tahoma" w:hAnsi="Tahoma" w:cs="Tahoma"/>
        </w:rPr>
        <w:t>-О</w:t>
      </w:r>
      <w:r>
        <w:rPr>
          <w:rFonts w:ascii="Tahoma" w:hAnsi="Tahoma" w:cs="Tahoma"/>
        </w:rPr>
        <w:t xml:space="preserve"> и </w:t>
      </w:r>
      <w:r w:rsidR="006470E9">
        <w:rPr>
          <w:rFonts w:ascii="Tahoma" w:hAnsi="Tahoma" w:cs="Tahoma"/>
        </w:rPr>
        <w:t>7</w:t>
      </w:r>
      <w:r w:rsidR="001A50A6">
        <w:rPr>
          <w:rFonts w:ascii="Tahoma" w:hAnsi="Tahoma" w:cs="Tahoma"/>
        </w:rPr>
        <w:t>-О</w:t>
      </w:r>
      <w:r>
        <w:rPr>
          <w:rFonts w:ascii="Tahoma" w:hAnsi="Tahoma" w:cs="Tahoma"/>
        </w:rPr>
        <w:t>;</w:t>
      </w:r>
    </w:p>
    <w:p w:rsidR="00346F6C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:rsidR="00346F6C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951967" w:rsidRDefault="006470E9" w:rsidP="00346F6C">
      <w:pPr>
        <w:pStyle w:val="Iauiue3"/>
        <w:ind w:left="1854" w:firstLine="0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 w:rsidR="00912C7F">
        <w:rPr>
          <w:rFonts w:ascii="Tahoma" w:hAnsi="Tahoma" w:cs="Tahoma"/>
        </w:rPr>
        <w:t>12</w:t>
      </w:r>
      <w:r w:rsidR="00346F6C">
        <w:rPr>
          <w:rFonts w:ascii="Tahoma" w:hAnsi="Tahoma" w:cs="Tahoma"/>
        </w:rPr>
        <w:t xml:space="preserve">.6.4. Цена Аукциона по ценной бумаге не определяется, Аукцион не </w:t>
      </w:r>
      <w:r w:rsidR="00346F6C" w:rsidRPr="00951967">
        <w:rPr>
          <w:rFonts w:ascii="Tahoma" w:hAnsi="Tahoma" w:cs="Tahoma"/>
        </w:rPr>
        <w:t xml:space="preserve">проводится и сделки не заключаются, если в течение периода времени, указанного в п. </w:t>
      </w:r>
      <w:r w:rsidR="00AD4B51"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="00346F6C" w:rsidRPr="00951967">
        <w:rPr>
          <w:rFonts w:ascii="Tahoma" w:hAnsi="Tahoma" w:cs="Tahoma"/>
        </w:rPr>
        <w:t>.6.1. настоящих Условий: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951967">
        <w:rPr>
          <w:rFonts w:ascii="Tahoma" w:hAnsi="Tahoma" w:cs="Tahoma"/>
        </w:rPr>
        <w:t xml:space="preserve">по конкретной ценной бумаге отсутствует текущая </w:t>
      </w:r>
      <w:proofErr w:type="gramStart"/>
      <w:r w:rsidRPr="00951967">
        <w:rPr>
          <w:rFonts w:ascii="Tahoma" w:hAnsi="Tahoma" w:cs="Tahoma"/>
        </w:rPr>
        <w:t>цена;   </w:t>
      </w:r>
      <w:proofErr w:type="gramEnd"/>
      <w:r w:rsidRPr="00951967">
        <w:rPr>
          <w:rFonts w:ascii="Tahoma" w:hAnsi="Tahoma" w:cs="Tahoma"/>
        </w:rPr>
        <w:t>     и/или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951967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:rsidR="00346F6C" w:rsidRPr="0095196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Pr="00951967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="00346F6C" w:rsidRPr="00951967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:rsidR="00346F6C" w:rsidRPr="00951967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:rsidR="00346F6C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="00346F6C" w:rsidRPr="00951967">
        <w:rPr>
          <w:rFonts w:ascii="Tahoma" w:hAnsi="Tahoma" w:cs="Tahoma"/>
        </w:rPr>
        <w:t>.6.6. Заключение Сделок по цене Аукциона осуществл</w:t>
      </w:r>
      <w:r w:rsidR="009E73ED" w:rsidRPr="00951967">
        <w:rPr>
          <w:rFonts w:ascii="Tahoma" w:hAnsi="Tahoma" w:cs="Tahoma"/>
        </w:rPr>
        <w:t>яется</w:t>
      </w:r>
      <w:r w:rsidR="00346F6C" w:rsidRPr="00951967">
        <w:rPr>
          <w:rFonts w:ascii="Tahoma" w:hAnsi="Tahoma" w:cs="Tahoma"/>
        </w:rPr>
        <w:t xml:space="preserve"> в следующем порядке:</w:t>
      </w:r>
    </w:p>
    <w:p w:rsidR="00346F6C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>
        <w:rPr>
          <w:rFonts w:ascii="Tahoma" w:hAnsi="Tahoma" w:cs="Tahoma"/>
        </w:rPr>
        <w:t>1.</w:t>
      </w:r>
      <w:r w:rsidR="00912C7F">
        <w:rPr>
          <w:rFonts w:ascii="Tahoma" w:hAnsi="Tahoma" w:cs="Tahoma"/>
        </w:rPr>
        <w:t>12</w:t>
      </w:r>
      <w:r>
        <w:rPr>
          <w:rFonts w:ascii="Tahoma" w:hAnsi="Tahoma" w:cs="Tahoma"/>
        </w:rPr>
        <w:t>.6.2. настоящих Условий;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951967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951967">
        <w:rPr>
          <w:rFonts w:ascii="Tahoma" w:hAnsi="Tahoma" w:cs="Tahoma"/>
        </w:rPr>
        <w:t xml:space="preserve">, поданная ранее остальных. </w:t>
      </w:r>
      <w:r w:rsidRPr="00951967">
        <w:rPr>
          <w:rFonts w:ascii="Tahoma" w:hAnsi="Tahoma" w:cs="Tahoma"/>
        </w:rPr>
        <w:t xml:space="preserve"> </w:t>
      </w:r>
    </w:p>
    <w:p w:rsidR="00346F6C" w:rsidRPr="00951967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951967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951967">
        <w:rPr>
          <w:rFonts w:ascii="Tahoma" w:hAnsi="Tahoma" w:cs="Tahoma"/>
        </w:rPr>
        <w:t>1.</w:t>
      </w:r>
      <w:r w:rsidR="00912C7F" w:rsidRPr="00951967">
        <w:rPr>
          <w:rFonts w:ascii="Tahoma" w:hAnsi="Tahoma" w:cs="Tahoma"/>
        </w:rPr>
        <w:t>12</w:t>
      </w:r>
      <w:r w:rsidRPr="00951967">
        <w:rPr>
          <w:rFonts w:ascii="Tahoma" w:hAnsi="Tahoma" w:cs="Tahoma"/>
        </w:rPr>
        <w:t>.6.</w:t>
      </w:r>
      <w:r w:rsidR="00AD4B51" w:rsidRPr="00951967">
        <w:rPr>
          <w:rFonts w:ascii="Tahoma" w:hAnsi="Tahoma" w:cs="Tahoma"/>
        </w:rPr>
        <w:t>1</w:t>
      </w:r>
      <w:r w:rsidRPr="00951967">
        <w:rPr>
          <w:rFonts w:ascii="Tahoma" w:hAnsi="Tahoma" w:cs="Tahoma"/>
        </w:rPr>
        <w:t xml:space="preserve"> настоящих Условий</w:t>
      </w:r>
      <w:r w:rsidRPr="00951967">
        <w:rPr>
          <w:rFonts w:ascii="Tahoma" w:hAnsi="Tahoma" w:cs="Tahoma"/>
          <w:strike/>
          <w:lang w:eastAsia="en-US"/>
        </w:rPr>
        <w:t xml:space="preserve">, </w:t>
      </w:r>
    </w:p>
    <w:p w:rsidR="00346F6C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1.19.1. Части II Правил торгов:</w:t>
      </w:r>
    </w:p>
    <w:p w:rsidR="00AA53BC" w:rsidRPr="00A874FB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ОФЗ - с кодом расчетов Y1;</w:t>
      </w:r>
    </w:p>
    <w:p w:rsidR="00AA53BC" w:rsidRPr="00A874FB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>2.</w:t>
      </w:r>
    </w:p>
    <w:p w:rsidR="00AA53BC" w:rsidRPr="00A874FB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A874FB">
        <w:rPr>
          <w:rFonts w:ascii="Tahoma" w:hAnsi="Tahoma" w:cs="Tahoma"/>
          <w:sz w:val="24"/>
          <w:szCs w:val="24"/>
        </w:rPr>
        <w:t>.</w:t>
      </w:r>
      <w:r w:rsidRPr="00A874FB">
        <w:rPr>
          <w:rFonts w:ascii="Tahoma" w:hAnsi="Tahoma" w:cs="Tahoma"/>
          <w:sz w:val="24"/>
          <w:szCs w:val="24"/>
        </w:rPr>
        <w:t xml:space="preserve"> </w:t>
      </w:r>
    </w:p>
    <w:p w:rsidR="000C04B0" w:rsidRPr="00A874FB" w:rsidRDefault="000C04B0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:rsidR="000C04B0" w:rsidRPr="00A874FB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:rsidR="000C04B0" w:rsidRPr="00A874FB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:rsidR="00AA5FEE" w:rsidRPr="005B1814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</w:rPr>
      </w:pPr>
      <w:r w:rsidRPr="005B1814">
        <w:rPr>
          <w:rFonts w:ascii="Tahoma" w:hAnsi="Tahoma" w:cs="Tahoma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proofErr w:type="spellStart"/>
      <w:r w:rsidRPr="005B1814">
        <w:rPr>
          <w:rFonts w:ascii="Tahoma" w:hAnsi="Tahoma" w:cs="Tahoma"/>
        </w:rPr>
        <w:t>Квал.Инвесторы</w:t>
      </w:r>
      <w:proofErr w:type="spellEnd"/>
      <w:r w:rsidRPr="005B1814">
        <w:rPr>
          <w:rFonts w:ascii="Tahoma" w:hAnsi="Tahoma" w:cs="Tahoma"/>
        </w:rPr>
        <w:t xml:space="preserve"> - РПС», в соответствующей валюте.</w:t>
      </w:r>
    </w:p>
    <w:p w:rsidR="006A7649" w:rsidRPr="00A874FB" w:rsidRDefault="006A7649" w:rsidP="00997200">
      <w:pPr>
        <w:pStyle w:val="Iauiue"/>
        <w:numPr>
          <w:ilvl w:val="1"/>
          <w:numId w:val="11"/>
        </w:numPr>
        <w:spacing w:before="120" w:after="120"/>
        <w:ind w:left="788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A874FB">
        <w:rPr>
          <w:rFonts w:ascii="Tahoma" w:hAnsi="Tahoma" w:cs="Tahoma"/>
          <w:sz w:val="24"/>
          <w:szCs w:val="24"/>
        </w:rPr>
        <w:t xml:space="preserve"> (для код</w:t>
      </w:r>
      <w:r w:rsidR="002E59BF">
        <w:rPr>
          <w:rFonts w:ascii="Tahoma" w:hAnsi="Tahoma" w:cs="Tahoma"/>
          <w:sz w:val="24"/>
          <w:szCs w:val="24"/>
        </w:rPr>
        <w:t>а</w:t>
      </w:r>
      <w:r w:rsidR="00985E93" w:rsidRPr="00A874FB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A874FB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A874FB">
        <w:rPr>
          <w:rFonts w:ascii="Tahoma" w:hAnsi="Tahoma" w:cs="Tahoma"/>
          <w:sz w:val="24"/>
          <w:szCs w:val="24"/>
        </w:rPr>
        <w:t>)</w:t>
      </w:r>
      <w:r w:rsidRPr="00A874FB">
        <w:rPr>
          <w:rFonts w:ascii="Tahoma" w:hAnsi="Tahoma" w:cs="Tahoma"/>
          <w:sz w:val="24"/>
          <w:szCs w:val="24"/>
        </w:rPr>
        <w:t>.</w:t>
      </w:r>
    </w:p>
    <w:p w:rsidR="00885B45" w:rsidRPr="00A874FB" w:rsidRDefault="00C674CB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>: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A874FB">
        <w:rPr>
          <w:rFonts w:ascii="Tahoma" w:hAnsi="Tahoma" w:cs="Tahoma"/>
          <w:sz w:val="24"/>
          <w:szCs w:val="24"/>
        </w:rPr>
        <w:t>п</w:t>
      </w:r>
      <w:r w:rsidR="00AD4C1E" w:rsidRPr="00A874FB">
        <w:rPr>
          <w:rFonts w:ascii="Tahoma" w:hAnsi="Tahoma" w:cs="Tahoma"/>
          <w:sz w:val="24"/>
          <w:szCs w:val="24"/>
        </w:rPr>
        <w:t>унктов</w:t>
      </w:r>
      <w:r w:rsidR="004D323F" w:rsidRPr="00A874FB">
        <w:rPr>
          <w:rFonts w:ascii="Tahoma" w:hAnsi="Tahoma" w:cs="Tahoma"/>
          <w:sz w:val="24"/>
          <w:szCs w:val="24"/>
        </w:rPr>
        <w:t xml:space="preserve"> 2 и 3 </w:t>
      </w:r>
      <w:r w:rsidR="00FE3723" w:rsidRPr="00A874FB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A874FB">
        <w:rPr>
          <w:rFonts w:ascii="Tahoma" w:hAnsi="Tahoma" w:cs="Tahoma"/>
          <w:sz w:val="24"/>
          <w:szCs w:val="24"/>
        </w:rPr>
        <w:t>Условий</w:t>
      </w:r>
      <w:r w:rsidRPr="00A874FB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основных торгов;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Режим основных торгов»;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 Т+»;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«РИИ2 -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«РПС с ЦК»;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– РПС с ЦК»;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A874FB" w:rsidRDefault="00C674CB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:rsidR="00C674CB" w:rsidRPr="00A874F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 государственных облигаций внешних облигационных займов Российской Федерации (далее – ГОВОЗ РФ), а также за исключением облигаций федерального займа Министерства финансов Российской Федерации (далее – ОФЗ) и купонных облигаций Банка России (далее – КОБР), 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:rsidR="00C674CB" w:rsidRPr="00A874FB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>
        <w:rPr>
          <w:rFonts w:ascii="Tahoma" w:hAnsi="Tahoma" w:cs="Tahoma"/>
          <w:sz w:val="24"/>
          <w:szCs w:val="24"/>
        </w:rPr>
        <w:t xml:space="preserve">. </w:t>
      </w:r>
      <w:r w:rsidRPr="00A874FB">
        <w:rPr>
          <w:rFonts w:ascii="Tahoma" w:hAnsi="Tahoma" w:cs="Tahoma"/>
          <w:sz w:val="24"/>
          <w:szCs w:val="24"/>
        </w:rPr>
        <w:t xml:space="preserve"> </w:t>
      </w:r>
      <w:r w:rsidR="00710E50">
        <w:rPr>
          <w:rFonts w:ascii="Tahoma" w:hAnsi="Tahoma" w:cs="Tahoma"/>
          <w:sz w:val="24"/>
          <w:szCs w:val="24"/>
        </w:rPr>
        <w:t>Д</w:t>
      </w:r>
      <w:r w:rsidR="00710E50" w:rsidRPr="00A874FB">
        <w:rPr>
          <w:rFonts w:ascii="Tahoma" w:hAnsi="Tahoma" w:cs="Tahoma"/>
          <w:sz w:val="24"/>
          <w:szCs w:val="24"/>
        </w:rPr>
        <w:t xml:space="preserve">ля ГОВОЗ РФ и иных облигаций, номинированных в иностранной валюте </w:t>
      </w:r>
      <w:r w:rsidRPr="00A874FB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 в Режимах торгов РЕПО определяется с точностью до 6-и знаков после запятой</w:t>
      </w:r>
      <w:r w:rsidR="00F3361D" w:rsidRPr="00A874FB">
        <w:rPr>
          <w:rFonts w:ascii="Tahoma" w:hAnsi="Tahoma" w:cs="Tahoma"/>
          <w:sz w:val="24"/>
          <w:szCs w:val="24"/>
        </w:rPr>
        <w:t>.</w:t>
      </w:r>
    </w:p>
    <w:p w:rsidR="00C674CB" w:rsidRPr="00A874FB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Величина шага Ставки РЕПО в Режимах торгов РЕПО с ЦК с расчетами в российских рублях и китайских юанях устанавливается равной 0,01 (ноль целых одна сотая) процента годовых.</w:t>
      </w:r>
    </w:p>
    <w:p w:rsidR="009B7D10" w:rsidRPr="00A874FB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Величина шага Ставки РЕПО в Режимах торгов РЕПО с ЦК с расчетами в иностранной валюте, отличной от китайского юаня, устанавливается равной 0,0001 (ноль целых одна десятитысячная) процента годовых.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РЕПО» и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Ставка РЕПО в Режимах торгов «РЕПО с Банком России: Аукцион РЕПО» и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:rsidR="00C674CB" w:rsidRPr="00A874FB" w:rsidRDefault="00C674CB" w:rsidP="00997200">
      <w:pPr>
        <w:pStyle w:val="Iauiue"/>
        <w:widowControl w:val="0"/>
        <w:numPr>
          <w:ilvl w:val="1"/>
          <w:numId w:val="11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A874FB">
        <w:rPr>
          <w:rFonts w:ascii="Tahoma" w:hAnsi="Tahoma" w:cs="Tahoma"/>
          <w:sz w:val="24"/>
          <w:szCs w:val="24"/>
        </w:rPr>
        <w:t>в</w:t>
      </w:r>
      <w:r w:rsidRPr="00A874FB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. </w:t>
      </w:r>
      <w:r w:rsidR="00EF056A" w:rsidRPr="00A874FB">
        <w:rPr>
          <w:rFonts w:ascii="Tahoma" w:hAnsi="Tahoma" w:cs="Tahoma"/>
          <w:sz w:val="24"/>
          <w:szCs w:val="24"/>
        </w:rPr>
        <w:t>2</w:t>
      </w:r>
      <w:r w:rsidRPr="00A874FB">
        <w:rPr>
          <w:rFonts w:ascii="Tahoma" w:hAnsi="Tahoma" w:cs="Tahoma"/>
          <w:sz w:val="24"/>
          <w:szCs w:val="24"/>
        </w:rPr>
        <w:t>.2-</w:t>
      </w:r>
      <w:r w:rsidR="00EF056A" w:rsidRPr="00A874FB">
        <w:rPr>
          <w:rFonts w:ascii="Tahoma" w:hAnsi="Tahoma" w:cs="Tahoma"/>
          <w:sz w:val="24"/>
          <w:szCs w:val="24"/>
        </w:rPr>
        <w:t>2</w:t>
      </w:r>
      <w:r w:rsidRPr="00A874FB">
        <w:rPr>
          <w:rFonts w:ascii="Tahoma" w:hAnsi="Tahoma" w:cs="Tahoma"/>
          <w:sz w:val="24"/>
          <w:szCs w:val="24"/>
        </w:rPr>
        <w:t>.</w:t>
      </w:r>
      <w:r w:rsidR="00EF056A" w:rsidRPr="00A874FB">
        <w:rPr>
          <w:rFonts w:ascii="Tahoma" w:hAnsi="Tahoma" w:cs="Tahoma"/>
          <w:sz w:val="24"/>
          <w:szCs w:val="24"/>
        </w:rPr>
        <w:t>9</w:t>
      </w:r>
      <w:r w:rsidRPr="00A874FB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A874FB">
        <w:rPr>
          <w:rFonts w:ascii="Tahoma" w:hAnsi="Tahoma" w:cs="Tahoma"/>
          <w:sz w:val="24"/>
          <w:szCs w:val="24"/>
        </w:rPr>
        <w:t>Условий</w:t>
      </w:r>
      <w:r w:rsidRPr="00A874FB">
        <w:rPr>
          <w:rFonts w:ascii="Tahoma" w:hAnsi="Tahoma" w:cs="Tahoma"/>
          <w:sz w:val="24"/>
          <w:szCs w:val="24"/>
        </w:rPr>
        <w:t xml:space="preserve">. </w:t>
      </w:r>
    </w:p>
    <w:p w:rsidR="003E7DC4" w:rsidRPr="00A874FB" w:rsidRDefault="003E7DC4" w:rsidP="00997200">
      <w:pPr>
        <w:pStyle w:val="Iauiue"/>
        <w:widowControl w:val="0"/>
        <w:numPr>
          <w:ilvl w:val="0"/>
          <w:numId w:val="11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соответствии с п</w:t>
      </w:r>
      <w:r w:rsidR="004D323F" w:rsidRPr="00A874FB">
        <w:rPr>
          <w:rFonts w:ascii="Tahoma" w:hAnsi="Tahoma" w:cs="Tahoma"/>
          <w:sz w:val="24"/>
          <w:szCs w:val="24"/>
        </w:rPr>
        <w:t>.</w:t>
      </w:r>
      <w:r w:rsidRPr="00A874FB">
        <w:rPr>
          <w:rFonts w:ascii="Tahoma" w:hAnsi="Tahoma" w:cs="Tahoma"/>
          <w:sz w:val="24"/>
          <w:szCs w:val="24"/>
        </w:rPr>
        <w:t xml:space="preserve"> 1.8.2</w:t>
      </w:r>
      <w:r w:rsidR="004D323F" w:rsidRPr="00A874FB">
        <w:rPr>
          <w:rFonts w:ascii="Tahoma" w:hAnsi="Tahoma" w:cs="Tahoma"/>
          <w:sz w:val="24"/>
          <w:szCs w:val="24"/>
        </w:rPr>
        <w:t xml:space="preserve"> и п.</w:t>
      </w:r>
      <w:r w:rsidRPr="00A874FB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:rsidR="003E7DC4" w:rsidRPr="00A874FB" w:rsidRDefault="003E7DC4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>
        <w:rPr>
          <w:rFonts w:ascii="Tahoma" w:hAnsi="Tahoma" w:cs="Tahoma"/>
          <w:sz w:val="24"/>
          <w:szCs w:val="24"/>
        </w:rPr>
        <w:t>облигаций</w:t>
      </w:r>
      <w:r w:rsidRPr="00A874FB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>. 1.</w:t>
      </w:r>
      <w:r w:rsidR="00B8337E" w:rsidRPr="00A874FB">
        <w:rPr>
          <w:rFonts w:ascii="Tahoma" w:hAnsi="Tahoma" w:cs="Tahoma"/>
          <w:sz w:val="24"/>
          <w:szCs w:val="24"/>
        </w:rPr>
        <w:t>11</w:t>
      </w:r>
      <w:r w:rsidRPr="00A874FB">
        <w:rPr>
          <w:rFonts w:ascii="Tahoma" w:hAnsi="Tahoma" w:cs="Tahoma"/>
          <w:sz w:val="24"/>
          <w:szCs w:val="24"/>
        </w:rPr>
        <w:t>.1 Условий.</w:t>
      </w:r>
    </w:p>
    <w:p w:rsidR="003E7DC4" w:rsidRPr="00A874FB" w:rsidRDefault="003E7DC4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>
        <w:rPr>
          <w:rFonts w:ascii="Tahoma" w:hAnsi="Tahoma" w:cs="Tahoma"/>
          <w:sz w:val="24"/>
          <w:szCs w:val="24"/>
        </w:rPr>
        <w:t>облигациями</w:t>
      </w:r>
      <w:r w:rsidRPr="00A874FB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8337E" w:rsidRPr="00A874FB">
        <w:rPr>
          <w:rFonts w:ascii="Tahoma" w:hAnsi="Tahoma" w:cs="Tahoma"/>
          <w:sz w:val="24"/>
          <w:szCs w:val="24"/>
        </w:rPr>
        <w:t>8</w:t>
      </w:r>
      <w:r w:rsidR="00710E50">
        <w:rPr>
          <w:rFonts w:ascii="Tahoma" w:hAnsi="Tahoma" w:cs="Tahoma"/>
          <w:sz w:val="24"/>
          <w:szCs w:val="24"/>
        </w:rPr>
        <w:t>-О</w:t>
      </w:r>
      <w:r w:rsidRPr="00A874FB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A874FB">
        <w:rPr>
          <w:rFonts w:ascii="Tahoma" w:hAnsi="Tahoma" w:cs="Tahoma"/>
          <w:sz w:val="24"/>
          <w:szCs w:val="24"/>
        </w:rPr>
        <w:t>им</w:t>
      </w:r>
      <w:r w:rsidRPr="00A874FB">
        <w:rPr>
          <w:rFonts w:ascii="Tahoma" w:hAnsi="Tahoma" w:cs="Tahoma"/>
          <w:sz w:val="24"/>
          <w:szCs w:val="24"/>
        </w:rPr>
        <w:t xml:space="preserve"> </w:t>
      </w:r>
      <w:r w:rsidR="00F60D59" w:rsidRPr="00A874FB">
        <w:rPr>
          <w:rFonts w:ascii="Tahoma" w:hAnsi="Tahoma" w:cs="Tahoma"/>
          <w:sz w:val="24"/>
          <w:szCs w:val="24"/>
        </w:rPr>
        <w:t>Условиям</w:t>
      </w:r>
      <w:r w:rsidRPr="00A874FB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:rsidR="004D323F" w:rsidRPr="00A874FB" w:rsidRDefault="004D323F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A874FB">
        <w:rPr>
          <w:rFonts w:ascii="Tahoma" w:hAnsi="Tahoma" w:cs="Tahoma"/>
          <w:sz w:val="24"/>
          <w:szCs w:val="24"/>
        </w:rPr>
        <w:t>пп</w:t>
      </w:r>
      <w:proofErr w:type="spellEnd"/>
      <w:r w:rsidRPr="00A874FB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:rsidR="00425B7A" w:rsidRPr="00A874FB" w:rsidRDefault="00425B7A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:rsidR="00A8024F" w:rsidRPr="00A874FB" w:rsidRDefault="00A8024F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основных торгов;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Режим основных торгов».</w:t>
      </w:r>
    </w:p>
    <w:p w:rsidR="00A8024F" w:rsidRPr="00A874FB" w:rsidRDefault="00A8024F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переговорных сделок (РПС);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«РИИ2 -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«Облигации Д -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«Анонимный РПС»;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:rsidR="00A8024F" w:rsidRPr="00A874FB" w:rsidRDefault="00A8024F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РЕПО»;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«Аукцион РЕПО»;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»;</w:t>
      </w:r>
    </w:p>
    <w:p w:rsidR="00A8024F" w:rsidRPr="00A874FB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РЕПО».</w:t>
      </w:r>
    </w:p>
    <w:p w:rsidR="00A51FCC" w:rsidRPr="00A874FB" w:rsidRDefault="00A51FCC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основных торгов, кроме Режима торгов «Облигации Д - Режим основных торгов», лимит отклонения цены облигаций: </w:t>
      </w:r>
      <w:r w:rsidRPr="00A874FB">
        <w:rPr>
          <w:rFonts w:ascii="Tahoma" w:hAnsi="Tahoma" w:cs="Tahoma"/>
          <w:sz w:val="24"/>
          <w:szCs w:val="24"/>
        </w:rPr>
        <w:sym w:font="Symbol" w:char="F0B1"/>
      </w:r>
      <w:r w:rsidRPr="00A874FB">
        <w:rPr>
          <w:rFonts w:ascii="Tahoma" w:hAnsi="Tahoma" w:cs="Tahoma"/>
          <w:sz w:val="24"/>
          <w:szCs w:val="24"/>
        </w:rPr>
        <w:t>40%.</w:t>
      </w:r>
    </w:p>
    <w:p w:rsidR="00AA2775" w:rsidRPr="00A874FB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Режиме торгов «Облигации Д - Режим основных торгов» лимит отклонения цены облигаций: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A874FB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переговорных сделок, кроме Режима торгов «Облигации Д - РПС» и Режима торгов «Исполнение обязательств по срочным контрактам», лимит отклонения цены облигаций: </w:t>
      </w:r>
      <w:r w:rsidRPr="00A874FB">
        <w:rPr>
          <w:rFonts w:ascii="Tahoma" w:hAnsi="Tahoma" w:cs="Tahoma"/>
          <w:sz w:val="24"/>
          <w:szCs w:val="24"/>
        </w:rPr>
        <w:sym w:font="Symbol" w:char="F0B1"/>
      </w:r>
      <w:r w:rsidRPr="00A874FB">
        <w:rPr>
          <w:rFonts w:ascii="Tahoma" w:hAnsi="Tahoma" w:cs="Tahoma"/>
          <w:sz w:val="24"/>
          <w:szCs w:val="24"/>
        </w:rPr>
        <w:t>40%.</w:t>
      </w:r>
    </w:p>
    <w:p w:rsidR="00AA2775" w:rsidRPr="00A874FB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торгов «Облигации Д - РПС» лимит отклонения цены облигаций: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:rsidR="00AA2775" w:rsidRPr="00A874FB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A874FB">
        <w:rPr>
          <w:rFonts w:ascii="Tahoma" w:hAnsi="Tahoma" w:cs="Tahoma"/>
          <w:sz w:val="24"/>
          <w:szCs w:val="24"/>
        </w:rPr>
        <w:t xml:space="preserve">   </w:t>
      </w:r>
      <w:r w:rsidRPr="00A874FB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:rsidR="00AA2775" w:rsidRPr="00A874FB" w:rsidRDefault="00AA2775" w:rsidP="00997200">
      <w:pPr>
        <w:pStyle w:val="Iauiue"/>
        <w:widowControl w:val="0"/>
        <w:numPr>
          <w:ilvl w:val="2"/>
          <w:numId w:val="11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В Режимах торгов РЕПО, кроме режимов торгов «Аукцион РЕПО», «РЕПО с Банком России: Аукцион РЕПО» и «РЕПО с Банком России: </w:t>
      </w:r>
      <w:proofErr w:type="spellStart"/>
      <w:proofErr w:type="gramStart"/>
      <w:r w:rsidRPr="00A874FB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A874FB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:rsidR="00AA2775" w:rsidRPr="00A874FB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:rsidR="00AA2775" w:rsidRPr="00A874FB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:rsidR="00655125" w:rsidRPr="00A874FB" w:rsidRDefault="00655125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Устан</w:t>
      </w:r>
      <w:r w:rsidR="00B07CFB" w:rsidRPr="00A874FB">
        <w:rPr>
          <w:rFonts w:ascii="Tahoma" w:hAnsi="Tahoma" w:cs="Tahoma"/>
          <w:sz w:val="24"/>
          <w:szCs w:val="24"/>
        </w:rPr>
        <w:t>авливается</w:t>
      </w:r>
      <w:r w:rsidRPr="00A874FB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основных торгов и Режимах переговорных сделок в первый день их обращения в Системе торгов: </w:t>
      </w:r>
      <w:r w:rsidRPr="00A874FB">
        <w:rPr>
          <w:rFonts w:ascii="Tahoma" w:hAnsi="Tahoma" w:cs="Tahoma"/>
          <w:sz w:val="24"/>
          <w:szCs w:val="24"/>
        </w:rPr>
        <w:sym w:font="Symbol" w:char="F0B1"/>
      </w:r>
      <w:r w:rsidRPr="00A874FB">
        <w:rPr>
          <w:rFonts w:ascii="Tahoma" w:hAnsi="Tahoma" w:cs="Tahoma"/>
          <w:sz w:val="24"/>
          <w:szCs w:val="24"/>
        </w:rPr>
        <w:t>20%.</w:t>
      </w:r>
    </w:p>
    <w:p w:rsidR="00655125" w:rsidRPr="00A874FB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:rsidR="003D3F03" w:rsidRPr="00A874FB" w:rsidRDefault="003D3F03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режимах торгов: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Режим основных торгов Т+»;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«РПС с ЦК»;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A874FB">
        <w:rPr>
          <w:rFonts w:ascii="Tahoma" w:hAnsi="Tahoma" w:cs="Tahoma"/>
          <w:sz w:val="24"/>
          <w:szCs w:val="24"/>
        </w:rPr>
        <w:t>Квал.Инвесторы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- РПС с ЦК»;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:rsidR="003D3F03" w:rsidRPr="00A874FB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:rsidR="003D3F03" w:rsidRPr="00A874FB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:rsidR="003D3F03" w:rsidRPr="00A874FB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:rsidR="009E35E3" w:rsidRPr="00A874FB" w:rsidRDefault="009E35E3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:rsidR="005D0EB2" w:rsidRPr="00A874FB" w:rsidRDefault="005D0EB2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Расчетная цена </w:t>
      </w:r>
      <w:r w:rsidR="00710E50">
        <w:rPr>
          <w:rFonts w:ascii="Tahoma" w:hAnsi="Tahoma" w:cs="Tahoma"/>
          <w:sz w:val="24"/>
          <w:szCs w:val="24"/>
        </w:rPr>
        <w:t>облигации</w:t>
      </w:r>
      <w:r w:rsidRPr="00A874FB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:rsidR="005D0EB2" w:rsidRPr="00A874FB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>
        <w:rPr>
          <w:rFonts w:ascii="Tahoma" w:hAnsi="Tahoma" w:cs="Tahoma"/>
          <w:sz w:val="24"/>
          <w:szCs w:val="24"/>
        </w:rPr>
        <w:t>для этой облигации</w:t>
      </w:r>
      <w:r w:rsidRPr="00A874FB">
        <w:rPr>
          <w:rFonts w:ascii="Tahoma" w:hAnsi="Tahoma" w:cs="Tahoma"/>
          <w:sz w:val="24"/>
          <w:szCs w:val="24"/>
        </w:rPr>
        <w:t>.</w:t>
      </w:r>
    </w:p>
    <w:p w:rsidR="005D0EB2" w:rsidRPr="00A874FB" w:rsidRDefault="005D0EB2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:rsidR="00B8337E" w:rsidRPr="00A874FB" w:rsidRDefault="00B8337E" w:rsidP="00997200">
      <w:pPr>
        <w:pStyle w:val="Iauiue"/>
        <w:widowControl w:val="0"/>
        <w:numPr>
          <w:ilvl w:val="1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В соответствии с пунктами 1.2.20 и 1.3.5 Части I Правил торгов устанавливается, что в случае:</w:t>
      </w:r>
    </w:p>
    <w:p w:rsidR="00B8337E" w:rsidRPr="00A874FB" w:rsidRDefault="00B8337E" w:rsidP="00997200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A874FB">
        <w:rPr>
          <w:rFonts w:ascii="Tahoma" w:hAnsi="Tahoma" w:cs="Tahoma"/>
          <w:color w:val="000000"/>
          <w:sz w:val="24"/>
          <w:szCs w:val="24"/>
        </w:rPr>
        <w:t xml:space="preserve"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Приложение к настоящим Условиям </w:t>
      </w:r>
      <w:r w:rsidRPr="00A874FB">
        <w:rPr>
          <w:rFonts w:ascii="Tahoma" w:hAnsi="Tahoma" w:cs="Tahoma"/>
          <w:sz w:val="24"/>
          <w:szCs w:val="24"/>
        </w:rPr>
        <w:t>(далее – Приложение)</w:t>
      </w:r>
      <w:r w:rsidRPr="00A874FB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:rsidR="00B8337E" w:rsidRPr="00A874FB" w:rsidRDefault="00B8337E" w:rsidP="00997200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Приложение, содержащее сведения о соответствующих ценных бумагах. Данные изменения подлежат внесению в Приложение в дату прекращения торгов ценными бумагами, указанную в приказе о прекращении торгов.</w:t>
      </w:r>
    </w:p>
    <w:p w:rsidR="00B8337E" w:rsidRPr="00A874FB" w:rsidRDefault="00B8337E" w:rsidP="00997200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A874FB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A874FB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A874FB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:rsidR="00116DC3" w:rsidRPr="00A874FB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DC7C0B" w:rsidRPr="00A874FB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BC06EE" w:rsidRPr="00A874FB" w:rsidRDefault="00BC06EE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63237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5876D1" w:rsidRPr="00A874FB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A874FB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:rsidR="005876D1" w:rsidRPr="00A874FB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:rsidR="000C04B0" w:rsidRPr="00A874FB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A874FB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:rsidR="000C04B0" w:rsidRPr="00A874FB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A874FB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:rsidR="000C04B0" w:rsidRPr="00A874FB" w:rsidRDefault="000C04B0" w:rsidP="000C04B0">
      <w:pPr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</w:t>
      </w:r>
      <w:r w:rsidRPr="00A874FB">
        <w:rPr>
          <w:rFonts w:ascii="Tahoma" w:hAnsi="Tahoma" w:cs="Tahoma"/>
          <w:sz w:val="24"/>
          <w:szCs w:val="24"/>
        </w:rPr>
        <w:tab/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A874FB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A874FB">
        <w:rPr>
          <w:rFonts w:ascii="Tahoma" w:hAnsi="Tahoma" w:cs="Tahoma"/>
          <w:sz w:val="24"/>
          <w:szCs w:val="24"/>
        </w:rPr>
        <w:t xml:space="preserve">  - цена облигации;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A874FB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A874FB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</w:t>
      </w:r>
      <w:r w:rsidRPr="00A874FB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A874FB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A874FB" w:rsidRDefault="000C04B0" w:rsidP="000C04B0">
      <w:pPr>
        <w:rPr>
          <w:rFonts w:ascii="Tahoma" w:hAnsi="Tahoma" w:cs="Tahoma"/>
        </w:rPr>
      </w:pP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A874FB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3E2D68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:rsidR="000C04B0" w:rsidRPr="00A874FB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:rsidR="000C04B0" w:rsidRPr="00A874FB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A874FB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3DCE39F2" wp14:editId="2B91DF7E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A874FB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A874FB">
        <w:rPr>
          <w:rFonts w:ascii="Tahoma" w:hAnsi="Tahoma" w:cs="Tahoma"/>
          <w:color w:val="FFFF00"/>
        </w:rPr>
        <w:t>,</w:t>
      </w:r>
      <w:r w:rsidRPr="00A874FB">
        <w:rPr>
          <w:rFonts w:ascii="Tahoma" w:hAnsi="Tahoma" w:cs="Tahoma"/>
          <w:color w:val="FFFF00"/>
        </w:rPr>
        <w:tab/>
      </w:r>
      <w:r w:rsidRPr="00A874FB">
        <w:rPr>
          <w:rFonts w:ascii="Tahoma" w:hAnsi="Tahoma" w:cs="Tahoma"/>
        </w:rPr>
        <w:t>,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где           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P</w:t>
      </w:r>
      <w:r w:rsidRPr="00A874FB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A</w:t>
      </w:r>
      <w:r w:rsidRPr="00A874FB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N</w:t>
      </w:r>
      <w:r w:rsidRPr="00A874FB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C</w:t>
      </w:r>
      <w:r w:rsidRPr="00A874FB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 </w:t>
      </w:r>
      <w:r w:rsidRPr="00A874FB">
        <w:rPr>
          <w:rFonts w:ascii="Tahoma" w:hAnsi="Tahoma" w:cs="Tahoma"/>
          <w:sz w:val="24"/>
          <w:szCs w:val="24"/>
          <w:lang w:val="en-US"/>
        </w:rPr>
        <w:t>t</w:t>
      </w:r>
      <w:r w:rsidRPr="00A874FB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A874FB">
        <w:rPr>
          <w:rFonts w:ascii="Tahoma" w:hAnsi="Tahoma" w:cs="Tahoma"/>
          <w:sz w:val="24"/>
          <w:szCs w:val="24"/>
          <w:lang w:val="en-US"/>
        </w:rPr>
        <w:t>Y</w:t>
      </w:r>
      <w:r w:rsidRPr="00A874FB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:rsidR="000C04B0" w:rsidRPr="00A874FB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A874FB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:rsidR="000C04B0" w:rsidRPr="00A874FB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  <w:r w:rsidRPr="00A874FB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</w:t>
      </w:r>
      <w:proofErr w:type="spellStart"/>
      <w:r w:rsidRPr="00A874FB">
        <w:rPr>
          <w:rFonts w:ascii="Tahoma" w:hAnsi="Tahoma" w:cs="Tahoma"/>
          <w:sz w:val="24"/>
          <w:szCs w:val="24"/>
        </w:rPr>
        <w:t>дюрация</w:t>
      </w:r>
      <w:proofErr w:type="spellEnd"/>
      <w:r w:rsidRPr="00A874FB">
        <w:rPr>
          <w:rFonts w:ascii="Tahoma" w:hAnsi="Tahoma" w:cs="Tahoma"/>
          <w:sz w:val="24"/>
          <w:szCs w:val="24"/>
        </w:rPr>
        <w:t>) рассчитывается по следующей формуле: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</w:rPr>
      </w:pPr>
    </w:p>
    <w:p w:rsidR="000C04B0" w:rsidRPr="00A874FB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A874FB">
        <w:rPr>
          <w:rFonts w:ascii="Tahoma" w:hAnsi="Tahoma" w:cs="Tahoma"/>
          <w:sz w:val="24"/>
          <w:szCs w:val="24"/>
        </w:rPr>
        <w:t>где</w:t>
      </w:r>
      <w:r w:rsidRPr="00A874FB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A874FB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A874FB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:rsidR="000C04B0" w:rsidRPr="00A874FB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:rsidR="000C04B0" w:rsidRPr="00A874FB" w:rsidRDefault="003E2D68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A874FB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:rsidR="000C04B0" w:rsidRPr="00A874FB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A874FB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:rsidR="000C04B0" w:rsidRPr="00A874FB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A874FB">
        <w:rPr>
          <w:rFonts w:ascii="Tahoma" w:hAnsi="Tahoma" w:cs="Tahoma"/>
          <w:sz w:val="24"/>
          <w:szCs w:val="24"/>
        </w:rPr>
        <w:t>Дюрация</w:t>
      </w:r>
      <w:proofErr w:type="spellEnd"/>
      <w:r w:rsidRPr="00A874FB">
        <w:rPr>
          <w:rFonts w:ascii="Tahoma" w:hAnsi="Tahoma" w:cs="Tahoma"/>
          <w:sz w:val="24"/>
          <w:szCs w:val="24"/>
        </w:rPr>
        <w:t xml:space="preserve"> выпуска государственных краткосрочных бескупонных облигаций соответствует сроку до погашения выпуска.</w:t>
      </w:r>
    </w:p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rPr>
          <w:rFonts w:ascii="Tahoma" w:hAnsi="Tahoma" w:cs="Tahoma"/>
          <w:sz w:val="24"/>
          <w:szCs w:val="24"/>
          <w:highlight w:val="yellow"/>
        </w:rPr>
      </w:pPr>
      <w:r w:rsidRPr="00A874FB">
        <w:rPr>
          <w:rFonts w:ascii="Tahoma" w:hAnsi="Tahoma" w:cs="Tahoma"/>
          <w:sz w:val="24"/>
          <w:szCs w:val="24"/>
          <w:highlight w:val="yellow"/>
        </w:rPr>
        <w:br w:type="page"/>
      </w:r>
    </w:p>
    <w:p w:rsidR="00C263D3" w:rsidRPr="00A874FB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A874FB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A874FB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:rsidR="00FC3A83" w:rsidRPr="00A874FB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A874FB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ВТБ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VTB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XS0772509484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XS0544362972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ЕвроХим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Глобал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Инвестментс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EuroChem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Global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Investments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XS0863583281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Новатэк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Евраз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Груп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EVRAZ GROUP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XS0359381331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XS0424860947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XS0357281558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ПСБ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Финанс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XS0851672435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Alliance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Oil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Company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Ltd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РСХБ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RSHB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XS0796426228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ГПБ Евробонд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GPB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Eurobond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XS0848137708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ОЭфСиБи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Nomos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Plc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XS0776121062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Альфа Бонд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Ишьюанс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Alfa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Bond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Issuance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plc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XS0620695204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TCS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Рашн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Стэндарт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Russian Standard Finance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XS0841677387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GPN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Capital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XS0924078453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XS0879105558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Полюс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Голд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Интернешенл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Polyus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Gold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International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XS0922301717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A874FB">
              <w:rPr>
                <w:rFonts w:ascii="Tahoma" w:hAnsi="Tahoma" w:cs="Tahoma"/>
                <w:color w:val="000000"/>
              </w:rPr>
              <w:t>ПиЭсБи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PSB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Finance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XS1086084123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ВПБ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Фандинг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Лимитед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 xml:space="preserve">VPB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Funding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A874FB">
              <w:rPr>
                <w:rFonts w:ascii="Tahoma" w:hAnsi="Tahoma" w:cs="Tahoma"/>
                <w:color w:val="000000"/>
              </w:rPr>
              <w:t>Limited</w:t>
            </w:r>
            <w:proofErr w:type="spellEnd"/>
            <w:r w:rsidRPr="00A874FB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XS0993279958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29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XS0089375249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XS0114288789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XS0504954347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XS0564087541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XS0767469827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XS0971721377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39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Внешэкономбанк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VNESHECONOMBANK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RU000A0JULN3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RU000A0JTYG2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RU000A0JSAV3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RU000A0JSAZ4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RU000A0JSB06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49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RU000A0JSB14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RU000A0JT7N5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RU000A0JT7P0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RU000A0JTYD9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RU000A0JTYE7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RU000A0JTYF4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55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A874FB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A874FB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:rsidR="00C263D3" w:rsidRPr="00A874FB" w:rsidRDefault="00C263D3" w:rsidP="00C263D3">
      <w:pPr>
        <w:rPr>
          <w:rFonts w:ascii="Tahoma" w:hAnsi="Tahoma" w:cs="Tahoma"/>
        </w:rPr>
      </w:pPr>
    </w:p>
    <w:p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10"/>
      <w:footerReference w:type="default" r:id="rId11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D68" w:rsidRDefault="003E2D68">
      <w:r>
        <w:separator/>
      </w:r>
    </w:p>
  </w:endnote>
  <w:endnote w:type="continuationSeparator" w:id="0">
    <w:p w:rsidR="003E2D68" w:rsidRDefault="003E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:rsidR="00963A5C" w:rsidRDefault="00963A5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1DE1">
          <w:rPr>
            <w:noProof/>
          </w:rPr>
          <w:t>21</w:t>
        </w:r>
        <w:r>
          <w:fldChar w:fldCharType="end"/>
        </w:r>
      </w:p>
    </w:sdtContent>
  </w:sdt>
  <w:p w:rsidR="00963A5C" w:rsidRDefault="00963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D68" w:rsidRDefault="003E2D68">
      <w:r>
        <w:separator/>
      </w:r>
    </w:p>
  </w:footnote>
  <w:footnote w:type="continuationSeparator" w:id="0">
    <w:p w:rsidR="003E2D68" w:rsidRDefault="003E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5C" w:rsidRDefault="00963A5C">
    <w:pPr>
      <w:pStyle w:val="a5"/>
    </w:pPr>
  </w:p>
  <w:p w:rsidR="00963A5C" w:rsidRDefault="00963A5C">
    <w:pPr>
      <w:pStyle w:val="a5"/>
    </w:pPr>
  </w:p>
  <w:p w:rsidR="00963A5C" w:rsidRDefault="00963A5C">
    <w:pPr>
      <w:pStyle w:val="a5"/>
    </w:pPr>
  </w:p>
  <w:p w:rsidR="00963A5C" w:rsidRDefault="00963A5C">
    <w:pPr>
      <w:pStyle w:val="a5"/>
    </w:pPr>
  </w:p>
  <w:p w:rsidR="00963A5C" w:rsidRDefault="00963A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5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6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9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1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6E637AC"/>
    <w:multiLevelType w:val="hybridMultilevel"/>
    <w:tmpl w:val="F392DF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19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3" w15:restartNumberingAfterBreak="0">
    <w:nsid w:val="751F6968"/>
    <w:multiLevelType w:val="multilevel"/>
    <w:tmpl w:val="0BC4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24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21"/>
  </w:num>
  <w:num w:numId="5">
    <w:abstractNumId w:val="20"/>
  </w:num>
  <w:num w:numId="6">
    <w:abstractNumId w:val="24"/>
  </w:num>
  <w:num w:numId="7">
    <w:abstractNumId w:val="19"/>
  </w:num>
  <w:num w:numId="8">
    <w:abstractNumId w:val="17"/>
  </w:num>
  <w:num w:numId="9">
    <w:abstractNumId w:val="11"/>
  </w:num>
  <w:num w:numId="10">
    <w:abstractNumId w:val="6"/>
  </w:num>
  <w:num w:numId="11">
    <w:abstractNumId w:val="15"/>
  </w:num>
  <w:num w:numId="12">
    <w:abstractNumId w:val="23"/>
  </w:num>
  <w:num w:numId="13">
    <w:abstractNumId w:val="18"/>
  </w:num>
  <w:num w:numId="14">
    <w:abstractNumId w:val="5"/>
  </w:num>
  <w:num w:numId="15">
    <w:abstractNumId w:val="4"/>
  </w:num>
  <w:num w:numId="16">
    <w:abstractNumId w:val="13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4"/>
  </w:num>
  <w:num w:numId="22">
    <w:abstractNumId w:val="22"/>
  </w:num>
  <w:num w:numId="23">
    <w:abstractNumId w:val="3"/>
  </w:num>
  <w:num w:numId="24">
    <w:abstractNumId w:val="0"/>
  </w:num>
  <w:num w:numId="2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148EB"/>
    <w:rsid w:val="00037C07"/>
    <w:rsid w:val="00042127"/>
    <w:rsid w:val="00042E93"/>
    <w:rsid w:val="00053C92"/>
    <w:rsid w:val="00057421"/>
    <w:rsid w:val="00067205"/>
    <w:rsid w:val="00074671"/>
    <w:rsid w:val="000907E7"/>
    <w:rsid w:val="000974D5"/>
    <w:rsid w:val="000A4E9C"/>
    <w:rsid w:val="000C04B0"/>
    <w:rsid w:val="000E372D"/>
    <w:rsid w:val="000E5E8D"/>
    <w:rsid w:val="000E60CD"/>
    <w:rsid w:val="000F3D38"/>
    <w:rsid w:val="000F45AD"/>
    <w:rsid w:val="00110F3A"/>
    <w:rsid w:val="0011566A"/>
    <w:rsid w:val="00115C3E"/>
    <w:rsid w:val="00116DC3"/>
    <w:rsid w:val="001174C2"/>
    <w:rsid w:val="00132679"/>
    <w:rsid w:val="00134EB0"/>
    <w:rsid w:val="001358C1"/>
    <w:rsid w:val="00136F6C"/>
    <w:rsid w:val="00146A4B"/>
    <w:rsid w:val="00146AE4"/>
    <w:rsid w:val="00157DA5"/>
    <w:rsid w:val="00157F18"/>
    <w:rsid w:val="001627AB"/>
    <w:rsid w:val="001641AA"/>
    <w:rsid w:val="00164613"/>
    <w:rsid w:val="001708AD"/>
    <w:rsid w:val="00172072"/>
    <w:rsid w:val="001778A0"/>
    <w:rsid w:val="001A2E0E"/>
    <w:rsid w:val="001A50A6"/>
    <w:rsid w:val="001A68F5"/>
    <w:rsid w:val="001B6128"/>
    <w:rsid w:val="001C12A4"/>
    <w:rsid w:val="001D4FE7"/>
    <w:rsid w:val="001E1268"/>
    <w:rsid w:val="001E5877"/>
    <w:rsid w:val="001F5184"/>
    <w:rsid w:val="001F59E0"/>
    <w:rsid w:val="00203AC2"/>
    <w:rsid w:val="00204C7A"/>
    <w:rsid w:val="002065C6"/>
    <w:rsid w:val="002155DA"/>
    <w:rsid w:val="002210FF"/>
    <w:rsid w:val="00221830"/>
    <w:rsid w:val="00231782"/>
    <w:rsid w:val="002317F7"/>
    <w:rsid w:val="00250197"/>
    <w:rsid w:val="00253D3F"/>
    <w:rsid w:val="00265412"/>
    <w:rsid w:val="00280555"/>
    <w:rsid w:val="00280936"/>
    <w:rsid w:val="0028278B"/>
    <w:rsid w:val="00284BF0"/>
    <w:rsid w:val="00297E45"/>
    <w:rsid w:val="002A3C03"/>
    <w:rsid w:val="002A4F37"/>
    <w:rsid w:val="002B164E"/>
    <w:rsid w:val="002D3234"/>
    <w:rsid w:val="002E5974"/>
    <w:rsid w:val="002E59BF"/>
    <w:rsid w:val="002F75D0"/>
    <w:rsid w:val="003055A5"/>
    <w:rsid w:val="0031623C"/>
    <w:rsid w:val="00323260"/>
    <w:rsid w:val="00333A57"/>
    <w:rsid w:val="0033570E"/>
    <w:rsid w:val="00346F6C"/>
    <w:rsid w:val="00357753"/>
    <w:rsid w:val="00366030"/>
    <w:rsid w:val="00366794"/>
    <w:rsid w:val="00394B5E"/>
    <w:rsid w:val="00394CCF"/>
    <w:rsid w:val="003965F4"/>
    <w:rsid w:val="003A268C"/>
    <w:rsid w:val="003A3314"/>
    <w:rsid w:val="003A6F7C"/>
    <w:rsid w:val="003B0926"/>
    <w:rsid w:val="003B0BE0"/>
    <w:rsid w:val="003B4697"/>
    <w:rsid w:val="003B7DC3"/>
    <w:rsid w:val="003D06B7"/>
    <w:rsid w:val="003D3F03"/>
    <w:rsid w:val="003E2D68"/>
    <w:rsid w:val="003E49FA"/>
    <w:rsid w:val="003E6DD0"/>
    <w:rsid w:val="003E7DC4"/>
    <w:rsid w:val="003F4752"/>
    <w:rsid w:val="0042070A"/>
    <w:rsid w:val="00425B7A"/>
    <w:rsid w:val="00432C65"/>
    <w:rsid w:val="004415F5"/>
    <w:rsid w:val="00452D1C"/>
    <w:rsid w:val="00453E12"/>
    <w:rsid w:val="00475035"/>
    <w:rsid w:val="00475460"/>
    <w:rsid w:val="004924B7"/>
    <w:rsid w:val="004A343B"/>
    <w:rsid w:val="004B7D9C"/>
    <w:rsid w:val="004C0695"/>
    <w:rsid w:val="004C62BC"/>
    <w:rsid w:val="004C70A0"/>
    <w:rsid w:val="004D2A54"/>
    <w:rsid w:val="004D323F"/>
    <w:rsid w:val="004F4BB3"/>
    <w:rsid w:val="004F77A3"/>
    <w:rsid w:val="004F797A"/>
    <w:rsid w:val="00506B7D"/>
    <w:rsid w:val="00521C3F"/>
    <w:rsid w:val="00522E37"/>
    <w:rsid w:val="00526D7B"/>
    <w:rsid w:val="0054447E"/>
    <w:rsid w:val="00546C46"/>
    <w:rsid w:val="00563237"/>
    <w:rsid w:val="005651C0"/>
    <w:rsid w:val="005666D1"/>
    <w:rsid w:val="00567A50"/>
    <w:rsid w:val="00572BF7"/>
    <w:rsid w:val="00577B14"/>
    <w:rsid w:val="005876D1"/>
    <w:rsid w:val="00591348"/>
    <w:rsid w:val="005B15DF"/>
    <w:rsid w:val="005B17FE"/>
    <w:rsid w:val="005B7A6E"/>
    <w:rsid w:val="005C0B26"/>
    <w:rsid w:val="005C4E43"/>
    <w:rsid w:val="005D0EB2"/>
    <w:rsid w:val="005D6358"/>
    <w:rsid w:val="005E0010"/>
    <w:rsid w:val="005E7CE0"/>
    <w:rsid w:val="006113DA"/>
    <w:rsid w:val="00613ADE"/>
    <w:rsid w:val="00616F16"/>
    <w:rsid w:val="00625547"/>
    <w:rsid w:val="00636442"/>
    <w:rsid w:val="00640A0C"/>
    <w:rsid w:val="00640C8E"/>
    <w:rsid w:val="006470E9"/>
    <w:rsid w:val="00655026"/>
    <w:rsid w:val="00655125"/>
    <w:rsid w:val="00666F98"/>
    <w:rsid w:val="00671E7E"/>
    <w:rsid w:val="006A7649"/>
    <w:rsid w:val="006C44F4"/>
    <w:rsid w:val="006C7799"/>
    <w:rsid w:val="006D59F6"/>
    <w:rsid w:val="006D6C0E"/>
    <w:rsid w:val="0071044F"/>
    <w:rsid w:val="00710E50"/>
    <w:rsid w:val="007176BB"/>
    <w:rsid w:val="00721ABC"/>
    <w:rsid w:val="007223D1"/>
    <w:rsid w:val="00725367"/>
    <w:rsid w:val="00727188"/>
    <w:rsid w:val="00740FA2"/>
    <w:rsid w:val="007550EA"/>
    <w:rsid w:val="007563AC"/>
    <w:rsid w:val="0076685F"/>
    <w:rsid w:val="00771FC2"/>
    <w:rsid w:val="00784B9E"/>
    <w:rsid w:val="00784E10"/>
    <w:rsid w:val="00792335"/>
    <w:rsid w:val="00795BC6"/>
    <w:rsid w:val="007A0F6A"/>
    <w:rsid w:val="007A2E3E"/>
    <w:rsid w:val="007A3FAB"/>
    <w:rsid w:val="007C5C17"/>
    <w:rsid w:val="007C70BE"/>
    <w:rsid w:val="007F5034"/>
    <w:rsid w:val="00804E11"/>
    <w:rsid w:val="00807782"/>
    <w:rsid w:val="00815AE4"/>
    <w:rsid w:val="00817C42"/>
    <w:rsid w:val="008212AB"/>
    <w:rsid w:val="00827B82"/>
    <w:rsid w:val="0084113A"/>
    <w:rsid w:val="00846C6B"/>
    <w:rsid w:val="008620D0"/>
    <w:rsid w:val="00870818"/>
    <w:rsid w:val="00881A11"/>
    <w:rsid w:val="008827E4"/>
    <w:rsid w:val="00885B45"/>
    <w:rsid w:val="00885EEE"/>
    <w:rsid w:val="008A1AE5"/>
    <w:rsid w:val="008A6970"/>
    <w:rsid w:val="008A78D6"/>
    <w:rsid w:val="008B0A0D"/>
    <w:rsid w:val="008C4F5A"/>
    <w:rsid w:val="008D2D7D"/>
    <w:rsid w:val="008E6078"/>
    <w:rsid w:val="008F32CD"/>
    <w:rsid w:val="008F5745"/>
    <w:rsid w:val="008F7750"/>
    <w:rsid w:val="00905C09"/>
    <w:rsid w:val="009069B5"/>
    <w:rsid w:val="00911760"/>
    <w:rsid w:val="00912C7F"/>
    <w:rsid w:val="00942987"/>
    <w:rsid w:val="00951967"/>
    <w:rsid w:val="00952C5E"/>
    <w:rsid w:val="009631C0"/>
    <w:rsid w:val="00963A5C"/>
    <w:rsid w:val="0096779A"/>
    <w:rsid w:val="00985E93"/>
    <w:rsid w:val="00986742"/>
    <w:rsid w:val="00990E08"/>
    <w:rsid w:val="00992CD8"/>
    <w:rsid w:val="00994DBA"/>
    <w:rsid w:val="00994F7A"/>
    <w:rsid w:val="00997200"/>
    <w:rsid w:val="009A026B"/>
    <w:rsid w:val="009A79B9"/>
    <w:rsid w:val="009B5904"/>
    <w:rsid w:val="009B7D10"/>
    <w:rsid w:val="009D4890"/>
    <w:rsid w:val="009E35E3"/>
    <w:rsid w:val="009E5921"/>
    <w:rsid w:val="009E73ED"/>
    <w:rsid w:val="009F5EC4"/>
    <w:rsid w:val="00A205B7"/>
    <w:rsid w:val="00A25ADB"/>
    <w:rsid w:val="00A334BA"/>
    <w:rsid w:val="00A36E68"/>
    <w:rsid w:val="00A40BA4"/>
    <w:rsid w:val="00A433F3"/>
    <w:rsid w:val="00A51FCC"/>
    <w:rsid w:val="00A52E6F"/>
    <w:rsid w:val="00A53956"/>
    <w:rsid w:val="00A61B17"/>
    <w:rsid w:val="00A64A4A"/>
    <w:rsid w:val="00A77C5A"/>
    <w:rsid w:val="00A8024F"/>
    <w:rsid w:val="00A84AAF"/>
    <w:rsid w:val="00A874FB"/>
    <w:rsid w:val="00A97366"/>
    <w:rsid w:val="00AA19AF"/>
    <w:rsid w:val="00AA2775"/>
    <w:rsid w:val="00AA53BC"/>
    <w:rsid w:val="00AA5FEE"/>
    <w:rsid w:val="00AA615C"/>
    <w:rsid w:val="00AC0677"/>
    <w:rsid w:val="00AD4B51"/>
    <w:rsid w:val="00AD4C1E"/>
    <w:rsid w:val="00AE158A"/>
    <w:rsid w:val="00AF1F3B"/>
    <w:rsid w:val="00B07CFB"/>
    <w:rsid w:val="00B13366"/>
    <w:rsid w:val="00B31573"/>
    <w:rsid w:val="00B328F6"/>
    <w:rsid w:val="00B35886"/>
    <w:rsid w:val="00B36E69"/>
    <w:rsid w:val="00B556DA"/>
    <w:rsid w:val="00B67F5D"/>
    <w:rsid w:val="00B7001D"/>
    <w:rsid w:val="00B710F7"/>
    <w:rsid w:val="00B77EEA"/>
    <w:rsid w:val="00B80543"/>
    <w:rsid w:val="00B820AC"/>
    <w:rsid w:val="00B8337E"/>
    <w:rsid w:val="00BA0B58"/>
    <w:rsid w:val="00BA1C45"/>
    <w:rsid w:val="00BA3432"/>
    <w:rsid w:val="00BA6E69"/>
    <w:rsid w:val="00BB1DA1"/>
    <w:rsid w:val="00BB4FAF"/>
    <w:rsid w:val="00BC06EE"/>
    <w:rsid w:val="00BC1593"/>
    <w:rsid w:val="00BE04DE"/>
    <w:rsid w:val="00C1415D"/>
    <w:rsid w:val="00C23686"/>
    <w:rsid w:val="00C263D3"/>
    <w:rsid w:val="00C336F3"/>
    <w:rsid w:val="00C519A3"/>
    <w:rsid w:val="00C674CB"/>
    <w:rsid w:val="00C852FF"/>
    <w:rsid w:val="00C87A09"/>
    <w:rsid w:val="00CA3CF6"/>
    <w:rsid w:val="00CA4B7C"/>
    <w:rsid w:val="00CA65A5"/>
    <w:rsid w:val="00CB260C"/>
    <w:rsid w:val="00CB2815"/>
    <w:rsid w:val="00CB61AC"/>
    <w:rsid w:val="00CC2676"/>
    <w:rsid w:val="00CD2768"/>
    <w:rsid w:val="00CD5674"/>
    <w:rsid w:val="00CE4A04"/>
    <w:rsid w:val="00CF2778"/>
    <w:rsid w:val="00CF791E"/>
    <w:rsid w:val="00D21DE1"/>
    <w:rsid w:val="00D3419C"/>
    <w:rsid w:val="00D565ED"/>
    <w:rsid w:val="00D7054C"/>
    <w:rsid w:val="00D97C6C"/>
    <w:rsid w:val="00DA1810"/>
    <w:rsid w:val="00DA6D46"/>
    <w:rsid w:val="00DB18CD"/>
    <w:rsid w:val="00DB43C1"/>
    <w:rsid w:val="00DC0C62"/>
    <w:rsid w:val="00DC2AAC"/>
    <w:rsid w:val="00DC43BB"/>
    <w:rsid w:val="00DC46B1"/>
    <w:rsid w:val="00DC4E63"/>
    <w:rsid w:val="00DC7C0B"/>
    <w:rsid w:val="00DD3BAD"/>
    <w:rsid w:val="00DD534A"/>
    <w:rsid w:val="00E02B68"/>
    <w:rsid w:val="00E23970"/>
    <w:rsid w:val="00E27C87"/>
    <w:rsid w:val="00E337A3"/>
    <w:rsid w:val="00E359A5"/>
    <w:rsid w:val="00E37839"/>
    <w:rsid w:val="00E50322"/>
    <w:rsid w:val="00E63B03"/>
    <w:rsid w:val="00E70E6E"/>
    <w:rsid w:val="00E71F38"/>
    <w:rsid w:val="00E8180B"/>
    <w:rsid w:val="00E8583E"/>
    <w:rsid w:val="00E94CBE"/>
    <w:rsid w:val="00E95B0F"/>
    <w:rsid w:val="00EA0F0B"/>
    <w:rsid w:val="00EA1888"/>
    <w:rsid w:val="00EA6831"/>
    <w:rsid w:val="00ED7F9E"/>
    <w:rsid w:val="00EE0FBE"/>
    <w:rsid w:val="00EE65FF"/>
    <w:rsid w:val="00EE6A5E"/>
    <w:rsid w:val="00EF056A"/>
    <w:rsid w:val="00EF3E78"/>
    <w:rsid w:val="00EF51C3"/>
    <w:rsid w:val="00F0337D"/>
    <w:rsid w:val="00F13E82"/>
    <w:rsid w:val="00F176B9"/>
    <w:rsid w:val="00F20E66"/>
    <w:rsid w:val="00F2511B"/>
    <w:rsid w:val="00F3361D"/>
    <w:rsid w:val="00F35E62"/>
    <w:rsid w:val="00F46A43"/>
    <w:rsid w:val="00F47084"/>
    <w:rsid w:val="00F60D59"/>
    <w:rsid w:val="00F65770"/>
    <w:rsid w:val="00F663B3"/>
    <w:rsid w:val="00FA09A3"/>
    <w:rsid w:val="00FA4067"/>
    <w:rsid w:val="00FA4517"/>
    <w:rsid w:val="00FB4993"/>
    <w:rsid w:val="00FB6550"/>
    <w:rsid w:val="00FC3A83"/>
    <w:rsid w:val="00FC3AB6"/>
    <w:rsid w:val="00FC5796"/>
    <w:rsid w:val="00FD0538"/>
    <w:rsid w:val="00FE0DD1"/>
    <w:rsid w:val="00FE3723"/>
    <w:rsid w:val="00FF455D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F7F74-E65E-4DA1-86F3-006C20F4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7F3C8-38FC-4685-96ED-90D9EF321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6974</Words>
  <Characters>39752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2019-11-25T06:15:00Z</cp:lastPrinted>
  <dcterms:created xsi:type="dcterms:W3CDTF">2020-03-02T13:51:00Z</dcterms:created>
  <dcterms:modified xsi:type="dcterms:W3CDTF">2020-03-02T13:51:00Z</dcterms:modified>
</cp:coreProperties>
</file>