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8751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 w:rsidRPr="00834274">
        <w:rPr>
          <w:rFonts w:ascii="Arial" w:hAnsi="Arial" w:cs="Arial"/>
          <w:sz w:val="24"/>
          <w:szCs w:val="24"/>
        </w:rPr>
        <w:t>УТВЕРЖДЕН</w:t>
      </w:r>
      <w:r>
        <w:rPr>
          <w:rFonts w:ascii="Arial" w:hAnsi="Arial" w:cs="Arial"/>
          <w:sz w:val="24"/>
          <w:szCs w:val="24"/>
        </w:rPr>
        <w:t>Ы</w:t>
      </w:r>
    </w:p>
    <w:p w14:paraId="5EA71440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4AC0D5C2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2D54CA4" w14:textId="07C19CD4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2BEA0F43" w14:textId="76A5EFEF" w:rsidR="00651046" w:rsidRPr="0011566A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BB538C" w:rsidRPr="002F5048">
        <w:rPr>
          <w:rFonts w:ascii="Tahoma" w:hAnsi="Tahoma" w:cs="Tahoma"/>
          <w:sz w:val="24"/>
          <w:szCs w:val="24"/>
        </w:rPr>
        <w:t>202</w:t>
      </w:r>
      <w:r w:rsidR="00BB538C">
        <w:rPr>
          <w:rFonts w:ascii="Tahoma" w:hAnsi="Tahoma" w:cs="Tahoma"/>
          <w:sz w:val="24"/>
          <w:szCs w:val="24"/>
        </w:rPr>
        <w:t>2</w:t>
      </w:r>
      <w:r w:rsidRPr="002F5048">
        <w:rPr>
          <w:rFonts w:ascii="Tahoma" w:hAnsi="Tahoma" w:cs="Tahoma"/>
          <w:sz w:val="24"/>
          <w:szCs w:val="24"/>
        </w:rPr>
        <w:t>-</w:t>
      </w:r>
      <w:r w:rsidR="00BB538C">
        <w:rPr>
          <w:rFonts w:ascii="Tahoma" w:hAnsi="Tahoma" w:cs="Tahoma"/>
          <w:sz w:val="24"/>
          <w:szCs w:val="24"/>
        </w:rPr>
        <w:t>199</w:t>
      </w:r>
      <w:r w:rsidR="00BB538C" w:rsidRPr="002F5048">
        <w:rPr>
          <w:rFonts w:ascii="Tahoma" w:hAnsi="Tahoma" w:cs="Tahoma"/>
          <w:sz w:val="24"/>
          <w:szCs w:val="24"/>
        </w:rPr>
        <w:t xml:space="preserve"> </w:t>
      </w:r>
      <w:r w:rsidRPr="002F5048">
        <w:rPr>
          <w:rFonts w:ascii="Tahoma" w:hAnsi="Tahoma" w:cs="Tahoma"/>
          <w:sz w:val="24"/>
          <w:szCs w:val="24"/>
        </w:rPr>
        <w:t>от</w:t>
      </w:r>
      <w:r w:rsidR="007926AA" w:rsidRPr="002F5048">
        <w:rPr>
          <w:rFonts w:ascii="Tahoma" w:hAnsi="Tahoma" w:cs="Tahoma"/>
          <w:sz w:val="24"/>
          <w:szCs w:val="24"/>
        </w:rPr>
        <w:t xml:space="preserve"> </w:t>
      </w:r>
      <w:r w:rsidR="00BB538C">
        <w:rPr>
          <w:rFonts w:ascii="Tahoma" w:hAnsi="Tahoma" w:cs="Tahoma"/>
          <w:sz w:val="24"/>
          <w:szCs w:val="24"/>
        </w:rPr>
        <w:t>01</w:t>
      </w:r>
      <w:r w:rsidR="00D67952" w:rsidRPr="002F5048">
        <w:rPr>
          <w:rFonts w:ascii="Tahoma" w:hAnsi="Tahoma" w:cs="Tahoma"/>
          <w:sz w:val="24"/>
          <w:szCs w:val="24"/>
        </w:rPr>
        <w:t>.</w:t>
      </w:r>
      <w:r w:rsidR="00BB538C">
        <w:rPr>
          <w:rFonts w:ascii="Tahoma" w:hAnsi="Tahoma" w:cs="Tahoma"/>
          <w:sz w:val="24"/>
          <w:szCs w:val="24"/>
        </w:rPr>
        <w:t>02</w:t>
      </w:r>
      <w:r w:rsidR="00BD323B" w:rsidRPr="002F5048">
        <w:rPr>
          <w:rFonts w:ascii="Tahoma" w:hAnsi="Tahoma" w:cs="Tahoma"/>
          <w:sz w:val="24"/>
          <w:szCs w:val="24"/>
        </w:rPr>
        <w:t>.</w:t>
      </w:r>
      <w:r w:rsidR="00BB538C" w:rsidRPr="002F5048">
        <w:rPr>
          <w:rFonts w:ascii="Tahoma" w:hAnsi="Tahoma" w:cs="Tahoma"/>
          <w:sz w:val="24"/>
          <w:szCs w:val="24"/>
        </w:rPr>
        <w:t>202</w:t>
      </w:r>
      <w:r w:rsidR="00BB538C">
        <w:rPr>
          <w:rFonts w:ascii="Tahoma" w:hAnsi="Tahoma" w:cs="Tahoma"/>
          <w:sz w:val="24"/>
          <w:szCs w:val="24"/>
        </w:rPr>
        <w:t>2</w:t>
      </w:r>
      <w:bookmarkStart w:id="0" w:name="_GoBack"/>
      <w:bookmarkEnd w:id="0"/>
      <w:r w:rsidR="00BB538C" w:rsidRPr="0011566A">
        <w:rPr>
          <w:rFonts w:ascii="Arial" w:hAnsi="Arial" w:cs="Arial"/>
          <w:sz w:val="24"/>
          <w:szCs w:val="24"/>
        </w:rPr>
        <w:t xml:space="preserve"> </w:t>
      </w:r>
    </w:p>
    <w:p w14:paraId="6F831FA0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14613A68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10A763A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9669618" w14:textId="77777777" w:rsidR="00C263D3" w:rsidRPr="005C5A27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5C5A27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5C5A27">
        <w:rPr>
          <w:rFonts w:ascii="Tahoma" w:hAnsi="Tahoma" w:cs="Tahoma"/>
          <w:caps/>
          <w:sz w:val="22"/>
          <w:szCs w:val="22"/>
        </w:rPr>
        <w:t>НА РЫНКЕ</w:t>
      </w:r>
      <w:r w:rsidRPr="005C5A27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5C5A27">
        <w:rPr>
          <w:rFonts w:ascii="Tahoma" w:hAnsi="Tahoma" w:cs="Tahoma"/>
          <w:caps/>
          <w:sz w:val="22"/>
          <w:szCs w:val="22"/>
        </w:rPr>
        <w:t>ОБЛИГАЦИЙ</w:t>
      </w:r>
      <w:r w:rsidRPr="005C5A27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14:paraId="2F98D67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5691CA1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C7C0E32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E399FD5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43B57809" w14:textId="03CA2C6B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22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декабря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27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октября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11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27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октября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11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1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22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декабря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1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2" w:name="_Hlk51833116"/>
      <w:r w:rsidR="000536E7">
        <w:rPr>
          <w:rFonts w:ascii="Tahoma" w:hAnsi="Tahoma" w:cs="Tahoma"/>
          <w:sz w:val="24"/>
          <w:szCs w:val="24"/>
        </w:rPr>
        <w:t>27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>октября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0536E7">
        <w:rPr>
          <w:rFonts w:ascii="Tahoma" w:hAnsi="Tahoma" w:cs="Tahoma"/>
          <w:sz w:val="24"/>
          <w:szCs w:val="24"/>
        </w:rPr>
        <w:t>11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2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D2721B">
        <w:rPr>
          <w:rFonts w:ascii="Tahoma" w:hAnsi="Tahoma" w:cs="Tahoma"/>
          <w:sz w:val="24"/>
          <w:szCs w:val="24"/>
        </w:rPr>
        <w:t xml:space="preserve"> и</w:t>
      </w:r>
      <w:r w:rsidR="000536E7">
        <w:rPr>
          <w:rFonts w:ascii="Tahoma" w:hAnsi="Tahoma" w:cs="Tahoma"/>
          <w:sz w:val="24"/>
          <w:szCs w:val="24"/>
        </w:rPr>
        <w:t xml:space="preserve"> </w:t>
      </w:r>
      <w:r w:rsidR="000536E7" w:rsidRPr="00D2721B">
        <w:rPr>
          <w:rFonts w:ascii="Tahoma" w:hAnsi="Tahoma" w:cs="Tahoma"/>
          <w:sz w:val="24"/>
          <w:szCs w:val="24"/>
        </w:rPr>
        <w:t xml:space="preserve">Части IV </w:t>
      </w:r>
      <w:r w:rsidRPr="005C5A27">
        <w:rPr>
          <w:rFonts w:ascii="Tahoma" w:hAnsi="Tahoma" w:cs="Tahoma"/>
          <w:sz w:val="24"/>
          <w:szCs w:val="24"/>
        </w:rPr>
        <w:t>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14:paraId="23CAB9F4" w14:textId="291D5AD1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A205B7" w:rsidRPr="005C5A27">
        <w:rPr>
          <w:rFonts w:ascii="Tahoma" w:hAnsi="Tahoma" w:cs="Tahoma"/>
          <w:sz w:val="24"/>
          <w:szCs w:val="24"/>
        </w:rPr>
        <w:t xml:space="preserve">), 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334C8076" w14:textId="7B67CACD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18E8F8E6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lastRenderedPageBreak/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3071ED99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3CA154B7" w14:textId="07FA82A0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143BBD0F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14:paraId="2BA3BA9C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22AE8C96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433ACB50" w14:textId="7FBA21C5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Биржей  от  НКО АО НРД в соответствии с соглашением с Платежным </w:t>
      </w:r>
      <w:proofErr w:type="spellStart"/>
      <w:r w:rsidRPr="005C5A27">
        <w:rPr>
          <w:rFonts w:ascii="Tahoma" w:hAnsi="Tahoma" w:cs="Tahoma"/>
          <w:sz w:val="24"/>
          <w:szCs w:val="24"/>
        </w:rPr>
        <w:t>агенто</w:t>
      </w:r>
      <w:r w:rsidR="0018038B">
        <w:rPr>
          <w:rFonts w:ascii="Tahoma" w:hAnsi="Tahoma" w:cs="Tahoma"/>
          <w:sz w:val="24"/>
          <w:szCs w:val="24"/>
        </w:rPr>
        <w:t>н</w:t>
      </w:r>
      <w:r w:rsidRPr="005C5A27">
        <w:rPr>
          <w:rFonts w:ascii="Tahoma" w:hAnsi="Tahoma" w:cs="Tahoma"/>
          <w:sz w:val="24"/>
          <w:szCs w:val="24"/>
        </w:rPr>
        <w:t>м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41969155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4852387A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154D8EEB" w14:textId="71E2FFE5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B7084BE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012B5BDA" w14:textId="54391B6E"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</w:t>
      </w:r>
      <w:r w:rsidR="00CB1BBB" w:rsidRPr="00CC0857">
        <w:rPr>
          <w:rFonts w:ascii="Tahoma" w:hAnsi="Tahoma" w:cs="Tahoma"/>
          <w:sz w:val="24"/>
          <w:szCs w:val="24"/>
        </w:rPr>
        <w:lastRenderedPageBreak/>
        <w:t xml:space="preserve">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14:paraId="776F6FC4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091FAD8A" w14:textId="7F892F97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Анонимный РПС,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1F514567" w14:textId="1FC55485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14:paraId="2B15D571" w14:textId="1B8B26A9"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</w:t>
      </w:r>
      <w:r w:rsidR="00EE4BDD">
        <w:rPr>
          <w:rFonts w:ascii="Tahoma" w:hAnsi="Tahoma" w:cs="Tahoma"/>
          <w:sz w:val="24"/>
          <w:szCs w:val="24"/>
        </w:rPr>
        <w:t>, а также кроме облигаций,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EE4BDD">
        <w:rPr>
          <w:rFonts w:ascii="Tahoma" w:hAnsi="Tahoma" w:cs="Tahoma"/>
          <w:sz w:val="24"/>
          <w:szCs w:val="24"/>
        </w:rPr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погашен</w:t>
      </w:r>
      <w:r w:rsidR="004927F9">
        <w:rPr>
          <w:rFonts w:ascii="Tahoma" w:hAnsi="Tahoma" w:cs="Tahoma"/>
          <w:sz w:val="24"/>
          <w:szCs w:val="24"/>
        </w:rPr>
        <w:t>ие</w:t>
      </w:r>
      <w:r w:rsidR="004927F9" w:rsidRPr="004927F9">
        <w:rPr>
          <w:rFonts w:ascii="Tahoma" w:hAnsi="Tahoma" w:cs="Tahoma"/>
          <w:sz w:val="24"/>
          <w:szCs w:val="24"/>
        </w:rPr>
        <w:t xml:space="preserve"> части основного долга (амортизационн</w:t>
      </w:r>
      <w:r w:rsidR="004927F9">
        <w:rPr>
          <w:rFonts w:ascii="Tahoma" w:hAnsi="Tahoma" w:cs="Tahoma"/>
          <w:sz w:val="24"/>
          <w:szCs w:val="24"/>
        </w:rPr>
        <w:t>ая</w:t>
      </w:r>
      <w:r w:rsidR="004927F9" w:rsidRPr="004927F9">
        <w:rPr>
          <w:rFonts w:ascii="Tahoma" w:hAnsi="Tahoma" w:cs="Tahoma"/>
          <w:sz w:val="24"/>
          <w:szCs w:val="24"/>
        </w:rPr>
        <w:t xml:space="preserve"> выплат</w:t>
      </w:r>
      <w:r w:rsidR="004927F9">
        <w:rPr>
          <w:rFonts w:ascii="Tahoma" w:hAnsi="Tahoma" w:cs="Tahoma"/>
          <w:sz w:val="24"/>
          <w:szCs w:val="24"/>
        </w:rPr>
        <w:t>а)</w:t>
      </w:r>
      <w:r w:rsidRPr="00913558">
        <w:rPr>
          <w:rFonts w:ascii="Tahoma" w:hAnsi="Tahoma" w:cs="Tahoma"/>
          <w:sz w:val="24"/>
          <w:szCs w:val="24"/>
        </w:rPr>
        <w:t>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B45749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45749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14:paraId="102832FF" w14:textId="638F2459"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="00E2469D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4927F9" w:rsidRPr="004927F9">
        <w:rPr>
          <w:rFonts w:ascii="Tahoma" w:hAnsi="Tahoma" w:cs="Tahoma"/>
          <w:sz w:val="24"/>
          <w:szCs w:val="24"/>
        </w:rPr>
        <w:t xml:space="preserve"> погашение части основного долга (амортизационная выплата</w:t>
      </w:r>
      <w:proofErr w:type="gramStart"/>
      <w:r w:rsidR="004927F9" w:rsidRPr="004927F9">
        <w:rPr>
          <w:rFonts w:ascii="Tahoma" w:hAnsi="Tahoma" w:cs="Tahoma"/>
          <w:sz w:val="24"/>
          <w:szCs w:val="24"/>
        </w:rPr>
        <w:t>)</w:t>
      </w:r>
      <w:r w:rsidR="00BD1A6D">
        <w:rPr>
          <w:rFonts w:ascii="Tahoma" w:hAnsi="Tahoma" w:cs="Tahoma"/>
          <w:sz w:val="24"/>
          <w:szCs w:val="24"/>
        </w:rPr>
        <w:t>,</w:t>
      </w:r>
      <w:r w:rsidR="00E2469D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 проводятся</w:t>
      </w:r>
      <w:proofErr w:type="gramEnd"/>
      <w:r w:rsidRPr="00220B39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14:paraId="713908CC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 xml:space="preserve">известной ПАО Московская Биржа на начало торгового дня даты </w:t>
      </w:r>
      <w:r w:rsidRPr="00B45749">
        <w:rPr>
          <w:rFonts w:ascii="Tahoma" w:hAnsi="Tahoma" w:cs="Tahoma"/>
          <w:sz w:val="24"/>
          <w:szCs w:val="24"/>
        </w:rPr>
        <w:lastRenderedPageBreak/>
        <w:t>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и Анонимный РПС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Анонимный РПС </w:t>
      </w:r>
      <w:r w:rsidRPr="00A817CA">
        <w:rPr>
          <w:rFonts w:ascii="Tahoma" w:hAnsi="Tahoma" w:cs="Tahoma"/>
          <w:sz w:val="24"/>
          <w:szCs w:val="24"/>
        </w:rPr>
        <w:t>и «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341361BC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6994B3A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1E7D96C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17320F20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B66E069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2E04D9D" w14:textId="5092E12E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951967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14:paraId="4EFE8B6A" w14:textId="6330477A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3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163739C7" w14:textId="4632B01B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7B09DF1A" w14:textId="13DFEBE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3"/>
    <w:p w14:paraId="620E5DD8" w14:textId="31C4676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C331131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</w:t>
      </w:r>
      <w:r w:rsidRPr="0044725F">
        <w:rPr>
          <w:rFonts w:ascii="Tahoma" w:hAnsi="Tahoma" w:cs="Tahoma"/>
          <w:szCs w:val="24"/>
        </w:rPr>
        <w:lastRenderedPageBreak/>
        <w:t xml:space="preserve">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22C7478F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91897B9" w14:textId="3AE094DF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09737A1E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BC2AC21" w14:textId="308EBCBA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5C015D68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B693FAA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займа, за исключением ОФЗ-н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и </w:t>
      </w:r>
      <w:r w:rsidRPr="00220B39">
        <w:rPr>
          <w:rFonts w:ascii="Tahoma" w:hAnsi="Tahoma" w:cs="Tahoma"/>
          <w:sz w:val="24"/>
          <w:szCs w:val="24"/>
        </w:rPr>
        <w:t>облигации, номинированные в иностранной валюте,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 xml:space="preserve">Приложения к </w:t>
      </w:r>
      <w:r w:rsidRPr="0044725F">
        <w:rPr>
          <w:rFonts w:ascii="Tahoma" w:hAnsi="Tahoma" w:cs="Tahoma"/>
          <w:sz w:val="24"/>
          <w:szCs w:val="24"/>
        </w:rPr>
        <w:lastRenderedPageBreak/>
        <w:t>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FBC3147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01BB4671" w14:textId="77777777" w:rsidR="007926AA" w:rsidRPr="00913558" w:rsidRDefault="007926AA" w:rsidP="0085702F">
      <w:pPr>
        <w:pStyle w:val="a"/>
        <w:numPr>
          <w:ilvl w:val="0"/>
          <w:numId w:val="32"/>
        </w:numPr>
        <w:spacing w:after="160" w:line="259" w:lineRule="auto"/>
        <w:ind w:left="1418"/>
        <w:jc w:val="left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для облигаций федерального займа, Y2 для остальных облигаций.  </w:t>
      </w:r>
    </w:p>
    <w:p w14:paraId="088A01C5" w14:textId="77777777" w:rsidR="007926AA" w:rsidRPr="00913558" w:rsidRDefault="007926AA" w:rsidP="0085702F">
      <w:pPr>
        <w:pStyle w:val="a"/>
        <w:numPr>
          <w:ilvl w:val="0"/>
          <w:numId w:val="32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14:paraId="31729632" w14:textId="77777777" w:rsidR="007926AA" w:rsidRPr="00913558" w:rsidRDefault="007926AA" w:rsidP="0085702F">
      <w:pPr>
        <w:pStyle w:val="a"/>
        <w:numPr>
          <w:ilvl w:val="0"/>
          <w:numId w:val="32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счёта), Y1-Y7</w:t>
      </w:r>
    </w:p>
    <w:p w14:paraId="7F816520" w14:textId="0AA6D814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2211836C" w14:textId="4B2EA2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14EB9762" w14:textId="78D199C1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D1B5994" w14:textId="7FC2F993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</w:t>
      </w:r>
      <w:r w:rsidR="00624CFA" w:rsidRPr="00624CFA">
        <w:rPr>
          <w:rFonts w:ascii="Tahoma" w:hAnsi="Tahoma" w:cs="Tahoma"/>
          <w:sz w:val="24"/>
          <w:szCs w:val="24"/>
        </w:rPr>
        <w:lastRenderedPageBreak/>
        <w:t xml:space="preserve">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0D48477A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16A0C97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ADC74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80C68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4ECD57D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D08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D0E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39564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F1EC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A6E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B6FF8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05BA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F34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231F92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5A6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A82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D403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FBD4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5FE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090B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F979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3FE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691BE8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A45D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51E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2C1A8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600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495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9A42B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2359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A3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537C95B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D55C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30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20887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45C6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E6E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DF671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CFB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40F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E8EF4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54A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D3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98E73F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002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EF4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2D3E7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4EB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27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6A8D0F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2671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EE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832E42D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9C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DAE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59EF5B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83E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E8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61D4EC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7C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45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44669A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40A4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BF5E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D29634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FFC5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16DA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271CA3C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2AE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978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CF067D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39F1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B567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5E8E46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CC3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788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C371C4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04A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FF71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293BEC1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3AD9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B0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70DAD9A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C34E1" w14:textId="5BA6F0FA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58C0E" w14:textId="2E7780A9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79099B8C" w14:textId="6ABE21BA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0A134DD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4375B529" w14:textId="1ADA2E80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в </w:t>
      </w:r>
      <w:r w:rsidR="00CA7A38" w:rsidRPr="0044725F">
        <w:rPr>
          <w:rFonts w:ascii="Tahoma" w:hAnsi="Tahoma" w:cs="Tahoma"/>
          <w:szCs w:val="24"/>
        </w:rPr>
        <w:t xml:space="preserve">Режиме </w:t>
      </w:r>
      <w:r w:rsidRPr="0044725F">
        <w:rPr>
          <w:rFonts w:ascii="Tahoma" w:hAnsi="Tahoma" w:cs="Tahoma"/>
          <w:szCs w:val="24"/>
        </w:rPr>
        <w:t>торгов «</w:t>
      </w:r>
      <w:r w:rsidR="00BC6D60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Режим основных торгов</w:t>
      </w:r>
      <w:r w:rsidR="00E97CBB" w:rsidRPr="0044725F">
        <w:rPr>
          <w:rFonts w:ascii="Tahoma" w:hAnsi="Tahoma" w:cs="Tahoma"/>
          <w:szCs w:val="24"/>
        </w:rPr>
        <w:t xml:space="preserve"> Т+</w:t>
      </w:r>
      <w:r w:rsidRPr="0044725F">
        <w:rPr>
          <w:rFonts w:ascii="Tahoma" w:hAnsi="Tahoma" w:cs="Tahoma"/>
          <w:szCs w:val="24"/>
        </w:rPr>
        <w:t xml:space="preserve">», «Облигации Д – Режим основных торгов»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r w:rsidR="00BC6D60" w:rsidRPr="0044725F">
        <w:rPr>
          <w:rFonts w:ascii="Tahoma" w:hAnsi="Tahoma" w:cs="Tahoma"/>
          <w:szCs w:val="24"/>
          <w:lang w:val="en-US"/>
        </w:rPr>
        <w:t>Y</w:t>
      </w:r>
      <w:r w:rsidR="00BC6D60" w:rsidRPr="0044725F">
        <w:rPr>
          <w:rFonts w:ascii="Tahoma" w:hAnsi="Tahoma" w:cs="Tahoma"/>
          <w:szCs w:val="24"/>
        </w:rPr>
        <w:t>1</w:t>
      </w:r>
      <w:r w:rsidRPr="0044725F">
        <w:rPr>
          <w:rFonts w:ascii="Tahoma" w:hAnsi="Tahoma" w:cs="Tahoma"/>
          <w:szCs w:val="24"/>
        </w:rPr>
        <w:t>;</w:t>
      </w:r>
    </w:p>
    <w:p w14:paraId="15B3CC8D" w14:textId="29071A6B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переговорных сделок (РПС</w:t>
      </w:r>
      <w:r w:rsidR="00CA7A38" w:rsidRPr="0044725F">
        <w:rPr>
          <w:rFonts w:ascii="Tahoma" w:hAnsi="Tahoma" w:cs="Tahoma"/>
          <w:szCs w:val="24"/>
        </w:rPr>
        <w:t xml:space="preserve">) и Режиме </w:t>
      </w:r>
      <w:r w:rsidRPr="0044725F">
        <w:rPr>
          <w:rFonts w:ascii="Tahoma" w:hAnsi="Tahoma" w:cs="Tahoma"/>
          <w:szCs w:val="24"/>
        </w:rPr>
        <w:t xml:space="preserve">торгов «Облигации Д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РПС», «</w:t>
      </w:r>
      <w:r w:rsidR="00E97CBB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 – T0, B0-B30, Z0;</w:t>
      </w:r>
    </w:p>
    <w:p w14:paraId="2DBAF652" w14:textId="06C7D6A0" w:rsidR="007409DD" w:rsidRPr="0044725F" w:rsidRDefault="007409DD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Cs w:val="24"/>
        </w:rPr>
        <w:t>, Облигации Д – РПС с ЦК</w:t>
      </w:r>
      <w:r w:rsidRPr="0044725F">
        <w:rPr>
          <w:rFonts w:ascii="Tahoma" w:hAnsi="Tahoma" w:cs="Tahoma"/>
          <w:szCs w:val="24"/>
        </w:rPr>
        <w:t xml:space="preserve"> – 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0-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7</w:t>
      </w:r>
    </w:p>
    <w:p w14:paraId="247DB638" w14:textId="6AA2DFA6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Режимах торгов «</w:t>
      </w:r>
      <w:proofErr w:type="spellStart"/>
      <w:r w:rsidR="00F20E66" w:rsidRPr="0044725F">
        <w:rPr>
          <w:rFonts w:ascii="Tahoma" w:hAnsi="Tahoma" w:cs="Tahoma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РЕПО»</w:t>
      </w:r>
      <w:r w:rsidR="00CA7A38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«РЕПО с Банком России: Аукцион РЕПО</w:t>
      </w:r>
      <w:r w:rsidR="00CA7A38" w:rsidRPr="0044725F">
        <w:rPr>
          <w:rFonts w:ascii="Tahoma" w:hAnsi="Tahoma" w:cs="Tahoma"/>
          <w:szCs w:val="24"/>
        </w:rPr>
        <w:t>»</w:t>
      </w:r>
      <w:r w:rsidR="00AE3F3C" w:rsidRPr="0044725F">
        <w:rPr>
          <w:rFonts w:ascii="Tahoma" w:hAnsi="Tahoma" w:cs="Tahoma"/>
          <w:szCs w:val="24"/>
        </w:rPr>
        <w:t>, «Аукцион РЕПО с Банком России: плавающая ставка»</w:t>
      </w:r>
      <w:r w:rsidR="00CA7A38" w:rsidRPr="0044725F">
        <w:rPr>
          <w:rFonts w:ascii="Tahoma" w:hAnsi="Tahoma" w:cs="Tahoma"/>
          <w:szCs w:val="24"/>
        </w:rPr>
        <w:t xml:space="preserve"> и </w:t>
      </w:r>
      <w:r w:rsidRPr="0044725F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44725F">
        <w:rPr>
          <w:rFonts w:ascii="Tahoma" w:hAnsi="Tahoma" w:cs="Tahoma"/>
          <w:szCs w:val="24"/>
        </w:rPr>
        <w:t>фикс.ставка</w:t>
      </w:r>
      <w:proofErr w:type="spellEnd"/>
      <w:r w:rsidRPr="0044725F">
        <w:rPr>
          <w:rFonts w:ascii="Tahoma" w:hAnsi="Tahoma" w:cs="Tahoma"/>
          <w:szCs w:val="24"/>
        </w:rPr>
        <w:t xml:space="preserve">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Cs w:val="24"/>
        </w:rPr>
        <w:t>Rb</w:t>
      </w:r>
      <w:proofErr w:type="spellEnd"/>
      <w:r w:rsidRPr="0044725F">
        <w:rPr>
          <w:rFonts w:ascii="Tahoma" w:hAnsi="Tahoma" w:cs="Tahoma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Cs w:val="24"/>
        </w:rPr>
        <w:t>Sn</w:t>
      </w:r>
      <w:proofErr w:type="spellEnd"/>
      <w:r w:rsidRPr="0044725F">
        <w:rPr>
          <w:rFonts w:ascii="Tahoma" w:hAnsi="Tahoma" w:cs="Tahoma"/>
          <w:szCs w:val="24"/>
        </w:rPr>
        <w:t>, Z0 (кроме внутридневных сроков сделок РЕПО).</w:t>
      </w:r>
    </w:p>
    <w:p w14:paraId="05C4464F" w14:textId="646A8109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0749D17C" w14:textId="0E296114"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проведении торгов ОФЗ с переменным купонным </w:t>
      </w:r>
      <w:proofErr w:type="gramStart"/>
      <w:r>
        <w:rPr>
          <w:rFonts w:ascii="Tahoma" w:hAnsi="Tahoma" w:cs="Tahoma"/>
          <w:sz w:val="24"/>
          <w:szCs w:val="24"/>
        </w:rPr>
        <w:t xml:space="preserve">доходом, 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</w:t>
      </w:r>
      <w:proofErr w:type="gramEnd"/>
      <w:r w:rsidR="004927F9" w:rsidRPr="004927F9">
        <w:rPr>
          <w:rFonts w:ascii="Tahoma" w:hAnsi="Tahoma" w:cs="Tahoma"/>
          <w:sz w:val="24"/>
          <w:szCs w:val="24"/>
        </w:rPr>
        <w:t xml:space="preserve">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14:paraId="35F62830" w14:textId="4FD02D45" w:rsidR="00370447" w:rsidRDefault="00370447" w:rsidP="00370447">
      <w:pPr>
        <w:pStyle w:val="Iauiue"/>
        <w:numPr>
          <w:ilvl w:val="0"/>
          <w:numId w:val="34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AB4238">
        <w:rPr>
          <w:rFonts w:ascii="Tahoma" w:hAnsi="Tahoma" w:cs="Tahoma"/>
          <w:sz w:val="24"/>
          <w:szCs w:val="24"/>
        </w:rPr>
        <w:t>«РЕПО с ЦК - Адресные заявки»</w:t>
      </w:r>
      <w:r>
        <w:rPr>
          <w:rFonts w:ascii="Tahoma" w:hAnsi="Tahoma" w:cs="Tahoma"/>
          <w:sz w:val="24"/>
          <w:szCs w:val="24"/>
        </w:rPr>
        <w:t>,</w:t>
      </w:r>
      <w:r w:rsidRPr="00AB4238">
        <w:rPr>
          <w:rFonts w:ascii="Tahoma" w:hAnsi="Tahoma" w:cs="Tahoma"/>
          <w:sz w:val="24"/>
          <w:szCs w:val="24"/>
        </w:rPr>
        <w:t xml:space="preserve"> «РЕПО с ЦК - Безадресные заявки»</w:t>
      </w:r>
      <w:r>
        <w:rPr>
          <w:rFonts w:ascii="Tahoma" w:hAnsi="Tahoma" w:cs="Tahoma"/>
          <w:sz w:val="24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 w:val="24"/>
          <w:szCs w:val="24"/>
        </w:rPr>
        <w:t xml:space="preserve">определена </w:t>
      </w:r>
      <w:r>
        <w:rPr>
          <w:rFonts w:ascii="Tahoma" w:hAnsi="Tahoma" w:cs="Tahoma"/>
          <w:sz w:val="24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 w:val="24"/>
          <w:szCs w:val="24"/>
        </w:rPr>
        <w:t>с</w:t>
      </w:r>
      <w:r>
        <w:rPr>
          <w:rFonts w:ascii="Tahoma" w:hAnsi="Tahoma" w:cs="Tahoma"/>
          <w:sz w:val="24"/>
          <w:szCs w:val="24"/>
        </w:rPr>
        <w:t xml:space="preserve"> даты заключения сделки;</w:t>
      </w:r>
    </w:p>
    <w:p w14:paraId="3F707E5F" w14:textId="472552AE" w:rsidR="00370447" w:rsidRPr="0044725F" w:rsidRDefault="00370447" w:rsidP="00370447">
      <w:pPr>
        <w:pStyle w:val="Iauiue"/>
        <w:numPr>
          <w:ilvl w:val="0"/>
          <w:numId w:val="34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AB4238">
        <w:rPr>
          <w:rFonts w:ascii="Tahoma" w:hAnsi="Tahoma" w:cs="Tahoma"/>
          <w:sz w:val="24"/>
          <w:szCs w:val="24"/>
        </w:rPr>
        <w:t>«</w:t>
      </w:r>
      <w:proofErr w:type="spellStart"/>
      <w:r w:rsidRPr="00AB4238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 w:val="24"/>
          <w:szCs w:val="24"/>
        </w:rPr>
        <w:t xml:space="preserve"> РЕПО»</w:t>
      </w:r>
      <w:r>
        <w:rPr>
          <w:rFonts w:ascii="Tahoma" w:hAnsi="Tahoma" w:cs="Tahoma"/>
          <w:sz w:val="24"/>
          <w:szCs w:val="24"/>
        </w:rPr>
        <w:t xml:space="preserve">, </w:t>
      </w:r>
      <w:r w:rsidRPr="00E25319">
        <w:rPr>
          <w:rFonts w:ascii="Tahoma" w:hAnsi="Tahoma" w:cs="Tahoma"/>
          <w:sz w:val="24"/>
          <w:szCs w:val="24"/>
        </w:rPr>
        <w:t>«РЕПО с Банком России: Аукцион РЕПО», «Аукцион РЕПО с Банком России: плавающая ставка»</w:t>
      </w:r>
      <w:r>
        <w:rPr>
          <w:rFonts w:ascii="Tahoma" w:hAnsi="Tahoma" w:cs="Tahoma"/>
          <w:sz w:val="24"/>
          <w:szCs w:val="24"/>
        </w:rPr>
        <w:t xml:space="preserve"> и </w:t>
      </w:r>
      <w:r w:rsidRPr="00E25319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Pr="00E25319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E25319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 w:val="24"/>
          <w:szCs w:val="24"/>
        </w:rPr>
        <w:t xml:space="preserve">определена </w:t>
      </w:r>
      <w:r>
        <w:rPr>
          <w:rFonts w:ascii="Tahoma" w:hAnsi="Tahoma" w:cs="Tahoma"/>
          <w:sz w:val="24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 w:val="24"/>
          <w:szCs w:val="24"/>
        </w:rPr>
        <w:t>с</w:t>
      </w:r>
      <w:r>
        <w:rPr>
          <w:rFonts w:ascii="Tahoma" w:hAnsi="Tahoma" w:cs="Tahoma"/>
          <w:sz w:val="24"/>
          <w:szCs w:val="24"/>
        </w:rPr>
        <w:t xml:space="preserve"> даты заключения сделки.</w:t>
      </w:r>
    </w:p>
    <w:p w14:paraId="55C9EE82" w14:textId="3DBC390E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3ECFD8B4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46B9454F" w14:textId="310E266D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>, 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CA4D252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</w:t>
      </w:r>
      <w:r w:rsidRPr="0044725F">
        <w:rPr>
          <w:rFonts w:ascii="Tahoma" w:hAnsi="Tahoma" w:cs="Tahoma"/>
          <w:sz w:val="24"/>
          <w:szCs w:val="24"/>
        </w:rPr>
        <w:lastRenderedPageBreak/>
        <w:t>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14:paraId="713438E1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6CBDD020" w14:textId="5C0DCA17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 и евро с указанием дополнительного реквизита «видимая часть заявки» (айсберг-заявок).</w:t>
      </w:r>
    </w:p>
    <w:p w14:paraId="6A257FD5" w14:textId="1EA0CB9D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9B0014E" w14:textId="0FC9F01E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510D68F8" w14:textId="33CE902D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167DEFAF" w14:textId="315E7A76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108CCE6C" w14:textId="011DFE09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76A73ED0" w14:textId="2D574CC6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09291DA7" w14:textId="45CBE30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39D15C2F" w14:textId="2D1D165B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4FEF5EE0" w14:textId="7568D05C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510E4A0A" w14:textId="7670BD9C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3BA60BBC" w14:textId="1DA4BF5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6C1D00B6" w14:textId="4899E0A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2FB14905" w14:textId="424AFFAE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</w:t>
      </w:r>
      <w:r w:rsidR="00917622" w:rsidRPr="0044725F">
        <w:rPr>
          <w:rFonts w:ascii="Tahoma" w:hAnsi="Tahoma" w:cs="Tahoma"/>
          <w:sz w:val="24"/>
          <w:szCs w:val="24"/>
        </w:rPr>
        <w:lastRenderedPageBreak/>
        <w:t>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3F4B04E1" w14:textId="7DCB6E95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4C2B3E24" w14:textId="003C79B4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762B5C64" w14:textId="05075BE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78844F20" w14:textId="7713918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в Режиме основных торгов </w:t>
      </w:r>
      <w:r w:rsidR="00C65DEB" w:rsidRPr="0044725F">
        <w:rPr>
          <w:rFonts w:ascii="Tahoma" w:hAnsi="Tahoma" w:cs="Tahoma"/>
          <w:sz w:val="24"/>
          <w:szCs w:val="24"/>
        </w:rPr>
        <w:t>Т+</w:t>
      </w:r>
      <w:r w:rsidR="00E02D6D" w:rsidRPr="0044725F">
        <w:rPr>
          <w:rFonts w:ascii="Tahoma" w:hAnsi="Tahoma" w:cs="Tahoma"/>
          <w:sz w:val="24"/>
          <w:szCs w:val="24"/>
        </w:rPr>
        <w:t xml:space="preserve">, Облигации Д – Режим основных торгов, Сектор ПИР – </w:t>
      </w:r>
      <w:r w:rsidR="009A7552" w:rsidRPr="0044725F">
        <w:rPr>
          <w:rFonts w:ascii="Tahoma" w:hAnsi="Tahoma" w:cs="Tahoma"/>
          <w:sz w:val="24"/>
          <w:szCs w:val="24"/>
        </w:rPr>
        <w:t>Р</w:t>
      </w:r>
      <w:r w:rsidR="00E02D6D" w:rsidRPr="0044725F">
        <w:rPr>
          <w:rFonts w:ascii="Tahoma" w:hAnsi="Tahoma" w:cs="Tahoma"/>
          <w:sz w:val="24"/>
          <w:szCs w:val="24"/>
        </w:rPr>
        <w:t>ежим основных торгов</w:t>
      </w:r>
      <w:r w:rsidR="009A755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- </w:t>
      </w:r>
      <w:r w:rsidR="00C65DEB" w:rsidRPr="0044725F">
        <w:rPr>
          <w:rFonts w:ascii="Tahoma" w:hAnsi="Tahoma" w:cs="Tahoma"/>
          <w:sz w:val="24"/>
          <w:szCs w:val="24"/>
          <w:lang w:val="en-US"/>
        </w:rPr>
        <w:t>Y</w:t>
      </w:r>
      <w:r w:rsidR="00E02D6D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;</w:t>
      </w:r>
    </w:p>
    <w:p w14:paraId="06DC86EC" w14:textId="3B816515" w:rsidR="009A7552" w:rsidRPr="0044725F" w:rsidRDefault="009A7552" w:rsidP="009A7552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–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0-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7;</w:t>
      </w:r>
    </w:p>
    <w:p w14:paraId="5530CECB" w14:textId="44C2CE18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переговорных сделок (РПС) – T0, B0-B30,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4C7A3164" w14:textId="7777777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S0, S1, S2,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06C59589" w14:textId="594F364D" w:rsidR="00AA53BC" w:rsidRPr="0044725F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«РЕПО с Банком России: Аукцион РЕПО»,</w:t>
      </w:r>
      <w:r w:rsidR="00A42314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>, S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14:paraId="650651D4" w14:textId="61556660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3E7E2089" w14:textId="321393CC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2494B55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FE8A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B4A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06D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A28A0A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E4E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4B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E9E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4D9B687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76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9B3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987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10066CCB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89C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38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584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618868C8" w14:textId="589BD7DE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4928B3F8" w14:textId="24EC761F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398D1FD7" w14:textId="2B15AE62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760B4069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8B2FD06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2949746C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92D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8350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7988416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1D5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5EBB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1AC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42BA094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8D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lastRenderedPageBreak/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BDA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6CFD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DD4559D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49F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2B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61B9041A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11DF325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EAE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5529985E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31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9C8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A5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37C72165" w14:textId="75C4F2D3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6D58F1F6" w14:textId="4EA5A355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08475525" w14:textId="79216E08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39A19C6" w14:textId="66416419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 xml:space="preserve"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</w:t>
      </w:r>
      <w:r w:rsidR="00CC0857">
        <w:rPr>
          <w:rFonts w:ascii="Tahoma" w:hAnsi="Tahoma" w:cs="Tahoma"/>
          <w:sz w:val="24"/>
          <w:szCs w:val="24"/>
        </w:rPr>
        <w:t>6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39DB96A6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382F305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32E8ED11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C29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EE4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73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898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5ECE8B47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63A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5D5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40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7CA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7F301A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16DC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B74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47C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61B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7A14D835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483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0A2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FD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636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40E05084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6F61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51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27D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46D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787DAA72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0800D718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23487A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2EA298B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2EC8B045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641F051B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1513C5F0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329D3598" w14:textId="1714BBD1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="00CC0857">
        <w:rPr>
          <w:rFonts w:ascii="Tahoma" w:hAnsi="Tahoma" w:cs="Tahoma"/>
          <w:sz w:val="24"/>
          <w:szCs w:val="24"/>
        </w:rPr>
        <w:t>5-О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="00CC0857">
        <w:rPr>
          <w:rFonts w:ascii="Tahoma" w:hAnsi="Tahoma" w:cs="Tahoma"/>
          <w:sz w:val="24"/>
          <w:szCs w:val="24"/>
        </w:rPr>
        <w:t>6-О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541DE4E7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19E36636" w14:textId="77777777" w:rsidR="00346F6C" w:rsidRPr="0044725F" w:rsidRDefault="00BB538C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43D4D57F" w14:textId="77777777" w:rsidR="00346F6C" w:rsidRPr="0044725F" w:rsidRDefault="00BB538C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570F4599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FEDDDF6" w14:textId="25A41AF2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CC0857">
        <w:rPr>
          <w:rFonts w:ascii="Tahoma" w:hAnsi="Tahoma" w:cs="Tahoma"/>
        </w:rPr>
        <w:t>5</w:t>
      </w:r>
      <w:r w:rsidR="00FD3B23">
        <w:rPr>
          <w:rFonts w:ascii="Tahoma" w:hAnsi="Tahoma" w:cs="Tahoma"/>
        </w:rPr>
        <w:t>-О</w:t>
      </w:r>
      <w:r w:rsidR="00FD3B23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</w:t>
      </w:r>
      <w:r w:rsidR="00FD3B23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).</w:t>
      </w:r>
    </w:p>
    <w:p w14:paraId="63692F5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5549D194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0BFA04B8" w14:textId="77777777" w:rsidR="00346F6C" w:rsidRPr="0044725F" w:rsidRDefault="00BB538C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1193B42E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6A73F810" w14:textId="1898F42C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CC0857">
        <w:rPr>
          <w:rFonts w:ascii="Tahoma" w:hAnsi="Tahoma" w:cs="Tahoma"/>
        </w:rPr>
        <w:t>5-О</w:t>
      </w:r>
      <w:r w:rsidR="00CC0857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6-О</w:t>
      </w:r>
      <w:r w:rsidRPr="0044725F">
        <w:rPr>
          <w:rFonts w:ascii="Tahoma" w:hAnsi="Tahoma" w:cs="Tahoma"/>
        </w:rPr>
        <w:t>).</w:t>
      </w:r>
    </w:p>
    <w:p w14:paraId="7E007638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72C43E92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lastRenderedPageBreak/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6DA16D88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4F3FC68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7F270150" w14:textId="1A9D4414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CC0857">
        <w:rPr>
          <w:rFonts w:ascii="Tahoma" w:hAnsi="Tahoma" w:cs="Tahoma"/>
        </w:rPr>
        <w:t>5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CC0857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166A4A9C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06BCEF8F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93EECDC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1E11785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1F42288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8188540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FBCBE6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36E1E45D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302A75E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7DB83FB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6B633548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58000A1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148FBC72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93D1BB5" w14:textId="1E497C66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14:paraId="685CD4BB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4C59EBF0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30BD4682" w14:textId="38DBE873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6846A76A" w14:textId="414B008C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79918491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5E97A09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В Режиме торгов «Анонимный РПС» допускается подача заявок с кодом расчетов T0.</w:t>
      </w:r>
    </w:p>
    <w:p w14:paraId="79F7B81C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2F5EF76B" w14:textId="16A3F7AF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60E27991" w14:textId="14BEC7DB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2B61C580" w14:textId="77777777" w:rsidR="00FD3B23" w:rsidRPr="0044725F" w:rsidRDefault="00FD3B2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</w:p>
    <w:p w14:paraId="6946976A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42BABA7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2A64FFF5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1689F4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55B3AA6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689E21F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158AD38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E5D762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428BA23F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01DC1512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7321004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E6A7774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282BDFEF" w14:textId="7CE1D30C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363AA49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2C95415" w14:textId="6E0FAFDE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6ADABE4C" w14:textId="6BA184EA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00AB5C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490B8763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5A55C7D6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7E032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5EFF8A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76A5DBB3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0C7C12C5" w14:textId="061F37A1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0EE8C99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14:paraId="18B7CC0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E19E474" w14:textId="2F68E78A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876602" w14:textId="3DF8F2F5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25E28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14F570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2BCB51C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320C569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E63CEC1" w14:textId="128D6664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59DC572" w14:textId="53E30CF8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75FF966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6939FA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705A878A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 государственных облигаций внешних облигационных займов Российской Федерации (далее – ГОВОЗ РФ), а также за исключением облигаций федерального займа Министерства финансов Российской Федерации (далее – ОФЗ) и купонных облигаций Банка России (далее – КОБР), 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5C0EB85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BC38BBF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57D4EE8F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1ED0CB6D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4B18E884" w14:textId="024F24C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159CFA94" w14:textId="1B20CFE3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4245C573" w14:textId="07B9936A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09B4A3C6" w14:textId="645BCD3D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1FB91F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5B1C4D15" w14:textId="6B5B69F1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67C6050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32BCCF8A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</w:t>
      </w:r>
      <w:r w:rsidRPr="0044725F">
        <w:rPr>
          <w:rFonts w:ascii="Tahoma" w:hAnsi="Tahoma" w:cs="Tahoma"/>
          <w:sz w:val="24"/>
          <w:szCs w:val="24"/>
        </w:rPr>
        <w:lastRenderedPageBreak/>
        <w:t>размеры стандартного лота по ценным бумагам в Системе торгов ПАО Московская Биржа:</w:t>
      </w:r>
    </w:p>
    <w:p w14:paraId="1072B8BA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1C257803" w14:textId="554DC875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6479C6A8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2EC70462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60A2851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5D881F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6DFFE7C7" w14:textId="169BE151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937A41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6A01F5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27DE293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10DEEA3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52CBCFF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6FF51E79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43257E6C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299F0491" w14:textId="22AC32CC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547EE4D9" w14:textId="3F36A11E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A6ACC8F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4E3665A9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Устанавливаются следующие лимиты отклонения цены облигаций с присвоенным торговым кодом в Системе торгов.</w:t>
      </w:r>
    </w:p>
    <w:p w14:paraId="20B9960E" w14:textId="41DB6BEA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и </w:t>
      </w:r>
      <w:r w:rsidR="00917622" w:rsidRPr="0044725F">
        <w:rPr>
          <w:rFonts w:ascii="Tahoma" w:hAnsi="Tahoma" w:cs="Tahoma"/>
          <w:sz w:val="24"/>
          <w:szCs w:val="24"/>
        </w:rPr>
        <w:t>«Анонимный РПС»</w:t>
      </w:r>
      <w:r w:rsidR="0036295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0ABE676A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591F632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0B9EA7D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6099CE7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07930354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2DF35B4C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6C024BC6" w14:textId="0F03B322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2F21CA9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3E66C13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070F9FE5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7D75D527" w14:textId="4BB76DBD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2C7F2584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24CF059B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516DE2E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49566081" w14:textId="56F9BD7B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11C10DE2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363E427C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D896F68" w14:textId="34D693C2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26EF4A2D" w14:textId="44FD6BE0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C83B2E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3727A98" w14:textId="4D73F024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73D0671F" w14:textId="3EC28159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9D5E1AD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0D3F7621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56A38004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597303DA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2C679957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1D725B99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730D0E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36CA087A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0C790126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192DBC5D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0AA0000C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75E739E8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2A56242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5DB743E2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5AB420FF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B62C60E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2754E4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ED84F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4B62386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1219C2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14A3302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169390A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620D74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24EF426E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09D4355B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2D0F8AC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84C8A6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3B675B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71BF6CF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56D81FD1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3C496CBE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67DD8A5D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39120DB8" w14:textId="77777777" w:rsidR="000C04B0" w:rsidRPr="0044725F" w:rsidRDefault="00BB538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04A50FF5" w14:textId="77777777" w:rsidR="000C04B0" w:rsidRPr="0044725F" w:rsidRDefault="00BB538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4B61E1C0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051E61FD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79A1D536" w14:textId="77777777" w:rsidR="000C04B0" w:rsidRPr="0044725F" w:rsidRDefault="00BB538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07D828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A069138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8FE196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721CBF3" w14:textId="77777777" w:rsidR="000C04B0" w:rsidRPr="0044725F" w:rsidRDefault="000C04B0" w:rsidP="000C04B0">
      <w:pPr>
        <w:rPr>
          <w:rFonts w:ascii="Tahoma" w:hAnsi="Tahoma" w:cs="Tahoma"/>
        </w:rPr>
      </w:pPr>
    </w:p>
    <w:p w14:paraId="669A1E50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4189D8C6" w14:textId="77777777" w:rsidR="000C04B0" w:rsidRPr="0044725F" w:rsidRDefault="00BB538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04E0B7B" w14:textId="77777777" w:rsidR="000C04B0" w:rsidRPr="0044725F" w:rsidRDefault="00BB538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D1B48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ABBEF8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6E16D8D" w14:textId="77777777" w:rsidR="000C04B0" w:rsidRPr="0044725F" w:rsidRDefault="00BB538C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134B40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DEC6444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40CF3CD3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695D465D" w14:textId="77777777" w:rsidR="000C04B0" w:rsidRPr="0044725F" w:rsidRDefault="00BB538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3A614436" w14:textId="77777777" w:rsidR="000C04B0" w:rsidRPr="0044725F" w:rsidRDefault="00BB538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4082B11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0CFD7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707CF3CA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04A16E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011DC7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084470B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44A40281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0DE4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335C850A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7F68A76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6CEADAE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08DDC570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3EEC1F99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384F61F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1EE2A5F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78055F4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0125E8C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265F47F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3057F73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39B3D854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437EDA75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748F84A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40E200A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39408AE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7C1D46C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0A3268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AD89B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2CADBCB" w14:textId="77777777" w:rsidR="000C04B0" w:rsidRPr="0044725F" w:rsidRDefault="00BB538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6B5F007E" w14:textId="77777777" w:rsidR="000C04B0" w:rsidRPr="0044725F" w:rsidRDefault="00BB538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36A2C474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577886" w14:textId="77777777" w:rsidR="000C04B0" w:rsidRPr="0044725F" w:rsidRDefault="00BB538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3FB7731D" w14:textId="77777777" w:rsidR="000C04B0" w:rsidRPr="0044725F" w:rsidRDefault="00BB538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7BC7EF7B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403B3A9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B449FD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52B47F73" w14:textId="77777777" w:rsidR="00C263D3" w:rsidRPr="0044725F" w:rsidRDefault="00C263D3" w:rsidP="00C263D3">
      <w:pPr>
        <w:rPr>
          <w:rFonts w:ascii="Tahoma" w:hAnsi="Tahoma" w:cs="Tahoma"/>
        </w:rPr>
      </w:pPr>
    </w:p>
    <w:p w14:paraId="718A4D25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61BE73A2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6266FCF8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5A19A46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039E3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9DA9CC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BE03A5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9E9A00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586A94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62BD97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C4A41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6D7C1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E2065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BD413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1F0990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EDA68C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6BB38C" w14:textId="7C60FD7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D3F09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C22F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A99AE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A8C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3F3BC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5E85CF2" w14:textId="2FE7E0D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E426D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6733E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4003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9E4A7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72EE8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044AAF" w14:textId="6DAA988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BB1F1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96BB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59FA4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870CC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0377D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9780F5E" w14:textId="44ABA614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DF256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4FD8A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B3761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C761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341971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B673526" w14:textId="080F181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6EB2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EC8347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2835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CC66C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2CC095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D459CE2" w14:textId="461D2258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A054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CE21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DE7E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BB8F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50ECB3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C3FAF47" w14:textId="66BB75F0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2340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0669F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C1257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C16A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B3465F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C17DFD8" w14:textId="40A86E93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328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5A18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464F6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5F18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493BB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F02FFBE" w14:textId="18A6D6F2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1A1C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D0AD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A7B76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3404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3603A6C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07ED285" w14:textId="5390B7B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C5F0CC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7963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CEB8E2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3B947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1006E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9712B8" w14:textId="71E4AAF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9B604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6DEF1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1D2C8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6F5A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63CE5D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9EB886" w14:textId="6C809EF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C19AC3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FF0C6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0AA8D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AFCFB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A9CC62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26F99E4" w14:textId="1D609CD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E6FA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49C5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2CC1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F658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AA1677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69F746" w14:textId="1E6DB5D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B3FE1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C02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9863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B1E0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1B6D93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D0A3CCE" w14:textId="71E64C8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CB94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8FDD7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D5287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13EE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33DCA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551803" w14:textId="2B13ADB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8724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D79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53C37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1824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964E3D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48D5AB9" w14:textId="2CFB2B8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DE52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FFD8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62298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3878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9FA78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85EA93" w14:textId="3AC0C34A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84F51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1BAB46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A830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95AC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D31781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EB0D93" w14:textId="1010B60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746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6BFD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E7DE9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52A2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48ECF7F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720DFBE" w14:textId="6C24746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433478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4EF64C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59E8546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F9C450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45F0D24F" w14:textId="77777777" w:rsidR="00C263D3" w:rsidRPr="00A874FB" w:rsidRDefault="00C263D3" w:rsidP="00C263D3">
      <w:pPr>
        <w:rPr>
          <w:rFonts w:ascii="Tahoma" w:hAnsi="Tahoma" w:cs="Tahoma"/>
        </w:rPr>
      </w:pPr>
    </w:p>
    <w:p w14:paraId="42C100E8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014CA6D1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74BF6" w14:textId="77777777" w:rsidR="00C67160" w:rsidRDefault="00C67160">
      <w:r>
        <w:separator/>
      </w:r>
    </w:p>
  </w:endnote>
  <w:endnote w:type="continuationSeparator" w:id="0">
    <w:p w14:paraId="33A135AD" w14:textId="77777777" w:rsidR="00C67160" w:rsidRDefault="00C67160">
      <w:r>
        <w:continuationSeparator/>
      </w:r>
    </w:p>
  </w:endnote>
  <w:endnote w:type="continuationNotice" w:id="1">
    <w:p w14:paraId="5046B446" w14:textId="77777777" w:rsidR="00C67160" w:rsidRDefault="00C67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067B86A4" w14:textId="693753B8" w:rsidR="000536E7" w:rsidRDefault="000536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BE8E4B8" w14:textId="77777777" w:rsidR="000536E7" w:rsidRDefault="000536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8C90F" w14:textId="77777777" w:rsidR="00C67160" w:rsidRDefault="00C67160">
      <w:r>
        <w:separator/>
      </w:r>
    </w:p>
  </w:footnote>
  <w:footnote w:type="continuationSeparator" w:id="0">
    <w:p w14:paraId="3B094F13" w14:textId="77777777" w:rsidR="00C67160" w:rsidRDefault="00C67160">
      <w:r>
        <w:continuationSeparator/>
      </w:r>
    </w:p>
  </w:footnote>
  <w:footnote w:type="continuationNotice" w:id="1">
    <w:p w14:paraId="6B92623B" w14:textId="77777777" w:rsidR="00C67160" w:rsidRDefault="00C67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8FC6" w14:textId="77777777" w:rsidR="000536E7" w:rsidRDefault="000536E7">
    <w:pPr>
      <w:pStyle w:val="a5"/>
    </w:pPr>
  </w:p>
  <w:p w14:paraId="63A3795E" w14:textId="77777777" w:rsidR="000536E7" w:rsidRDefault="000536E7">
    <w:pPr>
      <w:pStyle w:val="a5"/>
    </w:pPr>
  </w:p>
  <w:p w14:paraId="1173EE35" w14:textId="77777777" w:rsidR="000536E7" w:rsidRDefault="000536E7">
    <w:pPr>
      <w:pStyle w:val="a5"/>
    </w:pPr>
  </w:p>
  <w:p w14:paraId="27861FAD" w14:textId="77777777" w:rsidR="000536E7" w:rsidRDefault="000536E7">
    <w:pPr>
      <w:pStyle w:val="a5"/>
    </w:pPr>
  </w:p>
  <w:p w14:paraId="5F7A0111" w14:textId="77777777" w:rsidR="000536E7" w:rsidRDefault="000536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F392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4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27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9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0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3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27"/>
  </w:num>
  <w:num w:numId="5">
    <w:abstractNumId w:val="25"/>
  </w:num>
  <w:num w:numId="6">
    <w:abstractNumId w:val="33"/>
  </w:num>
  <w:num w:numId="7">
    <w:abstractNumId w:val="24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0"/>
  </w:num>
  <w:num w:numId="13">
    <w:abstractNumId w:val="23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28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29"/>
  </w:num>
  <w:num w:numId="29">
    <w:abstractNumId w:val="4"/>
  </w:num>
  <w:num w:numId="30">
    <w:abstractNumId w:val="1"/>
  </w:num>
  <w:num w:numId="31">
    <w:abstractNumId w:val="32"/>
  </w:num>
  <w:num w:numId="32">
    <w:abstractNumId w:val="18"/>
  </w:num>
  <w:num w:numId="33">
    <w:abstractNumId w:val="31"/>
  </w:num>
  <w:num w:numId="34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148EB"/>
    <w:rsid w:val="000368B4"/>
    <w:rsid w:val="000368E3"/>
    <w:rsid w:val="00037C07"/>
    <w:rsid w:val="00042127"/>
    <w:rsid w:val="00042E93"/>
    <w:rsid w:val="000536E7"/>
    <w:rsid w:val="00053C92"/>
    <w:rsid w:val="000541BA"/>
    <w:rsid w:val="00057421"/>
    <w:rsid w:val="00057BA9"/>
    <w:rsid w:val="000665A9"/>
    <w:rsid w:val="00067205"/>
    <w:rsid w:val="00074671"/>
    <w:rsid w:val="00087950"/>
    <w:rsid w:val="000907E7"/>
    <w:rsid w:val="000974D5"/>
    <w:rsid w:val="000A4E9C"/>
    <w:rsid w:val="000C04B0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57DA5"/>
    <w:rsid w:val="00157F18"/>
    <w:rsid w:val="001627AB"/>
    <w:rsid w:val="001641AA"/>
    <w:rsid w:val="00164613"/>
    <w:rsid w:val="00167853"/>
    <w:rsid w:val="001708AD"/>
    <w:rsid w:val="00172072"/>
    <w:rsid w:val="001778A0"/>
    <w:rsid w:val="0018038B"/>
    <w:rsid w:val="001A2E0E"/>
    <w:rsid w:val="001A50A6"/>
    <w:rsid w:val="001A68F5"/>
    <w:rsid w:val="001B5B93"/>
    <w:rsid w:val="001B6128"/>
    <w:rsid w:val="001C12A4"/>
    <w:rsid w:val="001D4404"/>
    <w:rsid w:val="001D4FE7"/>
    <w:rsid w:val="001E0816"/>
    <w:rsid w:val="001E1268"/>
    <w:rsid w:val="001E5475"/>
    <w:rsid w:val="001E5877"/>
    <w:rsid w:val="001F5184"/>
    <w:rsid w:val="001F59E0"/>
    <w:rsid w:val="00203AC2"/>
    <w:rsid w:val="00204C7A"/>
    <w:rsid w:val="002065C6"/>
    <w:rsid w:val="002155DA"/>
    <w:rsid w:val="002210FF"/>
    <w:rsid w:val="00221830"/>
    <w:rsid w:val="00227094"/>
    <w:rsid w:val="00231782"/>
    <w:rsid w:val="002317F7"/>
    <w:rsid w:val="002426FE"/>
    <w:rsid w:val="0024339B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E0"/>
    <w:rsid w:val="002A4F37"/>
    <w:rsid w:val="002B164E"/>
    <w:rsid w:val="002B5AC3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55A5"/>
    <w:rsid w:val="003105FF"/>
    <w:rsid w:val="0031623C"/>
    <w:rsid w:val="00323260"/>
    <w:rsid w:val="00333A57"/>
    <w:rsid w:val="0033570E"/>
    <w:rsid w:val="00341535"/>
    <w:rsid w:val="00346F6C"/>
    <w:rsid w:val="00355B6C"/>
    <w:rsid w:val="00357753"/>
    <w:rsid w:val="00362959"/>
    <w:rsid w:val="0036298F"/>
    <w:rsid w:val="00366030"/>
    <w:rsid w:val="00366794"/>
    <w:rsid w:val="00370447"/>
    <w:rsid w:val="00394B5E"/>
    <w:rsid w:val="00394CCF"/>
    <w:rsid w:val="003965F4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3F03"/>
    <w:rsid w:val="003E2D68"/>
    <w:rsid w:val="003E49FA"/>
    <w:rsid w:val="003E6DD0"/>
    <w:rsid w:val="003E7DC4"/>
    <w:rsid w:val="003F4752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82CB6"/>
    <w:rsid w:val="004913FB"/>
    <w:rsid w:val="004924B7"/>
    <w:rsid w:val="004927F9"/>
    <w:rsid w:val="004A343B"/>
    <w:rsid w:val="004A5A6B"/>
    <w:rsid w:val="004B7D9C"/>
    <w:rsid w:val="004C0695"/>
    <w:rsid w:val="004C62BC"/>
    <w:rsid w:val="004C70A0"/>
    <w:rsid w:val="004D2A54"/>
    <w:rsid w:val="004D323F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64AB"/>
    <w:rsid w:val="00636442"/>
    <w:rsid w:val="00640A0C"/>
    <w:rsid w:val="00640C8E"/>
    <w:rsid w:val="006470E9"/>
    <w:rsid w:val="00651046"/>
    <w:rsid w:val="00655026"/>
    <w:rsid w:val="00655125"/>
    <w:rsid w:val="00666F98"/>
    <w:rsid w:val="0067095E"/>
    <w:rsid w:val="00671E7E"/>
    <w:rsid w:val="006908F4"/>
    <w:rsid w:val="006A7649"/>
    <w:rsid w:val="006C3018"/>
    <w:rsid w:val="006C44F4"/>
    <w:rsid w:val="006C7799"/>
    <w:rsid w:val="006D59F6"/>
    <w:rsid w:val="006D6C0E"/>
    <w:rsid w:val="0071044F"/>
    <w:rsid w:val="00710E50"/>
    <w:rsid w:val="007176BB"/>
    <w:rsid w:val="007210FB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C5C17"/>
    <w:rsid w:val="007C63C0"/>
    <w:rsid w:val="007C70BE"/>
    <w:rsid w:val="007D4375"/>
    <w:rsid w:val="007F272E"/>
    <w:rsid w:val="007F39DB"/>
    <w:rsid w:val="007F5034"/>
    <w:rsid w:val="00804E11"/>
    <w:rsid w:val="00806036"/>
    <w:rsid w:val="00807782"/>
    <w:rsid w:val="00811E90"/>
    <w:rsid w:val="00815AE4"/>
    <w:rsid w:val="00817C42"/>
    <w:rsid w:val="008212AB"/>
    <w:rsid w:val="008221B9"/>
    <w:rsid w:val="0082303E"/>
    <w:rsid w:val="00827B82"/>
    <w:rsid w:val="0084113A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307B"/>
    <w:rsid w:val="009A7552"/>
    <w:rsid w:val="009A79B9"/>
    <w:rsid w:val="009B5904"/>
    <w:rsid w:val="009B7D10"/>
    <w:rsid w:val="009D4890"/>
    <w:rsid w:val="009E35E3"/>
    <w:rsid w:val="009E5921"/>
    <w:rsid w:val="009E73ED"/>
    <w:rsid w:val="009F5EC4"/>
    <w:rsid w:val="00A0608E"/>
    <w:rsid w:val="00A205B7"/>
    <w:rsid w:val="00A23CC2"/>
    <w:rsid w:val="00A25ADB"/>
    <w:rsid w:val="00A27928"/>
    <w:rsid w:val="00A334BA"/>
    <w:rsid w:val="00A36E68"/>
    <w:rsid w:val="00A40BA4"/>
    <w:rsid w:val="00A410C7"/>
    <w:rsid w:val="00A42314"/>
    <w:rsid w:val="00A433F3"/>
    <w:rsid w:val="00A51FCC"/>
    <w:rsid w:val="00A52E6F"/>
    <w:rsid w:val="00A53956"/>
    <w:rsid w:val="00A61B17"/>
    <w:rsid w:val="00A64A4A"/>
    <w:rsid w:val="00A77C5A"/>
    <w:rsid w:val="00A8024F"/>
    <w:rsid w:val="00A84AAF"/>
    <w:rsid w:val="00A872A1"/>
    <w:rsid w:val="00A874FB"/>
    <w:rsid w:val="00A92A58"/>
    <w:rsid w:val="00A931F4"/>
    <w:rsid w:val="00A97366"/>
    <w:rsid w:val="00AA19AF"/>
    <w:rsid w:val="00AA2775"/>
    <w:rsid w:val="00AA53BC"/>
    <w:rsid w:val="00AA5FEE"/>
    <w:rsid w:val="00AA615C"/>
    <w:rsid w:val="00AB4238"/>
    <w:rsid w:val="00AC0677"/>
    <w:rsid w:val="00AD4B51"/>
    <w:rsid w:val="00AD4C1E"/>
    <w:rsid w:val="00AE158A"/>
    <w:rsid w:val="00AE3F3C"/>
    <w:rsid w:val="00AE4079"/>
    <w:rsid w:val="00AF1F3B"/>
    <w:rsid w:val="00B02B9F"/>
    <w:rsid w:val="00B07CFB"/>
    <w:rsid w:val="00B13366"/>
    <w:rsid w:val="00B31573"/>
    <w:rsid w:val="00B328F6"/>
    <w:rsid w:val="00B35886"/>
    <w:rsid w:val="00B36E69"/>
    <w:rsid w:val="00B556DA"/>
    <w:rsid w:val="00B55D8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4817"/>
    <w:rsid w:val="00BA6E69"/>
    <w:rsid w:val="00BB14C1"/>
    <w:rsid w:val="00BB1DA1"/>
    <w:rsid w:val="00BB4FAF"/>
    <w:rsid w:val="00BB538C"/>
    <w:rsid w:val="00BC06EE"/>
    <w:rsid w:val="00BC1593"/>
    <w:rsid w:val="00BC6D60"/>
    <w:rsid w:val="00BD1A6D"/>
    <w:rsid w:val="00BD323B"/>
    <w:rsid w:val="00BD47FF"/>
    <w:rsid w:val="00BE04DE"/>
    <w:rsid w:val="00BE1C3F"/>
    <w:rsid w:val="00BF327B"/>
    <w:rsid w:val="00C1415D"/>
    <w:rsid w:val="00C17353"/>
    <w:rsid w:val="00C21280"/>
    <w:rsid w:val="00C23686"/>
    <w:rsid w:val="00C263D3"/>
    <w:rsid w:val="00C336F3"/>
    <w:rsid w:val="00C519A3"/>
    <w:rsid w:val="00C51A76"/>
    <w:rsid w:val="00C62EB8"/>
    <w:rsid w:val="00C65DEB"/>
    <w:rsid w:val="00C67160"/>
    <w:rsid w:val="00C674CB"/>
    <w:rsid w:val="00C740D7"/>
    <w:rsid w:val="00C7689A"/>
    <w:rsid w:val="00C852FF"/>
    <w:rsid w:val="00C87A09"/>
    <w:rsid w:val="00CA3CF6"/>
    <w:rsid w:val="00CA4B7C"/>
    <w:rsid w:val="00CA65A5"/>
    <w:rsid w:val="00CA7A38"/>
    <w:rsid w:val="00CB1BBB"/>
    <w:rsid w:val="00CB260C"/>
    <w:rsid w:val="00CB2815"/>
    <w:rsid w:val="00CB61AC"/>
    <w:rsid w:val="00CC0857"/>
    <w:rsid w:val="00CC2676"/>
    <w:rsid w:val="00CD2768"/>
    <w:rsid w:val="00CD5674"/>
    <w:rsid w:val="00CE4A04"/>
    <w:rsid w:val="00CF0975"/>
    <w:rsid w:val="00CF2778"/>
    <w:rsid w:val="00CF2BA4"/>
    <w:rsid w:val="00CF791E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7BB3"/>
    <w:rsid w:val="00D97C6C"/>
    <w:rsid w:val="00DA1810"/>
    <w:rsid w:val="00DA6D46"/>
    <w:rsid w:val="00DB18CD"/>
    <w:rsid w:val="00DB43C1"/>
    <w:rsid w:val="00DC0C62"/>
    <w:rsid w:val="00DC2AAC"/>
    <w:rsid w:val="00DC43BB"/>
    <w:rsid w:val="00DC46B1"/>
    <w:rsid w:val="00DC4E63"/>
    <w:rsid w:val="00DC7C0B"/>
    <w:rsid w:val="00DD3973"/>
    <w:rsid w:val="00DD3BAD"/>
    <w:rsid w:val="00DD534A"/>
    <w:rsid w:val="00E0165A"/>
    <w:rsid w:val="00E01CE3"/>
    <w:rsid w:val="00E02B68"/>
    <w:rsid w:val="00E02D6D"/>
    <w:rsid w:val="00E23970"/>
    <w:rsid w:val="00E2469D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361D"/>
    <w:rsid w:val="00F35E62"/>
    <w:rsid w:val="00F37596"/>
    <w:rsid w:val="00F414A2"/>
    <w:rsid w:val="00F45095"/>
    <w:rsid w:val="00F46A43"/>
    <w:rsid w:val="00F47084"/>
    <w:rsid w:val="00F60D59"/>
    <w:rsid w:val="00F65770"/>
    <w:rsid w:val="00F663B3"/>
    <w:rsid w:val="00F71DD2"/>
    <w:rsid w:val="00FA09A3"/>
    <w:rsid w:val="00FA4067"/>
    <w:rsid w:val="00FA4517"/>
    <w:rsid w:val="00FB4993"/>
    <w:rsid w:val="00FB6550"/>
    <w:rsid w:val="00FC3A83"/>
    <w:rsid w:val="00FC3AB6"/>
    <w:rsid w:val="00FC4793"/>
    <w:rsid w:val="00FC5796"/>
    <w:rsid w:val="00FD0538"/>
    <w:rsid w:val="00FD3B23"/>
    <w:rsid w:val="00FE0DD1"/>
    <w:rsid w:val="00FE3723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851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897E-D1AC-4A89-AAA3-526A2909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7889</Words>
  <Characters>44969</Characters>
  <Application>Microsoft Office Word</Application>
  <DocSecurity>4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2019-11-25T06:15:00Z</cp:lastPrinted>
  <dcterms:created xsi:type="dcterms:W3CDTF">2022-02-01T10:39:00Z</dcterms:created>
  <dcterms:modified xsi:type="dcterms:W3CDTF">2022-02-01T10:39:00Z</dcterms:modified>
</cp:coreProperties>
</file>