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8B0FE0" w:rsidRPr="006829BA">
        <w:rPr>
          <w:rFonts w:ascii="Tahoma" w:hAnsi="Tahoma" w:cs="Tahoma"/>
          <w:sz w:val="24"/>
          <w:szCs w:val="24"/>
        </w:rPr>
        <w:t>Приказ</w:t>
      </w:r>
      <w:r w:rsidR="008B0FE0">
        <w:rPr>
          <w:rFonts w:ascii="Tahoma" w:hAnsi="Tahoma" w:cs="Tahoma"/>
          <w:sz w:val="24"/>
          <w:szCs w:val="24"/>
        </w:rPr>
        <w:t>ами</w:t>
      </w:r>
      <w:r w:rsidR="008B0FE0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:rsidR="00A929FD" w:rsidRDefault="00A929FD" w:rsidP="006D422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703BD8">
        <w:rPr>
          <w:rFonts w:ascii="Tahoma" w:hAnsi="Tahoma" w:cs="Tahoma"/>
          <w:sz w:val="24"/>
          <w:szCs w:val="24"/>
        </w:rPr>
        <w:t>1944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BA3424" w:rsidRPr="0011566A">
        <w:rPr>
          <w:rFonts w:ascii="Arial" w:hAnsi="Arial" w:cs="Arial"/>
          <w:sz w:val="24"/>
          <w:szCs w:val="24"/>
        </w:rPr>
        <w:t>от</w:t>
      </w:r>
      <w:r w:rsidR="00BA3424">
        <w:rPr>
          <w:rFonts w:ascii="Arial" w:hAnsi="Arial" w:cs="Arial"/>
          <w:sz w:val="24"/>
          <w:szCs w:val="24"/>
        </w:rPr>
        <w:t xml:space="preserve"> 20</w:t>
      </w:r>
      <w:r w:rsidR="00AD1C2F">
        <w:rPr>
          <w:rFonts w:ascii="Arial" w:hAnsi="Arial" w:cs="Arial"/>
          <w:sz w:val="24"/>
          <w:szCs w:val="24"/>
        </w:rPr>
        <w:t>.</w:t>
      </w:r>
      <w:r w:rsidR="00BA3424">
        <w:rPr>
          <w:rFonts w:ascii="Arial" w:hAnsi="Arial" w:cs="Arial"/>
          <w:sz w:val="24"/>
          <w:szCs w:val="24"/>
        </w:rPr>
        <w:t>07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:rsidR="008B0FE0" w:rsidRPr="006829BA" w:rsidRDefault="008B0FE0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5F4632">
        <w:rPr>
          <w:rFonts w:ascii="Tahoma" w:hAnsi="Tahoma" w:cs="Tahoma"/>
          <w:sz w:val="24"/>
          <w:szCs w:val="24"/>
        </w:rPr>
        <w:t>№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23</w:t>
      </w:r>
      <w:r w:rsidRPr="0011566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2036</w:t>
      </w:r>
      <w:r>
        <w:rPr>
          <w:rFonts w:ascii="Tahoma" w:hAnsi="Tahoma" w:cs="Tahoma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.07.</w:t>
      </w:r>
      <w:r w:rsidRPr="001156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743E88">
        <w:rPr>
          <w:rFonts w:ascii="Tahoma" w:hAnsi="Tahoma" w:cs="Tahoma"/>
          <w:sz w:val="24"/>
          <w:szCs w:val="24"/>
        </w:rPr>
        <w:t>31 июля</w:t>
      </w:r>
      <w:r w:rsidR="00ED19AF">
        <w:rPr>
          <w:rFonts w:ascii="Tahoma" w:hAnsi="Tahoma" w:cs="Tahoma"/>
          <w:sz w:val="24"/>
          <w:szCs w:val="24"/>
        </w:rPr>
        <w:t xml:space="preserve">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от НКО АО НРД в соответствии с соглашением с Платежным агентом электронного документа «Информация о выплатах», </w:t>
      </w:r>
      <w:proofErr w:type="gramStart"/>
      <w:r w:rsidRPr="005C5A27">
        <w:rPr>
          <w:rFonts w:ascii="Tahoma" w:hAnsi="Tahoma" w:cs="Tahoma"/>
          <w:sz w:val="24"/>
          <w:szCs w:val="24"/>
        </w:rPr>
        <w:t>содержащего  сведения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:rsidR="0005279C" w:rsidRPr="00326715" w:rsidRDefault="00AA53BC" w:rsidP="00FC080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326715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 w:rsidRPr="00326715">
        <w:rPr>
          <w:rFonts w:ascii="Tahoma" w:hAnsi="Tahoma" w:cs="Tahoma"/>
          <w:sz w:val="24"/>
          <w:szCs w:val="24"/>
        </w:rPr>
        <w:t>1-</w:t>
      </w:r>
      <w:r w:rsidR="00FB4993" w:rsidRPr="00326715">
        <w:rPr>
          <w:rFonts w:ascii="Tahoma" w:hAnsi="Tahoma" w:cs="Tahoma"/>
          <w:sz w:val="24"/>
          <w:szCs w:val="24"/>
        </w:rPr>
        <w:t>О</w:t>
      </w:r>
      <w:r w:rsidRPr="00326715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4" w:name="_Hlk106921184"/>
    </w:p>
    <w:bookmarkEnd w:id="4"/>
    <w:p w:rsidR="00D62F81" w:rsidRPr="00326715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326715">
        <w:rPr>
          <w:rFonts w:ascii="Tahoma" w:hAnsi="Tahoma" w:cs="Tahoma"/>
          <w:sz w:val="24"/>
          <w:szCs w:val="24"/>
        </w:rPr>
        <w:t xml:space="preserve">, </w:t>
      </w:r>
      <w:r w:rsidR="00EE4BDD" w:rsidRPr="00326715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</w:t>
      </w:r>
      <w:r w:rsidR="00EE4BDD" w:rsidRPr="00326715">
        <w:rPr>
          <w:rFonts w:ascii="Tahoma" w:hAnsi="Tahoma" w:cs="Tahoma"/>
          <w:sz w:val="24"/>
          <w:szCs w:val="24"/>
        </w:rPr>
        <w:t xml:space="preserve"> </w:t>
      </w:r>
      <w:r w:rsidR="004927F9" w:rsidRPr="00326715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326715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:rsidR="00D62F81" w:rsidRPr="00326715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Торги облигациями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326715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326715">
        <w:rPr>
          <w:rFonts w:ascii="Tahoma" w:hAnsi="Tahoma" w:cs="Tahoma"/>
          <w:sz w:val="24"/>
          <w:szCs w:val="24"/>
        </w:rPr>
        <w:t>,</w:t>
      </w:r>
      <w:r w:rsidR="00E2469D" w:rsidRPr="00326715">
        <w:rPr>
          <w:rFonts w:ascii="Tahoma" w:hAnsi="Tahoma" w:cs="Tahoma"/>
          <w:sz w:val="24"/>
          <w:szCs w:val="24"/>
        </w:rPr>
        <w:t xml:space="preserve"> </w:t>
      </w:r>
      <w:r w:rsidRPr="00326715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за исключением ОФЗ-н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:rsidR="007926AA" w:rsidRPr="00326715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>торгов», Режим торгов «Облигации Д - Режим основных торгов» - Y1</w:t>
      </w:r>
      <w:r w:rsidR="00326715">
        <w:rPr>
          <w:rFonts w:ascii="Tahoma" w:hAnsi="Tahoma" w:cs="Tahoma"/>
          <w:sz w:val="24"/>
          <w:szCs w:val="24"/>
        </w:rPr>
        <w:t>.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Pr="00B11A7D">
        <w:rPr>
          <w:rFonts w:ascii="Tahoma" w:hAnsi="Tahoma" w:cs="Tahoma"/>
          <w:sz w:val="24"/>
          <w:szCs w:val="24"/>
        </w:rPr>
        <w:t>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8B0FE0" w:rsidRPr="000F2717" w:rsidRDefault="008B0FE0" w:rsidP="008B0FE0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F2717">
        <w:rPr>
          <w:rFonts w:ascii="Tahoma" w:hAnsi="Tahoma" w:cs="Tahoma"/>
          <w:sz w:val="24"/>
          <w:szCs w:val="24"/>
        </w:rPr>
        <w:t>При проведении торгов облигациями в Режиме основных торгов Т+, Режиме переговорных сделок (РПС) и в Режимах торгов  «Сектор ПИР – Режим основных торгов», «Сектор ПИР - РПС», Облигации Д – Режим основных торгов, «Облигации Д - РПС», Облигации Д – РПС с ЦК,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В Режиме торгов «</w:t>
      </w:r>
      <w:proofErr w:type="spellStart"/>
      <w:r w:rsidRPr="000F271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0F2717">
        <w:rPr>
          <w:rFonts w:ascii="Tahoma" w:hAnsi="Tahoma" w:cs="Tahoma"/>
          <w:sz w:val="24"/>
          <w:szCs w:val="24"/>
        </w:rPr>
        <w:t xml:space="preserve">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сделки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в указанном режиме допускается только заключение сделок РЕПО овернайт с исполнением второй части сделки РЕПО не позднее второго расчетного дня, следующего за окончанием 7 календарных дней с даты начала купонного периода с неизвестной ставкой купона. </w:t>
      </w:r>
    </w:p>
    <w:p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</w:t>
      </w:r>
      <w:r w:rsidR="007F21B5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>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</w:t>
      </w:r>
    </w:p>
    <w:p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«РЕПО с ЦК - Адресные заявки», «РЕПО с ЦК - Безадресные заявки», в случаях, если дата исполнения второй части РЕПО в соответствии с условиями сделки определена не позднее, чем через 30 календарных дней с даты заключения сделки;</w:t>
      </w:r>
    </w:p>
    <w:p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</w:t>
      </w:r>
      <w:proofErr w:type="spellStart"/>
      <w:r w:rsidRPr="00326715">
        <w:rPr>
          <w:rFonts w:ascii="Tahoma" w:hAnsi="Tahoma" w:cs="Tahoma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Cs w:val="24"/>
        </w:rPr>
        <w:t xml:space="preserve"> РЕПО», «РЕПО с Банком России: Аукцион РЕПО», «Аукцион РЕПО с Банком России: плавающая ставка» и «РЕПО с Банком России: </w:t>
      </w:r>
      <w:proofErr w:type="spellStart"/>
      <w:r w:rsidRPr="00326715">
        <w:rPr>
          <w:rFonts w:ascii="Tahoma" w:hAnsi="Tahoma" w:cs="Tahoma"/>
          <w:szCs w:val="24"/>
        </w:rPr>
        <w:t>фикс.ставка</w:t>
      </w:r>
      <w:proofErr w:type="spellEnd"/>
      <w:r w:rsidRPr="00326715">
        <w:rPr>
          <w:rFonts w:ascii="Tahoma" w:hAnsi="Tahoma" w:cs="Tahoma"/>
          <w:szCs w:val="24"/>
        </w:rPr>
        <w:t>» в случаях, если дата исполнения второй части РЕПО в соответствии с условиями сделки определена не позднее, чем через 1 календарный год с даты заключения сделки.</w:t>
      </w:r>
    </w:p>
    <w:p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:rsidR="002B5AC3" w:rsidRPr="00326715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основных торгов Т+, Облигации Д – Режим основных торгов, Сектор ПИР – Режим основных торгов - </w:t>
      </w:r>
      <w:r w:rsidR="00280EF0" w:rsidRPr="004F3640">
        <w:rPr>
          <w:rFonts w:ascii="Tahoma" w:hAnsi="Tahoma" w:cs="Tahoma"/>
          <w:szCs w:val="24"/>
        </w:rPr>
        <w:t>Y</w:t>
      </w:r>
      <w:r w:rsidR="00280EF0">
        <w:rPr>
          <w:rFonts w:ascii="Tahoma" w:hAnsi="Tahoma" w:cs="Tahoma"/>
          <w:szCs w:val="24"/>
        </w:rPr>
        <w:t>1</w:t>
      </w:r>
      <w:r w:rsidRPr="004F3640">
        <w:rPr>
          <w:rFonts w:ascii="Tahoma" w:hAnsi="Tahoma" w:cs="Tahoma"/>
          <w:szCs w:val="24"/>
        </w:rPr>
        <w:t>;</w:t>
      </w:r>
    </w:p>
    <w:p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</w:t>
      </w:r>
      <w:r w:rsidR="00280EF0" w:rsidRPr="00326715">
        <w:t xml:space="preserve"> </w:t>
      </w:r>
      <w:r w:rsidR="00280EF0" w:rsidRPr="00326715">
        <w:rPr>
          <w:rFonts w:ascii="Tahoma" w:hAnsi="Tahoma" w:cs="Tahoma"/>
          <w:szCs w:val="24"/>
        </w:rPr>
        <w:t>Y0-Y2  с расчетами в юанях</w:t>
      </w:r>
    </w:p>
    <w:p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</w:t>
      </w:r>
      <w:r w:rsidR="009441A9">
        <w:rPr>
          <w:rFonts w:ascii="Tahoma" w:hAnsi="Tahoma" w:cs="Tahoma"/>
          <w:sz w:val="24"/>
          <w:szCs w:val="24"/>
        </w:rPr>
        <w:t xml:space="preserve">для каждой валюты расчетов </w:t>
      </w:r>
      <w:r w:rsidR="00AA53BC" w:rsidRPr="0044725F">
        <w:rPr>
          <w:rFonts w:ascii="Tahoma" w:hAnsi="Tahoma" w:cs="Tahoma"/>
          <w:sz w:val="24"/>
          <w:szCs w:val="24"/>
        </w:rPr>
        <w:t>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D00499" w:rsidRDefault="00D00499" w:rsidP="00326715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1.11.2.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:rsidR="00D00499" w:rsidRDefault="001B40F6" w:rsidP="00326715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:rsidR="001B40F6" w:rsidRDefault="001B40F6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:rsidR="0032512A" w:rsidRPr="0044725F" w:rsidRDefault="0032512A" w:rsidP="0032512A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количество лотов в заключенных сделках АЗ одинаково для разных валют, отличных от валюты номинала, то используется цена АЗ, рассчитанная на основе сделок, заключенных в рублях РФ.</w:t>
      </w:r>
    </w:p>
    <w:p w:rsidR="0032512A" w:rsidRPr="0044725F" w:rsidRDefault="0032512A" w:rsidP="00326715">
      <w:pPr>
        <w:pStyle w:val="Iauiue"/>
        <w:ind w:left="2160" w:right="284"/>
        <w:jc w:val="both"/>
        <w:rPr>
          <w:rFonts w:ascii="Tahoma" w:hAnsi="Tahoma" w:cs="Tahoma"/>
          <w:sz w:val="24"/>
          <w:szCs w:val="24"/>
        </w:rPr>
      </w:pPr>
    </w:p>
    <w:p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1.11.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44725F" w:rsidRDefault="00CF2BA4" w:rsidP="00326715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 xml:space="preserve">.1. Части II Правил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торговдля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ОФЗ - с кодом расчетов Y1</w:t>
      </w:r>
      <w:r w:rsidR="00DE2092">
        <w:rPr>
          <w:rFonts w:ascii="Tahoma" w:hAnsi="Tahoma" w:cs="Tahoma"/>
          <w:sz w:val="24"/>
          <w:szCs w:val="24"/>
        </w:rPr>
        <w:t>.</w:t>
      </w: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326715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C57942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C5794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:rsidR="00C263D3" w:rsidRPr="0044725F" w:rsidRDefault="00C263D3" w:rsidP="00C263D3">
      <w:pPr>
        <w:rPr>
          <w:rFonts w:ascii="Tahoma" w:hAnsi="Tahoma" w:cs="Tahoma"/>
        </w:rPr>
      </w:pPr>
    </w:p>
    <w:p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42" w:rsidRDefault="00C57942">
      <w:r>
        <w:separator/>
      </w:r>
    </w:p>
  </w:endnote>
  <w:endnote w:type="continuationSeparator" w:id="0">
    <w:p w:rsidR="00C57942" w:rsidRDefault="00C57942">
      <w:r>
        <w:continuationSeparator/>
      </w:r>
    </w:p>
  </w:endnote>
  <w:endnote w:type="continuationNotice" w:id="1">
    <w:p w:rsidR="00C57942" w:rsidRDefault="00C57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743E88" w:rsidRDefault="00743E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43E88" w:rsidRDefault="00743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42" w:rsidRDefault="00C57942">
      <w:r>
        <w:separator/>
      </w:r>
    </w:p>
  </w:footnote>
  <w:footnote w:type="continuationSeparator" w:id="0">
    <w:p w:rsidR="00C57942" w:rsidRDefault="00C57942">
      <w:r>
        <w:continuationSeparator/>
      </w:r>
    </w:p>
  </w:footnote>
  <w:footnote w:type="continuationNotice" w:id="1">
    <w:p w:rsidR="00C57942" w:rsidRDefault="00C57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88" w:rsidRDefault="00743E88">
    <w:pPr>
      <w:pStyle w:val="a5"/>
    </w:pPr>
  </w:p>
  <w:p w:rsidR="00743E88" w:rsidRDefault="00743E88">
    <w:pPr>
      <w:pStyle w:val="a5"/>
    </w:pPr>
  </w:p>
  <w:p w:rsidR="00743E88" w:rsidRDefault="00743E88">
    <w:pPr>
      <w:pStyle w:val="a5"/>
    </w:pPr>
  </w:p>
  <w:p w:rsidR="00743E88" w:rsidRDefault="00743E88">
    <w:pPr>
      <w:pStyle w:val="a5"/>
    </w:pPr>
  </w:p>
  <w:p w:rsidR="00743E88" w:rsidRDefault="00743E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223ABF"/>
    <w:multiLevelType w:val="multilevel"/>
    <w:tmpl w:val="C32E55F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6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1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6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7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0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3"/>
  </w:num>
  <w:num w:numId="5">
    <w:abstractNumId w:val="29"/>
  </w:num>
  <w:num w:numId="6">
    <w:abstractNumId w:val="40"/>
  </w:num>
  <w:num w:numId="7">
    <w:abstractNumId w:val="28"/>
  </w:num>
  <w:num w:numId="8">
    <w:abstractNumId w:val="23"/>
  </w:num>
  <w:num w:numId="9">
    <w:abstractNumId w:val="15"/>
  </w:num>
  <w:num w:numId="10">
    <w:abstractNumId w:val="10"/>
  </w:num>
  <w:num w:numId="11">
    <w:abstractNumId w:val="20"/>
  </w:num>
  <w:num w:numId="12">
    <w:abstractNumId w:val="37"/>
  </w:num>
  <w:num w:numId="13">
    <w:abstractNumId w:val="25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2"/>
  </w:num>
  <w:num w:numId="20">
    <w:abstractNumId w:val="2"/>
  </w:num>
  <w:num w:numId="21">
    <w:abstractNumId w:val="19"/>
  </w:num>
  <w:num w:numId="22">
    <w:abstractNumId w:val="34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5"/>
  </w:num>
  <w:num w:numId="29">
    <w:abstractNumId w:val="4"/>
  </w:num>
  <w:num w:numId="30">
    <w:abstractNumId w:val="1"/>
  </w:num>
  <w:num w:numId="31">
    <w:abstractNumId w:val="39"/>
  </w:num>
  <w:num w:numId="32">
    <w:abstractNumId w:val="18"/>
  </w:num>
  <w:num w:numId="33">
    <w:abstractNumId w:val="38"/>
  </w:num>
  <w:num w:numId="34">
    <w:abstractNumId w:val="30"/>
  </w:num>
  <w:num w:numId="35">
    <w:abstractNumId w:val="26"/>
  </w:num>
  <w:num w:numId="36">
    <w:abstractNumId w:val="33"/>
  </w:num>
  <w:num w:numId="37">
    <w:abstractNumId w:val="36"/>
  </w:num>
  <w:num w:numId="38">
    <w:abstractNumId w:val="27"/>
  </w:num>
  <w:num w:numId="39">
    <w:abstractNumId w:val="24"/>
  </w:num>
  <w:num w:numId="40">
    <w:abstractNumId w:val="32"/>
  </w:num>
  <w:num w:numId="41">
    <w:abstractNumId w:val="41"/>
  </w:num>
  <w:num w:numId="42">
    <w:abstractNumId w:val="31"/>
  </w:num>
  <w:num w:numId="43">
    <w:abstractNumId w:val="33"/>
  </w:num>
  <w:num w:numId="4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C63E2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0EF0"/>
    <w:rsid w:val="0028278B"/>
    <w:rsid w:val="00284BF0"/>
    <w:rsid w:val="00296969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2512A"/>
    <w:rsid w:val="00326715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45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58B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03BD8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43E88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67F3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B0FE0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441A9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24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57942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0499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E2092"/>
    <w:rsid w:val="00DE2E5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  <w:style w:type="character" w:customStyle="1" w:styleId="ui-provider">
    <w:name w:val="ui-provider"/>
    <w:basedOn w:val="a1"/>
    <w:rsid w:val="009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E873-1532-4459-B6A2-4A15F973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2022-06-27T10:50:00Z</cp:lastPrinted>
  <dcterms:created xsi:type="dcterms:W3CDTF">2023-07-31T06:19:00Z</dcterms:created>
  <dcterms:modified xsi:type="dcterms:W3CDTF">2023-07-31T06:19:00Z</dcterms:modified>
</cp:coreProperties>
</file>