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9DD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245F286F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19EF04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7975D333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83436E7" w14:textId="7DEB64A8"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11566A" w:rsidRPr="0011566A">
        <w:rPr>
          <w:rFonts w:ascii="Tahoma" w:hAnsi="Tahoma" w:cs="Tahoma"/>
          <w:sz w:val="24"/>
          <w:szCs w:val="24"/>
        </w:rPr>
        <w:t>МБ-П-</w:t>
      </w:r>
      <w:r w:rsidR="000C623A" w:rsidRPr="0011566A">
        <w:rPr>
          <w:rFonts w:ascii="Tahoma" w:hAnsi="Tahoma" w:cs="Tahoma"/>
          <w:sz w:val="24"/>
          <w:szCs w:val="24"/>
        </w:rPr>
        <w:t>20</w:t>
      </w:r>
      <w:r w:rsidR="000C623A">
        <w:rPr>
          <w:rFonts w:ascii="Tahoma" w:hAnsi="Tahoma" w:cs="Tahoma"/>
          <w:sz w:val="24"/>
          <w:szCs w:val="24"/>
        </w:rPr>
        <w:t>21</w:t>
      </w:r>
      <w:r w:rsidR="00EB7618" w:rsidRPr="0011566A">
        <w:rPr>
          <w:rFonts w:ascii="Tahoma" w:hAnsi="Tahoma" w:cs="Tahoma"/>
          <w:sz w:val="24"/>
          <w:szCs w:val="24"/>
        </w:rPr>
        <w:t>-</w:t>
      </w:r>
      <w:r w:rsidR="000E4B13" w:rsidRPr="000E4B13">
        <w:rPr>
          <w:rFonts w:ascii="Tahoma" w:hAnsi="Tahoma" w:cs="Tahoma"/>
          <w:sz w:val="24"/>
          <w:szCs w:val="24"/>
        </w:rPr>
        <w:t>725</w:t>
      </w:r>
      <w:r w:rsidR="00EB7618" w:rsidRPr="0011566A">
        <w:rPr>
          <w:rFonts w:ascii="Arial" w:hAnsi="Arial" w:cs="Arial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 w:rsidR="000C623A">
        <w:rPr>
          <w:rFonts w:ascii="Arial" w:hAnsi="Arial" w:cs="Arial"/>
          <w:sz w:val="24"/>
          <w:szCs w:val="24"/>
        </w:rPr>
        <w:t xml:space="preserve"> 26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DE1E94">
        <w:rPr>
          <w:rFonts w:ascii="Arial" w:hAnsi="Arial" w:cs="Arial"/>
          <w:sz w:val="24"/>
          <w:szCs w:val="24"/>
        </w:rPr>
        <w:t>03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0C623A" w:rsidRPr="0011566A">
        <w:rPr>
          <w:rFonts w:ascii="Arial" w:hAnsi="Arial" w:cs="Arial"/>
          <w:sz w:val="24"/>
          <w:szCs w:val="24"/>
        </w:rPr>
        <w:t>20</w:t>
      </w:r>
      <w:r w:rsidR="000C623A">
        <w:rPr>
          <w:rFonts w:ascii="Arial" w:hAnsi="Arial" w:cs="Arial"/>
          <w:sz w:val="24"/>
          <w:szCs w:val="24"/>
        </w:rPr>
        <w:t>21</w:t>
      </w:r>
      <w:r w:rsidR="000C623A" w:rsidRPr="0011566A">
        <w:rPr>
          <w:rFonts w:ascii="Arial" w:hAnsi="Arial" w:cs="Arial"/>
          <w:sz w:val="24"/>
          <w:szCs w:val="24"/>
        </w:rPr>
        <w:t xml:space="preserve"> </w:t>
      </w:r>
    </w:p>
    <w:p w14:paraId="462AFAA2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  <w:bookmarkStart w:id="0" w:name="_GoBack"/>
      <w:bookmarkEnd w:id="0"/>
    </w:p>
    <w:p w14:paraId="79DDF3F6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52E51FC6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3B00CF10" w14:textId="12C46BDA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29147460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0C15F5E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6574607A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CA62587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4CFA7386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F2EC075" w14:textId="4E7A0E64"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2" w:name="_Hlk51833611"/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3" w:name="_Hlk38977846"/>
      <w:r w:rsidRPr="00F5645E">
        <w:rPr>
          <w:rFonts w:ascii="Tahoma" w:hAnsi="Tahoma" w:cs="Tahoma"/>
          <w:sz w:val="24"/>
          <w:szCs w:val="24"/>
        </w:rPr>
        <w:t xml:space="preserve">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1A30E1">
        <w:rPr>
          <w:rFonts w:ascii="Tahoma" w:hAnsi="Tahoma" w:cs="Tahoma"/>
          <w:sz w:val="24"/>
          <w:szCs w:val="24"/>
        </w:rPr>
        <w:t>,</w:t>
      </w:r>
      <w:r w:rsidR="004924B7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 xml:space="preserve">и рынке кредитов </w:t>
      </w:r>
      <w:r w:rsidR="004924B7" w:rsidRPr="00F5645E">
        <w:rPr>
          <w:rFonts w:ascii="Tahoma" w:hAnsi="Tahoma" w:cs="Tahoma"/>
          <w:sz w:val="24"/>
          <w:szCs w:val="24"/>
        </w:rPr>
        <w:t xml:space="preserve">Публичного акционерного общества «Московская Биржа ММВБ-РТС», утвержденных решением Наблюдательного совета </w:t>
      </w:r>
      <w:bookmarkStart w:id="4" w:name="_Hlk67472552"/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544737">
        <w:rPr>
          <w:rFonts w:ascii="Tahoma" w:hAnsi="Tahoma" w:cs="Tahoma"/>
          <w:sz w:val="24"/>
          <w:szCs w:val="24"/>
        </w:rPr>
        <w:t>января</w:t>
      </w:r>
      <w:r w:rsidR="00544737" w:rsidRPr="00655956">
        <w:rPr>
          <w:rFonts w:ascii="Tahoma" w:hAnsi="Tahoma" w:cs="Tahoma"/>
          <w:sz w:val="24"/>
          <w:szCs w:val="24"/>
        </w:rPr>
        <w:t xml:space="preserve"> </w:t>
      </w:r>
      <w:r w:rsidR="00573A14" w:rsidRPr="00655956">
        <w:rPr>
          <w:rFonts w:ascii="Tahoma" w:hAnsi="Tahoma" w:cs="Tahoma"/>
          <w:sz w:val="24"/>
          <w:szCs w:val="24"/>
        </w:rPr>
        <w:t>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</w:t>
      </w:r>
      <w:r w:rsidR="00782A5D" w:rsidRPr="00655956">
        <w:rPr>
          <w:rFonts w:ascii="Tahoma" w:hAnsi="Tahoma" w:cs="Tahoma"/>
          <w:sz w:val="24"/>
          <w:szCs w:val="24"/>
        </w:rPr>
        <w:t>г. (Протокол №</w:t>
      </w:r>
      <w:r w:rsidR="00951C29">
        <w:rPr>
          <w:rFonts w:ascii="Tahoma" w:hAnsi="Tahoma" w:cs="Tahoma"/>
          <w:sz w:val="24"/>
          <w:szCs w:val="24"/>
        </w:rPr>
        <w:t xml:space="preserve"> </w:t>
      </w:r>
      <w:r w:rsidR="00573A14">
        <w:rPr>
          <w:rFonts w:ascii="Tahoma" w:hAnsi="Tahoma" w:cs="Tahoma"/>
          <w:sz w:val="24"/>
          <w:szCs w:val="24"/>
        </w:rPr>
        <w:t>18</w:t>
      </w:r>
      <w:r w:rsidR="00782A5D" w:rsidRPr="00655956">
        <w:rPr>
          <w:rFonts w:ascii="Tahoma" w:hAnsi="Tahoma" w:cs="Tahoma"/>
          <w:sz w:val="24"/>
          <w:szCs w:val="24"/>
        </w:rPr>
        <w:t>)</w:t>
      </w:r>
      <w:bookmarkEnd w:id="4"/>
      <w:r w:rsidR="003A2092" w:rsidRPr="00A874FB">
        <w:rPr>
          <w:rFonts w:ascii="Tahoma" w:hAnsi="Tahoma" w:cs="Tahoma"/>
          <w:sz w:val="24"/>
          <w:szCs w:val="24"/>
        </w:rPr>
        <w:t>,</w:t>
      </w:r>
      <w:bookmarkEnd w:id="3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6F4292">
        <w:rPr>
          <w:rFonts w:ascii="Tahoma" w:hAnsi="Tahoma" w:cs="Tahoma"/>
          <w:sz w:val="24"/>
          <w:szCs w:val="24"/>
        </w:rPr>
        <w:t>,</w:t>
      </w:r>
      <w:r w:rsidR="00B7529D">
        <w:rPr>
          <w:rFonts w:ascii="Tahoma" w:hAnsi="Tahoma" w:cs="Tahoma"/>
          <w:sz w:val="24"/>
          <w:szCs w:val="24"/>
        </w:rPr>
        <w:t xml:space="preserve"> п. 1.9.3</w:t>
      </w:r>
      <w:r w:rsidR="006F4292">
        <w:rPr>
          <w:rFonts w:ascii="Tahoma" w:hAnsi="Tahoma" w:cs="Tahoma"/>
          <w:sz w:val="24"/>
          <w:szCs w:val="24"/>
        </w:rPr>
        <w:t xml:space="preserve"> и </w:t>
      </w:r>
      <w:r w:rsidR="006F4292" w:rsidRPr="00072952">
        <w:rPr>
          <w:rFonts w:ascii="Tahoma" w:hAnsi="Tahoma" w:cs="Tahoma"/>
          <w:sz w:val="24"/>
          <w:szCs w:val="24"/>
        </w:rPr>
        <w:t>п. 1.25.5. (1.25)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655956" w:rsidDel="00E20B23">
        <w:rPr>
          <w:rFonts w:ascii="Tahoma" w:hAnsi="Tahoma" w:cs="Tahoma"/>
          <w:sz w:val="24"/>
          <w:szCs w:val="24"/>
        </w:rPr>
        <w:t xml:space="preserve"> </w:t>
      </w:r>
      <w:r w:rsidR="00782A5D" w:rsidRPr="00655956">
        <w:rPr>
          <w:rFonts w:ascii="Tahoma" w:hAnsi="Tahoma" w:cs="Tahoma"/>
          <w:sz w:val="24"/>
          <w:szCs w:val="24"/>
        </w:rPr>
        <w:t>2020 г. 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782A5D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573A14">
        <w:rPr>
          <w:rFonts w:ascii="Tahoma" w:hAnsi="Tahoma" w:cs="Tahoma"/>
          <w:sz w:val="24"/>
          <w:szCs w:val="24"/>
        </w:rPr>
        <w:t>29</w:t>
      </w:r>
      <w:r w:rsidR="00573A14" w:rsidRPr="00655956">
        <w:rPr>
          <w:rFonts w:ascii="Tahoma" w:hAnsi="Tahoma" w:cs="Tahoma"/>
          <w:sz w:val="24"/>
          <w:szCs w:val="24"/>
        </w:rPr>
        <w:t xml:space="preserve"> </w:t>
      </w:r>
      <w:r w:rsidR="00573A14">
        <w:rPr>
          <w:rFonts w:ascii="Tahoma" w:hAnsi="Tahoma" w:cs="Tahoma"/>
          <w:sz w:val="24"/>
          <w:szCs w:val="24"/>
        </w:rPr>
        <w:t>января</w:t>
      </w:r>
      <w:r w:rsidR="00573A14" w:rsidRPr="00655956">
        <w:rPr>
          <w:rFonts w:ascii="Tahoma" w:hAnsi="Tahoma" w:cs="Tahoma"/>
          <w:sz w:val="24"/>
          <w:szCs w:val="24"/>
        </w:rPr>
        <w:t xml:space="preserve"> 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573A14">
        <w:rPr>
          <w:rFonts w:ascii="Tahoma" w:hAnsi="Tahoma" w:cs="Tahoma"/>
          <w:sz w:val="24"/>
          <w:szCs w:val="24"/>
        </w:rPr>
        <w:t xml:space="preserve"> 18</w:t>
      </w:r>
      <w:r w:rsidR="00573A14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394B5E" w:rsidRPr="00F5645E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573A14">
        <w:rPr>
          <w:rFonts w:ascii="Tahoma" w:hAnsi="Tahoma" w:cs="Tahoma"/>
          <w:sz w:val="24"/>
          <w:szCs w:val="24"/>
        </w:rPr>
        <w:t>29</w:t>
      </w:r>
      <w:r w:rsidR="00573A14" w:rsidRPr="00655956">
        <w:rPr>
          <w:rFonts w:ascii="Tahoma" w:hAnsi="Tahoma" w:cs="Tahoma"/>
          <w:sz w:val="24"/>
          <w:szCs w:val="24"/>
        </w:rPr>
        <w:t xml:space="preserve"> </w:t>
      </w:r>
      <w:r w:rsidR="00573A14">
        <w:rPr>
          <w:rFonts w:ascii="Tahoma" w:hAnsi="Tahoma" w:cs="Tahoma"/>
          <w:sz w:val="24"/>
          <w:szCs w:val="24"/>
        </w:rPr>
        <w:t>января</w:t>
      </w:r>
      <w:r w:rsidR="00573A14" w:rsidRPr="00655956">
        <w:rPr>
          <w:rFonts w:ascii="Tahoma" w:hAnsi="Tahoma" w:cs="Tahoma"/>
          <w:sz w:val="24"/>
          <w:szCs w:val="24"/>
        </w:rPr>
        <w:t xml:space="preserve"> 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573A14">
        <w:rPr>
          <w:rFonts w:ascii="Tahoma" w:hAnsi="Tahoma" w:cs="Tahoma"/>
          <w:sz w:val="24"/>
          <w:szCs w:val="24"/>
        </w:rPr>
        <w:t xml:space="preserve"> 18</w:t>
      </w:r>
      <w:r w:rsidR="00573A14" w:rsidRPr="00655956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,</w:t>
      </w:r>
      <w:bookmarkEnd w:id="2"/>
      <w:r w:rsidR="00E20B23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E20B23">
        <w:rPr>
          <w:rFonts w:ascii="Tahoma" w:hAnsi="Tahoma" w:cs="Tahoma"/>
          <w:sz w:val="24"/>
          <w:szCs w:val="24"/>
        </w:rPr>
        <w:t xml:space="preserve"> и 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Частью V. Секция рынка </w:t>
      </w:r>
      <w:r w:rsidR="00E20B23">
        <w:rPr>
          <w:rFonts w:ascii="Tahoma" w:hAnsi="Tahoma" w:cs="Tahoma"/>
          <w:sz w:val="24"/>
          <w:szCs w:val="24"/>
        </w:rPr>
        <w:t>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F5645E" w:rsidDel="00E20B23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2020 г.</w:t>
      </w:r>
      <w:r w:rsidR="00E20B23" w:rsidRPr="00F5645E">
        <w:rPr>
          <w:rFonts w:ascii="Tahoma" w:hAnsi="Tahoma" w:cs="Tahoma"/>
          <w:sz w:val="24"/>
          <w:szCs w:val="24"/>
        </w:rPr>
        <w:t>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E20B23" w:rsidRPr="00F5645E">
        <w:rPr>
          <w:rFonts w:ascii="Tahoma" w:hAnsi="Tahoma" w:cs="Tahoma"/>
          <w:sz w:val="24"/>
          <w:szCs w:val="24"/>
        </w:rPr>
        <w:t xml:space="preserve">), </w:t>
      </w:r>
      <w:r w:rsidR="00E20B23">
        <w:rPr>
          <w:rFonts w:ascii="Tahoma" w:hAnsi="Tahoma" w:cs="Tahoma"/>
          <w:sz w:val="24"/>
          <w:szCs w:val="24"/>
        </w:rPr>
        <w:t xml:space="preserve"> (п. 1.4.5)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</w:t>
      </w:r>
      <w:r w:rsidR="00E20B23">
        <w:rPr>
          <w:rFonts w:ascii="Tahoma" w:hAnsi="Tahoma" w:cs="Tahoma"/>
          <w:sz w:val="24"/>
          <w:szCs w:val="24"/>
        </w:rPr>
        <w:t>,</w:t>
      </w:r>
      <w:r w:rsidR="00911760" w:rsidRPr="00F5645E">
        <w:rPr>
          <w:rFonts w:ascii="Tahoma" w:hAnsi="Tahoma" w:cs="Tahoma"/>
          <w:sz w:val="24"/>
          <w:szCs w:val="24"/>
        </w:rPr>
        <w:t xml:space="preserve"> Часть IV </w:t>
      </w:r>
      <w:r w:rsidR="00E20B23">
        <w:rPr>
          <w:rFonts w:ascii="Tahoma" w:hAnsi="Tahoma" w:cs="Tahoma"/>
          <w:sz w:val="24"/>
          <w:szCs w:val="24"/>
        </w:rPr>
        <w:t xml:space="preserve">и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 V. </w:t>
      </w:r>
      <w:r w:rsidR="00911760" w:rsidRPr="00F5645E">
        <w:rPr>
          <w:rFonts w:ascii="Tahoma" w:hAnsi="Tahoma" w:cs="Tahoma"/>
          <w:sz w:val="24"/>
          <w:szCs w:val="24"/>
        </w:rPr>
        <w:t>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установить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Правил торгов</w:t>
      </w:r>
      <w:r w:rsidRPr="00F5645E">
        <w:rPr>
          <w:rFonts w:ascii="Tahoma" w:hAnsi="Tahoma" w:cs="Tahoma"/>
          <w:sz w:val="24"/>
          <w:szCs w:val="24"/>
        </w:rPr>
        <w:t xml:space="preserve"> 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14:paraId="7F9A2E1A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58E7A756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14:paraId="4A0B6CE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335CB706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06E63F5E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4A19B8FD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57DA9275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77317675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3F9A4C2F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1D696D49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7092448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365D273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2EB77B1F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4FFB28EE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715E160A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18066D5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75F5D41D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72D75B76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4ADCB2AE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0FBF9DF2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451B137F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3AC7CD06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E112983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13724143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торгов </w:t>
      </w:r>
      <w:r w:rsidRPr="002B0694">
        <w:rPr>
          <w:rFonts w:ascii="Tahoma" w:hAnsi="Tahoma" w:cs="Tahoma"/>
          <w:sz w:val="24"/>
          <w:szCs w:val="24"/>
        </w:rPr>
        <w:lastRenderedPageBreak/>
        <w:t>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213E636F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7966B9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5966B966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54E3510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2FA749C3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3FC592BC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199B086C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6B9ECDB4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4646749E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17F49F8D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1E99A902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07F581D4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0825C28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541668EF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14:paraId="7AC48325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5FE818FA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6613167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0550F546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0DDE3A73" w14:textId="3C42E4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</w:t>
      </w:r>
      <w:r w:rsidRPr="002B0694">
        <w:rPr>
          <w:rFonts w:ascii="Tahoma" w:hAnsi="Tahoma" w:cs="Tahoma"/>
          <w:sz w:val="24"/>
          <w:szCs w:val="24"/>
        </w:rPr>
        <w:lastRenderedPageBreak/>
        <w:t>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14:paraId="2175143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3952B91" w14:textId="77777777"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14:paraId="2CB52C40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3D6F4D2C" w14:textId="312D940C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3C956015" w14:textId="761A5D3D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1F0541E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2BD7F983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178BDEC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6BED1C2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025DEB0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680EEDF8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1FCC2F4B" w14:textId="77777777" w:rsidR="00042127" w:rsidRPr="002B0694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773F25D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4C9A870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F3B427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7F71425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370AFA84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3B397DFC" w14:textId="77777777" w:rsidR="00EE3FA7" w:rsidRDefault="00EE3FA7" w:rsidP="00EE3FA7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27A2F2D5" w14:textId="77777777" w:rsidR="00EE3FA7" w:rsidRPr="002B0694" w:rsidRDefault="00EE3FA7" w:rsidP="0003305D">
      <w:pPr>
        <w:pStyle w:val="Iauiue3"/>
        <w:keepLines w:val="0"/>
        <w:tabs>
          <w:tab w:val="num" w:pos="1440"/>
          <w:tab w:val="num" w:pos="1620"/>
        </w:tabs>
        <w:adjustRightInd w:val="0"/>
        <w:ind w:left="1151" w:firstLine="0"/>
        <w:textAlignment w:val="baseline"/>
        <w:rPr>
          <w:rFonts w:ascii="Tahoma" w:hAnsi="Tahoma" w:cs="Tahoma"/>
          <w:szCs w:val="24"/>
        </w:rPr>
      </w:pPr>
    </w:p>
    <w:p w14:paraId="314A976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159EB22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424EE9E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17E2C738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72015C13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39362F9A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6ECCF398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47AA0774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60ECC315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227DC1A1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«РЕПО с ЦК – 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7604E394" w14:textId="1632AD19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49B94A2" w14:textId="3712EDE3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4FA1EC08" w14:textId="52E909C0" w:rsidR="005B17FE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 w:rsidR="0015430B">
        <w:rPr>
          <w:rFonts w:ascii="Tahoma" w:hAnsi="Tahoma" w:cs="Tahoma"/>
          <w:sz w:val="24"/>
          <w:szCs w:val="24"/>
        </w:rPr>
        <w:t xml:space="preserve"> для Корзин «</w:t>
      </w:r>
      <w:proofErr w:type="spellStart"/>
      <w:r w:rsidR="0015430B">
        <w:rPr>
          <w:rFonts w:ascii="Tahoma" w:hAnsi="Tahoma" w:cs="Tahoma"/>
          <w:sz w:val="24"/>
          <w:szCs w:val="24"/>
        </w:rPr>
        <w:t>КорзФК</w:t>
      </w:r>
      <w:proofErr w:type="spellEnd"/>
      <w:r w:rsidR="0015430B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15430B">
        <w:rPr>
          <w:rFonts w:ascii="Tahoma" w:hAnsi="Tahoma" w:cs="Tahoma"/>
          <w:sz w:val="24"/>
          <w:szCs w:val="24"/>
        </w:rPr>
        <w:t>КорзФК</w:t>
      </w:r>
      <w:proofErr w:type="spellEnd"/>
      <w:r w:rsidR="0015430B">
        <w:rPr>
          <w:rFonts w:ascii="Tahoma" w:hAnsi="Tahoma" w:cs="Tahoma"/>
          <w:sz w:val="24"/>
          <w:szCs w:val="24"/>
        </w:rPr>
        <w:t xml:space="preserve"> ЕКС» и 100 000 000 рублей РФ для Корзины «Корзина СП»</w:t>
      </w:r>
      <w:r w:rsidRPr="003638B6">
        <w:rPr>
          <w:rFonts w:ascii="Tahoma" w:hAnsi="Tahoma" w:cs="Tahoma"/>
          <w:sz w:val="24"/>
          <w:szCs w:val="24"/>
        </w:rPr>
        <w:t>.</w:t>
      </w:r>
    </w:p>
    <w:p w14:paraId="11E8DF4D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14:paraId="2DCB5222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6C1AAEED" w14:textId="77777777" w:rsidR="001174C2" w:rsidRPr="002B0694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56B5AC5D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12A245C7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14:paraId="765B9C8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14:paraId="33912B48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63363834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321714EF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3A8AD9D5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7BD3A56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017C74C0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5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5"/>
    <w:p w14:paraId="1E979CA1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39608CC7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48058DCA" w14:textId="785E6EB9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4D79F39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181D584D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38D13440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4CCE5085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1F3CCEB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21091B9B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7574C0AD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1B10B5F8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B21AE27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0622FDD1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076FE0EB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6A144E5E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280F526D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6ED9F71D" w14:textId="75FC78DA" w:rsidR="000F3D38" w:rsidRDefault="000F3D38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 w:rsidR="0015430B">
        <w:rPr>
          <w:rFonts w:ascii="Tahoma" w:hAnsi="Tahoma" w:cs="Tahoma"/>
          <w:sz w:val="24"/>
          <w:szCs w:val="24"/>
        </w:rPr>
        <w:t xml:space="preserve"> для Корзин «</w:t>
      </w:r>
      <w:proofErr w:type="spellStart"/>
      <w:r w:rsidR="0015430B">
        <w:rPr>
          <w:rFonts w:ascii="Tahoma" w:hAnsi="Tahoma" w:cs="Tahoma"/>
          <w:sz w:val="24"/>
          <w:szCs w:val="24"/>
        </w:rPr>
        <w:t>КорзФК</w:t>
      </w:r>
      <w:proofErr w:type="spellEnd"/>
      <w:r w:rsidR="0015430B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15430B">
        <w:rPr>
          <w:rFonts w:ascii="Tahoma" w:hAnsi="Tahoma" w:cs="Tahoma"/>
          <w:sz w:val="24"/>
          <w:szCs w:val="24"/>
        </w:rPr>
        <w:t>КорзФК</w:t>
      </w:r>
      <w:proofErr w:type="spellEnd"/>
      <w:r w:rsidR="0015430B">
        <w:rPr>
          <w:rFonts w:ascii="Tahoma" w:hAnsi="Tahoma" w:cs="Tahoma"/>
          <w:sz w:val="24"/>
          <w:szCs w:val="24"/>
        </w:rPr>
        <w:t xml:space="preserve"> ЕКС» и 100 000 000 рублей РФ для Корзины «Корзина СП»</w:t>
      </w:r>
      <w:r>
        <w:rPr>
          <w:rFonts w:ascii="Tahoma" w:hAnsi="Tahoma" w:cs="Tahoma"/>
          <w:sz w:val="24"/>
          <w:szCs w:val="24"/>
        </w:rPr>
        <w:t>;</w:t>
      </w:r>
    </w:p>
    <w:p w14:paraId="3AE9F35E" w14:textId="4E08F44A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C2A4347" w14:textId="77777777" w:rsidR="009B5904" w:rsidRDefault="009B59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14:paraId="3C63C460" w14:textId="41A0C5E2" w:rsidR="006C40F7" w:rsidRPr="002B0694" w:rsidRDefault="006C40F7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lastRenderedPageBreak/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>, 35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A715896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96057CC" w14:textId="0B5E99DA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4740FA0A" w14:textId="53136F2F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1014F6C4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0F4B85E3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5F5C1048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69E98A8C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3F750862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07CF642F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3A43049D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3814D4F3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123A46EC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0BF7AA3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2CD0B42E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5D9D10F1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6D9FCB49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6469247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7C6670DA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01044AD8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CB7E676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5610F3DD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3685710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34E0E704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330B5501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54C8C4F4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3538AA52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59EAD1EC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084252D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0892EC0B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07761A6C" w14:textId="5D2C5886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94CE88C" w14:textId="5026E702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58E04C18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 xml:space="preserve">идентификатора Участника </w:t>
      </w:r>
      <w:r w:rsidRPr="002B0694">
        <w:rPr>
          <w:rFonts w:ascii="Tahoma" w:hAnsi="Tahoma" w:cs="Tahoma"/>
          <w:sz w:val="24"/>
          <w:szCs w:val="24"/>
        </w:rPr>
        <w:lastRenderedPageBreak/>
        <w:t>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2FD40AAA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74A9DC58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3770BD6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790DF1EC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2706DB21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4D114626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2ABCEC62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2CC53781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24EF29C7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06228FF0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е сведения о соответствующих ценных бумагах. Данные изменения </w:t>
      </w:r>
      <w:r w:rsidRPr="00752237">
        <w:rPr>
          <w:rFonts w:ascii="Arial" w:hAnsi="Arial" w:cs="Arial"/>
          <w:sz w:val="24"/>
          <w:szCs w:val="24"/>
        </w:rPr>
        <w:lastRenderedPageBreak/>
        <w:t>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76F89917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9B35C" w14:textId="77777777" w:rsidR="007C7239" w:rsidRDefault="007C7239">
      <w:r>
        <w:separator/>
      </w:r>
    </w:p>
  </w:endnote>
  <w:endnote w:type="continuationSeparator" w:id="0">
    <w:p w14:paraId="61AA91C8" w14:textId="77777777" w:rsidR="007C7239" w:rsidRDefault="007C7239">
      <w:r>
        <w:continuationSeparator/>
      </w:r>
    </w:p>
  </w:endnote>
  <w:endnote w:type="continuationNotice" w:id="1">
    <w:p w14:paraId="28AD85C6" w14:textId="77777777" w:rsidR="007C7239" w:rsidRDefault="007C7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49A6A0F3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18795AD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542BE" w14:textId="77777777" w:rsidR="007C7239" w:rsidRDefault="007C7239">
      <w:r>
        <w:separator/>
      </w:r>
    </w:p>
  </w:footnote>
  <w:footnote w:type="continuationSeparator" w:id="0">
    <w:p w14:paraId="3D382DB2" w14:textId="77777777" w:rsidR="007C7239" w:rsidRDefault="007C7239">
      <w:r>
        <w:continuationSeparator/>
      </w:r>
    </w:p>
  </w:footnote>
  <w:footnote w:type="continuationNotice" w:id="1">
    <w:p w14:paraId="606293FB" w14:textId="77777777" w:rsidR="007C7239" w:rsidRDefault="007C7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5FC52" w14:textId="77777777" w:rsidR="00F61996" w:rsidRDefault="00F61996">
    <w:pPr>
      <w:pStyle w:val="a5"/>
    </w:pPr>
  </w:p>
  <w:p w14:paraId="787D9E17" w14:textId="77777777" w:rsidR="00F61996" w:rsidRDefault="00F61996">
    <w:pPr>
      <w:pStyle w:val="a5"/>
    </w:pPr>
  </w:p>
  <w:p w14:paraId="0626E36D" w14:textId="77777777" w:rsidR="00F61996" w:rsidRDefault="00F61996">
    <w:pPr>
      <w:pStyle w:val="a5"/>
    </w:pPr>
  </w:p>
  <w:p w14:paraId="1CEF84DF" w14:textId="77777777" w:rsidR="00F61996" w:rsidRDefault="00F61996">
    <w:pPr>
      <w:pStyle w:val="a5"/>
    </w:pPr>
  </w:p>
  <w:p w14:paraId="2BC9224D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51EE1"/>
    <w:rsid w:val="0015430B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5184"/>
    <w:rsid w:val="001F70F3"/>
    <w:rsid w:val="00203AC2"/>
    <w:rsid w:val="00204BAE"/>
    <w:rsid w:val="00205BAF"/>
    <w:rsid w:val="002065C6"/>
    <w:rsid w:val="00211C7B"/>
    <w:rsid w:val="00213C65"/>
    <w:rsid w:val="002155DA"/>
    <w:rsid w:val="002211CB"/>
    <w:rsid w:val="00221830"/>
    <w:rsid w:val="00231782"/>
    <w:rsid w:val="00231C5E"/>
    <w:rsid w:val="00236DEE"/>
    <w:rsid w:val="00242D3E"/>
    <w:rsid w:val="00245B22"/>
    <w:rsid w:val="00250197"/>
    <w:rsid w:val="00252753"/>
    <w:rsid w:val="00253D3F"/>
    <w:rsid w:val="00256A6F"/>
    <w:rsid w:val="00260C28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20F18"/>
    <w:rsid w:val="00323260"/>
    <w:rsid w:val="003330C2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2092"/>
    <w:rsid w:val="003A3314"/>
    <w:rsid w:val="003B2A7F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6634"/>
    <w:rsid w:val="00431FB8"/>
    <w:rsid w:val="00436721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44737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F228A"/>
    <w:rsid w:val="0060284B"/>
    <w:rsid w:val="006132F1"/>
    <w:rsid w:val="00613ADE"/>
    <w:rsid w:val="00626913"/>
    <w:rsid w:val="00627D69"/>
    <w:rsid w:val="00631DC6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55C1"/>
    <w:rsid w:val="007C5C17"/>
    <w:rsid w:val="007C7239"/>
    <w:rsid w:val="007D3840"/>
    <w:rsid w:val="007F02B9"/>
    <w:rsid w:val="007F368C"/>
    <w:rsid w:val="007F3F3A"/>
    <w:rsid w:val="007F5034"/>
    <w:rsid w:val="007F78C3"/>
    <w:rsid w:val="00815AE4"/>
    <w:rsid w:val="00820E74"/>
    <w:rsid w:val="008212AB"/>
    <w:rsid w:val="0083197C"/>
    <w:rsid w:val="00834668"/>
    <w:rsid w:val="008362AA"/>
    <w:rsid w:val="0084113A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62F4"/>
    <w:rsid w:val="009E5921"/>
    <w:rsid w:val="009F4B81"/>
    <w:rsid w:val="00A01106"/>
    <w:rsid w:val="00A05426"/>
    <w:rsid w:val="00A06C38"/>
    <w:rsid w:val="00A20047"/>
    <w:rsid w:val="00A425A0"/>
    <w:rsid w:val="00A433F3"/>
    <w:rsid w:val="00A46203"/>
    <w:rsid w:val="00A515D5"/>
    <w:rsid w:val="00A53956"/>
    <w:rsid w:val="00A64A4E"/>
    <w:rsid w:val="00A66078"/>
    <w:rsid w:val="00A77C5A"/>
    <w:rsid w:val="00A83FB3"/>
    <w:rsid w:val="00A863C7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B45C3"/>
    <w:rsid w:val="00BB4FAF"/>
    <w:rsid w:val="00BC2077"/>
    <w:rsid w:val="00BD6513"/>
    <w:rsid w:val="00BD6F8C"/>
    <w:rsid w:val="00BE0BF3"/>
    <w:rsid w:val="00BE530D"/>
    <w:rsid w:val="00BE59BC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669E"/>
    <w:rsid w:val="00CF791E"/>
    <w:rsid w:val="00D1184C"/>
    <w:rsid w:val="00D1473F"/>
    <w:rsid w:val="00D41734"/>
    <w:rsid w:val="00D46D9C"/>
    <w:rsid w:val="00D54385"/>
    <w:rsid w:val="00D7054C"/>
    <w:rsid w:val="00D72375"/>
    <w:rsid w:val="00D77BE1"/>
    <w:rsid w:val="00D87F7C"/>
    <w:rsid w:val="00D931CC"/>
    <w:rsid w:val="00DA0C6A"/>
    <w:rsid w:val="00DA1810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1E94"/>
    <w:rsid w:val="00DE67C3"/>
    <w:rsid w:val="00DF1626"/>
    <w:rsid w:val="00DF656A"/>
    <w:rsid w:val="00E01DBE"/>
    <w:rsid w:val="00E02B68"/>
    <w:rsid w:val="00E055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A0F0B"/>
    <w:rsid w:val="00EA1888"/>
    <w:rsid w:val="00EB23CA"/>
    <w:rsid w:val="00EB4C6A"/>
    <w:rsid w:val="00EB6FC4"/>
    <w:rsid w:val="00EB7618"/>
    <w:rsid w:val="00EE0C21"/>
    <w:rsid w:val="00EE3FA7"/>
    <w:rsid w:val="00EE6A5E"/>
    <w:rsid w:val="00EF1B98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5A21"/>
    <w:rsid w:val="00FC6E5B"/>
    <w:rsid w:val="00FD0B6B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CDC016C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E460-F8C9-4965-A9CF-C558E430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2021-03-26T08:38:00Z</dcterms:created>
  <dcterms:modified xsi:type="dcterms:W3CDTF">2021-03-26T08:38:00Z</dcterms:modified>
</cp:coreProperties>
</file>