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41A0D0A5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МБ-П-20</w:t>
      </w:r>
      <w:r>
        <w:rPr>
          <w:rFonts w:ascii="Tahoma" w:hAnsi="Tahoma" w:cs="Tahoma"/>
          <w:sz w:val="24"/>
          <w:szCs w:val="24"/>
        </w:rPr>
        <w:t>21</w:t>
      </w:r>
      <w:r w:rsidRPr="0011566A">
        <w:rPr>
          <w:rFonts w:ascii="Tahoma" w:hAnsi="Tahoma" w:cs="Tahoma"/>
          <w:sz w:val="24"/>
          <w:szCs w:val="24"/>
        </w:rPr>
        <w:t>-</w:t>
      </w:r>
      <w:r w:rsidR="006C3D86" w:rsidRPr="006C3D86">
        <w:rPr>
          <w:rFonts w:ascii="Tahoma" w:hAnsi="Tahoma" w:cs="Tahoma"/>
          <w:sz w:val="24"/>
          <w:szCs w:val="24"/>
        </w:rPr>
        <w:t>3553</w:t>
      </w:r>
      <w:r w:rsidRPr="006C3D86">
        <w:rPr>
          <w:rFonts w:ascii="Tahoma" w:hAnsi="Tahoma" w:cs="Tahoma"/>
          <w:sz w:val="24"/>
          <w:szCs w:val="24"/>
        </w:rPr>
        <w:t xml:space="preserve"> от </w:t>
      </w:r>
      <w:r w:rsidR="006C3D86" w:rsidRPr="006C3D86">
        <w:rPr>
          <w:rFonts w:ascii="Tahoma" w:hAnsi="Tahoma" w:cs="Tahoma"/>
          <w:sz w:val="24"/>
          <w:szCs w:val="24"/>
        </w:rPr>
        <w:t>03</w:t>
      </w:r>
      <w:r w:rsidRPr="006C3D86">
        <w:rPr>
          <w:rFonts w:ascii="Tahoma" w:hAnsi="Tahoma" w:cs="Tahoma"/>
          <w:sz w:val="24"/>
          <w:szCs w:val="24"/>
        </w:rPr>
        <w:t>.</w:t>
      </w:r>
      <w:r w:rsidR="005370F4" w:rsidRPr="006C3D86">
        <w:rPr>
          <w:rFonts w:ascii="Tahoma" w:hAnsi="Tahoma" w:cs="Tahoma"/>
          <w:sz w:val="24"/>
          <w:szCs w:val="24"/>
        </w:rPr>
        <w:t>12</w:t>
      </w:r>
      <w:r w:rsidRPr="006C3D86">
        <w:rPr>
          <w:rFonts w:ascii="Tahoma" w:hAnsi="Tahoma" w:cs="Tahoma"/>
          <w:sz w:val="24"/>
          <w:szCs w:val="24"/>
        </w:rPr>
        <w:t>.2021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  <w:bookmarkStart w:id="0" w:name="_GoBack"/>
      <w:bookmarkEnd w:id="0"/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51C0ABB1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2" w:name="_Hlk89339226"/>
      <w:bookmarkStart w:id="3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 (далее – Часть I Правил торгов), Частью II. Секция фондового рынка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 (далее – Часть III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bookmarkStart w:id="4" w:name="_Hlk89073252"/>
      <w:r w:rsidRPr="00BA6108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IV</w:t>
      </w:r>
      <w:r w:rsidRPr="005C5A27">
        <w:rPr>
          <w:rFonts w:ascii="Tahoma" w:hAnsi="Tahoma" w:cs="Tahoma"/>
          <w:sz w:val="24"/>
          <w:szCs w:val="24"/>
        </w:rPr>
        <w:t xml:space="preserve"> Правил торгов) </w:t>
      </w:r>
      <w:r>
        <w:rPr>
          <w:rFonts w:ascii="Tahoma" w:hAnsi="Tahoma" w:cs="Tahoma"/>
          <w:sz w:val="24"/>
          <w:szCs w:val="24"/>
        </w:rPr>
        <w:t xml:space="preserve">и </w:t>
      </w:r>
      <w:r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5" w:name="_Hlk51833116"/>
      <w:r>
        <w:rPr>
          <w:rFonts w:ascii="Tahoma" w:hAnsi="Tahoma" w:cs="Tahoma"/>
          <w:sz w:val="24"/>
          <w:szCs w:val="24"/>
        </w:rPr>
        <w:t>27</w:t>
      </w:r>
      <w:r w:rsidRPr="006559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октября</w:t>
      </w:r>
      <w:r w:rsidRPr="00655956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1</w:t>
      </w:r>
      <w:r w:rsidRPr="00655956">
        <w:rPr>
          <w:rFonts w:ascii="Tahoma" w:hAnsi="Tahoma" w:cs="Tahoma"/>
          <w:sz w:val="24"/>
          <w:szCs w:val="24"/>
        </w:rPr>
        <w:t xml:space="preserve"> г. (Протокол №</w:t>
      </w:r>
      <w:r>
        <w:rPr>
          <w:rFonts w:ascii="Tahoma" w:hAnsi="Tahoma" w:cs="Tahoma"/>
          <w:sz w:val="24"/>
          <w:szCs w:val="24"/>
        </w:rPr>
        <w:t>11</w:t>
      </w:r>
      <w:r w:rsidRPr="00655956">
        <w:rPr>
          <w:rFonts w:ascii="Tahoma" w:hAnsi="Tahoma" w:cs="Tahoma"/>
          <w:sz w:val="24"/>
          <w:szCs w:val="24"/>
        </w:rPr>
        <w:t>)</w:t>
      </w:r>
      <w:bookmarkEnd w:id="5"/>
      <w:r w:rsidRPr="005C5A27">
        <w:rPr>
          <w:rFonts w:ascii="Tahoma" w:hAnsi="Tahoma" w:cs="Tahoma"/>
          <w:sz w:val="24"/>
          <w:szCs w:val="24"/>
        </w:rPr>
        <w:t>, (далее – Правила торгов) с даты вступления в силу Части I, Части II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</w:t>
      </w:r>
      <w:r>
        <w:rPr>
          <w:rFonts w:ascii="Tahoma" w:hAnsi="Tahoma" w:cs="Tahoma"/>
          <w:sz w:val="24"/>
          <w:szCs w:val="24"/>
        </w:rPr>
        <w:t xml:space="preserve">, </w:t>
      </w:r>
      <w:r w:rsidRPr="009A23BC">
        <w:rPr>
          <w:rFonts w:ascii="Tahoma" w:hAnsi="Tahoma" w:cs="Tahoma"/>
          <w:sz w:val="22"/>
          <w:szCs w:val="22"/>
        </w:rPr>
        <w:t>Част</w:t>
      </w:r>
      <w:r>
        <w:rPr>
          <w:rFonts w:ascii="Tahoma" w:hAnsi="Tahoma" w:cs="Tahoma"/>
          <w:sz w:val="22"/>
          <w:szCs w:val="22"/>
        </w:rPr>
        <w:t>и</w:t>
      </w:r>
      <w:r w:rsidRPr="009A23BC">
        <w:rPr>
          <w:rFonts w:ascii="Tahoma" w:hAnsi="Tahoma" w:cs="Tahoma"/>
          <w:sz w:val="22"/>
          <w:szCs w:val="22"/>
        </w:rPr>
        <w:t xml:space="preserve"> IV</w:t>
      </w:r>
      <w:r>
        <w:rPr>
          <w:rFonts w:ascii="Tahoma" w:hAnsi="Tahoma" w:cs="Tahoma"/>
          <w:sz w:val="22"/>
          <w:szCs w:val="22"/>
        </w:rPr>
        <w:t xml:space="preserve"> и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9A23BC">
        <w:rPr>
          <w:rFonts w:ascii="Tahoma" w:hAnsi="Tahoma" w:cs="Tahoma"/>
          <w:sz w:val="22"/>
          <w:szCs w:val="22"/>
        </w:rPr>
        <w:t>Част</w:t>
      </w:r>
      <w:r>
        <w:rPr>
          <w:rFonts w:ascii="Tahoma" w:hAnsi="Tahoma" w:cs="Tahoma"/>
          <w:sz w:val="22"/>
          <w:szCs w:val="22"/>
        </w:rPr>
        <w:t>и</w:t>
      </w:r>
      <w:r w:rsidRPr="009A23BC">
        <w:rPr>
          <w:rFonts w:ascii="Tahoma" w:hAnsi="Tahoma" w:cs="Tahoma"/>
          <w:sz w:val="22"/>
          <w:szCs w:val="22"/>
        </w:rPr>
        <w:t xml:space="preserve"> V</w:t>
      </w:r>
      <w:r w:rsidRPr="005C5A27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004E5EDA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1.12.3 (1.12.3.2), п.1.13.2 (</w:t>
      </w:r>
      <w:r>
        <w:rPr>
          <w:rFonts w:ascii="Tahoma" w:hAnsi="Tahoma" w:cs="Tahoma"/>
          <w:sz w:val="24"/>
          <w:szCs w:val="24"/>
        </w:rPr>
        <w:t xml:space="preserve">1.13.2.1, </w:t>
      </w:r>
      <w:r w:rsidRPr="00F5645E">
        <w:rPr>
          <w:rFonts w:ascii="Tahoma" w:hAnsi="Tahoma" w:cs="Tahoma"/>
          <w:sz w:val="24"/>
          <w:szCs w:val="24"/>
        </w:rPr>
        <w:t>1.13.2.</w:t>
      </w:r>
      <w:r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 xml:space="preserve">),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 xml:space="preserve">на фондовом </w:t>
      </w:r>
      <w:proofErr w:type="gramStart"/>
      <w:r w:rsidRPr="00F5645E">
        <w:rPr>
          <w:rFonts w:ascii="Tahoma" w:hAnsi="Tahoma" w:cs="Tahoma"/>
          <w:sz w:val="24"/>
          <w:szCs w:val="24"/>
        </w:rPr>
        <w:t>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 xml:space="preserve"> рынке</w:t>
      </w:r>
      <w:proofErr w:type="gramEnd"/>
      <w:r w:rsidRPr="00F5645E">
        <w:rPr>
          <w:rFonts w:ascii="Tahoma" w:hAnsi="Tahoma" w:cs="Tahoma"/>
          <w:sz w:val="24"/>
          <w:szCs w:val="24"/>
        </w:rPr>
        <w:t xml:space="preserve">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2"/>
    <w:bookmarkEnd w:id="3"/>
    <w:p w14:paraId="6BF8F668" w14:textId="5FD59B8F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 xml:space="preserve">следующие дополнительные условия проведения торгов ценными бумагами на фондовом </w:t>
      </w:r>
      <w:proofErr w:type="gramStart"/>
      <w:r w:rsidR="00C263D3" w:rsidRPr="00F5645E">
        <w:rPr>
          <w:rFonts w:ascii="Tahoma" w:hAnsi="Tahoma" w:cs="Tahoma"/>
          <w:sz w:val="24"/>
          <w:szCs w:val="24"/>
        </w:rPr>
        <w:t>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рынке</w:t>
      </w:r>
      <w:proofErr w:type="gramEnd"/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6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6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77777777"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</w:t>
      </w:r>
      <w:r w:rsidR="00CF669E" w:rsidRPr="002B0694">
        <w:rPr>
          <w:rFonts w:ascii="Tahoma" w:hAnsi="Tahoma" w:cs="Tahoma"/>
          <w:sz w:val="24"/>
          <w:szCs w:val="24"/>
        </w:rPr>
        <w:lastRenderedPageBreak/>
        <w:t xml:space="preserve">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77777777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lastRenderedPageBreak/>
        <w:t>минимальное значение суммы РЕПО: 1 рубль;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на привлечение денежных средств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5899F8C5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</w:t>
      </w:r>
      <w:r w:rsidRPr="002B0694">
        <w:rPr>
          <w:rFonts w:ascii="Tahoma" w:hAnsi="Tahoma" w:cs="Tahoma"/>
          <w:sz w:val="24"/>
          <w:szCs w:val="24"/>
        </w:rPr>
        <w:lastRenderedPageBreak/>
        <w:t>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</w:t>
      </w:r>
      <w:r w:rsidRPr="002B0694">
        <w:rPr>
          <w:rFonts w:ascii="Tahoma" w:hAnsi="Tahoma" w:cs="Tahoma"/>
          <w:sz w:val="24"/>
          <w:szCs w:val="24"/>
        </w:rPr>
        <w:lastRenderedPageBreak/>
        <w:t>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7777777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</w:p>
    <w:p w14:paraId="0F20D537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на привлечение денежных средств,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>ов по наступлению времени активации встречной заявки на размещение денежных средств.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1D0A08C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 только ОФЗ и ГОВОЗ</w:t>
      </w:r>
      <w:r w:rsidRPr="002B0694">
        <w:rPr>
          <w:rFonts w:ascii="Tahoma" w:hAnsi="Tahoma" w:cs="Tahoma"/>
          <w:sz w:val="24"/>
          <w:szCs w:val="24"/>
        </w:rPr>
        <w:t xml:space="preserve">. 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59D29167" w14:textId="77777777" w:rsidR="007D743E" w:rsidRPr="009879D4" w:rsidRDefault="007D743E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 xml:space="preserve">подавать заявки на </w:t>
      </w:r>
      <w:r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Pr="007D743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с ЦК – </w:t>
      </w:r>
      <w:r>
        <w:rPr>
          <w:rFonts w:ascii="Tahoma" w:hAnsi="Tahoma" w:cs="Tahoma"/>
          <w:sz w:val="24"/>
          <w:szCs w:val="24"/>
        </w:rPr>
        <w:t>Симметричный а</w:t>
      </w:r>
      <w:r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Pr="00240E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>
        <w:rPr>
          <w:rFonts w:ascii="Tahoma" w:hAnsi="Tahoma" w:cs="Tahoma"/>
          <w:sz w:val="24"/>
          <w:szCs w:val="24"/>
        </w:rPr>
        <w:t>.</w:t>
      </w:r>
    </w:p>
    <w:p w14:paraId="7E20EF6F" w14:textId="77777777"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lastRenderedPageBreak/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7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</w:t>
      </w:r>
      <w:r w:rsidR="008E00E2" w:rsidRPr="00E52CC3">
        <w:rPr>
          <w:rFonts w:ascii="Tahoma" w:hAnsi="Tahoma" w:cs="Tahoma"/>
          <w:sz w:val="24"/>
          <w:szCs w:val="24"/>
        </w:rPr>
        <w:lastRenderedPageBreak/>
        <w:t xml:space="preserve">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7"/>
    <w:p w14:paraId="389B770E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3F33211D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</w:t>
      </w:r>
      <w:r w:rsidRPr="002B0694">
        <w:rPr>
          <w:rFonts w:ascii="Tahoma" w:hAnsi="Tahoma" w:cs="Tahoma"/>
          <w:sz w:val="24"/>
          <w:szCs w:val="24"/>
        </w:rPr>
        <w:lastRenderedPageBreak/>
        <w:t>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77777777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734CC988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0E7453E6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1FC3443F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77777777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</w:t>
      </w:r>
      <w:r w:rsidRPr="002B0694">
        <w:rPr>
          <w:rFonts w:ascii="Tahoma" w:hAnsi="Tahoma" w:cs="Tahoma"/>
          <w:sz w:val="24"/>
          <w:szCs w:val="24"/>
        </w:rPr>
        <w:lastRenderedPageBreak/>
        <w:t>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</w:t>
      </w:r>
      <w:r w:rsidRPr="002B0694">
        <w:rPr>
          <w:rFonts w:ascii="Tahoma" w:hAnsi="Tahoma" w:cs="Tahoma"/>
          <w:sz w:val="24"/>
          <w:szCs w:val="24"/>
        </w:rPr>
        <w:lastRenderedPageBreak/>
        <w:t>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2DE58EA" w14:textId="77777777"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03E17" w14:textId="77777777" w:rsidR="00FA5A68" w:rsidRDefault="00FA5A68">
      <w:r>
        <w:separator/>
      </w:r>
    </w:p>
  </w:endnote>
  <w:endnote w:type="continuationSeparator" w:id="0">
    <w:p w14:paraId="21650BDF" w14:textId="77777777" w:rsidR="00FA5A68" w:rsidRDefault="00FA5A68">
      <w:r>
        <w:continuationSeparator/>
      </w:r>
    </w:p>
  </w:endnote>
  <w:endnote w:type="continuationNotice" w:id="1">
    <w:p w14:paraId="5C023C79" w14:textId="77777777" w:rsidR="00FA5A68" w:rsidRDefault="00FA5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396BA" w14:textId="77777777" w:rsidR="00FA5A68" w:rsidRDefault="00FA5A68">
      <w:r>
        <w:separator/>
      </w:r>
    </w:p>
  </w:footnote>
  <w:footnote w:type="continuationSeparator" w:id="0">
    <w:p w14:paraId="66346154" w14:textId="77777777" w:rsidR="00FA5A68" w:rsidRDefault="00FA5A68">
      <w:r>
        <w:continuationSeparator/>
      </w:r>
    </w:p>
  </w:footnote>
  <w:footnote w:type="continuationNotice" w:id="1">
    <w:p w14:paraId="0910700C" w14:textId="77777777" w:rsidR="00FA5A68" w:rsidRDefault="00FA5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4"/>
  </w:num>
  <w:num w:numId="7">
    <w:abstractNumId w:val="16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2"/>
  </w:num>
  <w:num w:numId="14">
    <w:abstractNumId w:val="1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09AD"/>
    <w:rsid w:val="001F5184"/>
    <w:rsid w:val="001F70F3"/>
    <w:rsid w:val="00203AC2"/>
    <w:rsid w:val="00204B30"/>
    <w:rsid w:val="00204BAE"/>
    <w:rsid w:val="00205BAF"/>
    <w:rsid w:val="002065C6"/>
    <w:rsid w:val="00211C7B"/>
    <w:rsid w:val="00212AA9"/>
    <w:rsid w:val="00213C65"/>
    <w:rsid w:val="002155DA"/>
    <w:rsid w:val="002211CB"/>
    <w:rsid w:val="00221830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C1BCC"/>
    <w:rsid w:val="003D06B7"/>
    <w:rsid w:val="003D59E9"/>
    <w:rsid w:val="003E643A"/>
    <w:rsid w:val="003E6DD0"/>
    <w:rsid w:val="0041205B"/>
    <w:rsid w:val="00417147"/>
    <w:rsid w:val="0042070A"/>
    <w:rsid w:val="00422769"/>
    <w:rsid w:val="00422ED6"/>
    <w:rsid w:val="00426634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D3BFB"/>
    <w:rsid w:val="004D3DC5"/>
    <w:rsid w:val="004F1198"/>
    <w:rsid w:val="004F797A"/>
    <w:rsid w:val="00506B7D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82A1B"/>
    <w:rsid w:val="00583EFE"/>
    <w:rsid w:val="00584FEF"/>
    <w:rsid w:val="005876D1"/>
    <w:rsid w:val="00590C85"/>
    <w:rsid w:val="005A5C04"/>
    <w:rsid w:val="005B17FE"/>
    <w:rsid w:val="005B6600"/>
    <w:rsid w:val="005D0173"/>
    <w:rsid w:val="005E0010"/>
    <w:rsid w:val="005E3FDC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55026"/>
    <w:rsid w:val="006557C9"/>
    <w:rsid w:val="006562E9"/>
    <w:rsid w:val="00666F98"/>
    <w:rsid w:val="00671E7E"/>
    <w:rsid w:val="006757A8"/>
    <w:rsid w:val="006A12F0"/>
    <w:rsid w:val="006A4509"/>
    <w:rsid w:val="006A62CE"/>
    <w:rsid w:val="006A691B"/>
    <w:rsid w:val="006C3A65"/>
    <w:rsid w:val="006C3D86"/>
    <w:rsid w:val="006C40F7"/>
    <w:rsid w:val="006C6182"/>
    <w:rsid w:val="006D6C0E"/>
    <w:rsid w:val="006E15D1"/>
    <w:rsid w:val="006E18A7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6BB6"/>
    <w:rsid w:val="007B269F"/>
    <w:rsid w:val="007B4391"/>
    <w:rsid w:val="007C4C5C"/>
    <w:rsid w:val="007C55C1"/>
    <w:rsid w:val="007C5C17"/>
    <w:rsid w:val="007C7239"/>
    <w:rsid w:val="007D3840"/>
    <w:rsid w:val="007D743E"/>
    <w:rsid w:val="007F02B9"/>
    <w:rsid w:val="007F368C"/>
    <w:rsid w:val="007F3F3A"/>
    <w:rsid w:val="007F5034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C4F5A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55B4"/>
    <w:rsid w:val="009C5788"/>
    <w:rsid w:val="009C71F1"/>
    <w:rsid w:val="009D31FA"/>
    <w:rsid w:val="009D62F4"/>
    <w:rsid w:val="009E5921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5424"/>
    <w:rsid w:val="00A95683"/>
    <w:rsid w:val="00AA08F9"/>
    <w:rsid w:val="00AA4762"/>
    <w:rsid w:val="00AA53BC"/>
    <w:rsid w:val="00AA615C"/>
    <w:rsid w:val="00AB125B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25ED3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A6108"/>
    <w:rsid w:val="00BB45C3"/>
    <w:rsid w:val="00BB4FAF"/>
    <w:rsid w:val="00BC2077"/>
    <w:rsid w:val="00BD6513"/>
    <w:rsid w:val="00BD6830"/>
    <w:rsid w:val="00BD6F8C"/>
    <w:rsid w:val="00BE0BF3"/>
    <w:rsid w:val="00BE530D"/>
    <w:rsid w:val="00BE59BC"/>
    <w:rsid w:val="00C009D4"/>
    <w:rsid w:val="00C22683"/>
    <w:rsid w:val="00C263D3"/>
    <w:rsid w:val="00C2754A"/>
    <w:rsid w:val="00C320F6"/>
    <w:rsid w:val="00C3330B"/>
    <w:rsid w:val="00C336F3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669E"/>
    <w:rsid w:val="00CF791E"/>
    <w:rsid w:val="00D0039B"/>
    <w:rsid w:val="00D04F69"/>
    <w:rsid w:val="00D1184C"/>
    <w:rsid w:val="00D1473F"/>
    <w:rsid w:val="00D41734"/>
    <w:rsid w:val="00D46D9C"/>
    <w:rsid w:val="00D505D7"/>
    <w:rsid w:val="00D54385"/>
    <w:rsid w:val="00D7054C"/>
    <w:rsid w:val="00D72375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656A"/>
    <w:rsid w:val="00E01DBE"/>
    <w:rsid w:val="00E02B68"/>
    <w:rsid w:val="00E0557A"/>
    <w:rsid w:val="00E163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96A51"/>
    <w:rsid w:val="00EA0F0B"/>
    <w:rsid w:val="00EA1888"/>
    <w:rsid w:val="00EA7B4F"/>
    <w:rsid w:val="00EB23CA"/>
    <w:rsid w:val="00EB4C6A"/>
    <w:rsid w:val="00EB6FC4"/>
    <w:rsid w:val="00EB7618"/>
    <w:rsid w:val="00ED5B6B"/>
    <w:rsid w:val="00EE0C21"/>
    <w:rsid w:val="00EE3FA7"/>
    <w:rsid w:val="00EE6A5E"/>
    <w:rsid w:val="00EF1B98"/>
    <w:rsid w:val="00EF320D"/>
    <w:rsid w:val="00EF51C3"/>
    <w:rsid w:val="00EF7827"/>
    <w:rsid w:val="00F003C3"/>
    <w:rsid w:val="00F018C4"/>
    <w:rsid w:val="00F1449F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42273-13A5-4B0B-AFF2-DBECFD67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5086</Words>
  <Characters>28993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3</cp:revision>
  <cp:lastPrinted>2020-02-13T12:41:00Z</cp:lastPrinted>
  <dcterms:created xsi:type="dcterms:W3CDTF">2021-12-02T10:19:00Z</dcterms:created>
  <dcterms:modified xsi:type="dcterms:W3CDTF">2021-12-03T10:47:00Z</dcterms:modified>
</cp:coreProperties>
</file>