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6B664B25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EC7373" w:rsidRPr="002E6A5F">
        <w:rPr>
          <w:rFonts w:ascii="Tahoma" w:hAnsi="Tahoma" w:cs="Tahoma"/>
          <w:sz w:val="24"/>
          <w:szCs w:val="24"/>
        </w:rPr>
        <w:t>1404</w:t>
      </w:r>
      <w:r w:rsidR="007E1E2F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6C3D86">
        <w:rPr>
          <w:rFonts w:ascii="Tahoma" w:hAnsi="Tahoma" w:cs="Tahoma"/>
          <w:sz w:val="24"/>
          <w:szCs w:val="24"/>
        </w:rPr>
        <w:t xml:space="preserve">от </w:t>
      </w:r>
      <w:r w:rsidR="005C4CA4">
        <w:rPr>
          <w:rFonts w:ascii="Tahoma" w:hAnsi="Tahoma" w:cs="Tahoma"/>
          <w:sz w:val="24"/>
          <w:szCs w:val="24"/>
        </w:rPr>
        <w:t>1</w:t>
      </w:r>
      <w:r w:rsidR="007E1E2F">
        <w:rPr>
          <w:rFonts w:ascii="Tahoma" w:hAnsi="Tahoma" w:cs="Tahoma"/>
          <w:sz w:val="24"/>
          <w:szCs w:val="24"/>
        </w:rPr>
        <w:t>5</w:t>
      </w:r>
      <w:r w:rsidRPr="006C3D86">
        <w:rPr>
          <w:rFonts w:ascii="Tahoma" w:hAnsi="Tahoma" w:cs="Tahoma"/>
          <w:sz w:val="24"/>
          <w:szCs w:val="24"/>
        </w:rPr>
        <w:t>.</w:t>
      </w:r>
      <w:r w:rsidR="005C4CA4">
        <w:rPr>
          <w:rFonts w:ascii="Tahoma" w:hAnsi="Tahoma" w:cs="Tahoma"/>
          <w:sz w:val="24"/>
          <w:szCs w:val="24"/>
        </w:rPr>
        <w:t>07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FE46D07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C7097">
        <w:rPr>
          <w:rFonts w:ascii="Tahoma" w:hAnsi="Tahoma" w:cs="Tahoma"/>
          <w:sz w:val="24"/>
          <w:szCs w:val="24"/>
        </w:rPr>
        <w:t>20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3C7097">
        <w:rPr>
          <w:rFonts w:ascii="Tahoma" w:hAnsi="Tahoma" w:cs="Tahoma"/>
          <w:sz w:val="24"/>
          <w:szCs w:val="24"/>
        </w:rPr>
        <w:t>июня</w:t>
      </w:r>
      <w:r w:rsidR="003C7097" w:rsidRPr="00655956">
        <w:rPr>
          <w:rFonts w:ascii="Tahoma" w:hAnsi="Tahoma" w:cs="Tahoma"/>
          <w:sz w:val="24"/>
          <w:szCs w:val="24"/>
        </w:rPr>
        <w:t xml:space="preserve"> 202</w:t>
      </w:r>
      <w:r w:rsidR="003C7097">
        <w:rPr>
          <w:rFonts w:ascii="Tahoma" w:hAnsi="Tahoma" w:cs="Tahoma"/>
          <w:sz w:val="24"/>
          <w:szCs w:val="24"/>
        </w:rPr>
        <w:t>2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3C7097">
        <w:rPr>
          <w:rFonts w:ascii="Tahoma" w:hAnsi="Tahoma" w:cs="Tahoma"/>
          <w:sz w:val="24"/>
          <w:szCs w:val="24"/>
        </w:rPr>
        <w:t>2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7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9A7C64C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 в Режиме торгов «РЕПО с ЦК – Безадресные заявки» с расчетами в рублях РФ являются Y0/Y1Dt, Y0/Y1W, а для сделок, заключаемых с ОФЗ, дополнительно – Y0/Y1M, Y0/Y3M. Допустимым кодом расчетов при заключении сделок РЕПО с ЦК с расчетами в юанях, долларах США и евро является Y0/Y1Dt. При заключении сделок РЕПО с ЦК с клиринговыми сертификатами участия (далее – КСУ) с расчетами в рублях РФ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1D0A08C" w14:textId="346F5A6E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 только ОФЗ</w:t>
      </w:r>
      <w:r w:rsidR="006B3B02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ГОВОЗ</w:t>
      </w:r>
      <w:r w:rsidR="006B3B02">
        <w:rPr>
          <w:rFonts w:ascii="Tahoma" w:hAnsi="Tahoma" w:cs="Tahoma"/>
          <w:sz w:val="24"/>
          <w:szCs w:val="24"/>
        </w:rPr>
        <w:t>, а также</w:t>
      </w:r>
      <w:r w:rsidR="00641D1E">
        <w:rPr>
          <w:rFonts w:ascii="Tahoma" w:hAnsi="Tahoma" w:cs="Tahoma"/>
          <w:sz w:val="24"/>
          <w:szCs w:val="24"/>
        </w:rPr>
        <w:t xml:space="preserve"> </w:t>
      </w:r>
      <w:r w:rsidR="006B3B02">
        <w:rPr>
          <w:rFonts w:ascii="Tahoma" w:hAnsi="Tahoma" w:cs="Tahoma"/>
          <w:sz w:val="24"/>
          <w:szCs w:val="24"/>
        </w:rPr>
        <w:t>облигации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 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 w:rsidRPr="002B0694">
        <w:rPr>
          <w:rFonts w:ascii="Tahoma" w:hAnsi="Tahoma" w:cs="Tahoma"/>
          <w:sz w:val="24"/>
          <w:szCs w:val="24"/>
        </w:rPr>
        <w:t xml:space="preserve">. 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19B3ACD7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Аукцион», «Депозиты с ЦК – Безадресные заявки» и «Депозиты с ЦК – Адресные заявки» заключаются только в рублях РФ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8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8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В Режиме торгов «Депозиты с ЦК – Аукцион» минимальная сумма депозита (объем денежных средств, указанный в заявке Депозиты (ЦК)) 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</w:t>
      </w:r>
      <w:r w:rsidR="003A0014">
        <w:rPr>
          <w:rFonts w:ascii="Tahoma" w:hAnsi="Tahoma" w:cs="Tahoma"/>
          <w:sz w:val="24"/>
          <w:szCs w:val="24"/>
        </w:rPr>
        <w:lastRenderedPageBreak/>
        <w:t xml:space="preserve">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lastRenderedPageBreak/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</w:t>
      </w:r>
      <w:r w:rsidRPr="00D02291">
        <w:rPr>
          <w:rFonts w:ascii="Tahoma" w:hAnsi="Tahoma" w:cs="Tahoma"/>
          <w:color w:val="000000"/>
          <w:sz w:val="24"/>
          <w:szCs w:val="24"/>
        </w:rPr>
        <w:lastRenderedPageBreak/>
        <w:t>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BE85" w14:textId="77777777" w:rsidR="00EE2BA9" w:rsidRDefault="00EE2BA9">
      <w:r>
        <w:separator/>
      </w:r>
    </w:p>
  </w:endnote>
  <w:endnote w:type="continuationSeparator" w:id="0">
    <w:p w14:paraId="216A6B10" w14:textId="77777777" w:rsidR="00EE2BA9" w:rsidRDefault="00EE2BA9">
      <w:r>
        <w:continuationSeparator/>
      </w:r>
    </w:p>
  </w:endnote>
  <w:endnote w:type="continuationNotice" w:id="1">
    <w:p w14:paraId="534F3898" w14:textId="77777777" w:rsidR="00EE2BA9" w:rsidRDefault="00EE2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1DA0" w14:textId="77777777" w:rsidR="00EE2BA9" w:rsidRDefault="00EE2BA9">
      <w:r>
        <w:separator/>
      </w:r>
    </w:p>
  </w:footnote>
  <w:footnote w:type="continuationSeparator" w:id="0">
    <w:p w14:paraId="0C78F192" w14:textId="77777777" w:rsidR="00EE2BA9" w:rsidRDefault="00EE2BA9">
      <w:r>
        <w:continuationSeparator/>
      </w:r>
    </w:p>
  </w:footnote>
  <w:footnote w:type="continuationNotice" w:id="1">
    <w:p w14:paraId="7EEEDB13" w14:textId="77777777" w:rsidR="00EE2BA9" w:rsidRDefault="00EE2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3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49F0"/>
    <w:rsid w:val="001F5184"/>
    <w:rsid w:val="001F70F3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82A1B"/>
    <w:rsid w:val="00583EFE"/>
    <w:rsid w:val="00584FEF"/>
    <w:rsid w:val="005876D1"/>
    <w:rsid w:val="00590C85"/>
    <w:rsid w:val="005A5C04"/>
    <w:rsid w:val="005B17FE"/>
    <w:rsid w:val="005B6600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4FA41-3BEA-42B4-A7A6-ABBCDDD2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5</cp:revision>
  <cp:lastPrinted>2020-02-13T12:41:00Z</cp:lastPrinted>
  <dcterms:created xsi:type="dcterms:W3CDTF">2022-07-14T07:14:00Z</dcterms:created>
  <dcterms:modified xsi:type="dcterms:W3CDTF">2022-07-15T14:05:00Z</dcterms:modified>
</cp:coreProperties>
</file>