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31607" w14:textId="77777777" w:rsidR="00C263D3" w:rsidRPr="00834274" w:rsidRDefault="0027015E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</w:t>
      </w:r>
      <w:r w:rsidR="00C263D3" w:rsidRPr="0057754C">
        <w:rPr>
          <w:sz w:val="24"/>
          <w:szCs w:val="24"/>
        </w:rPr>
        <w:t xml:space="preserve">                                               </w:t>
      </w:r>
      <w:r w:rsidR="00C263D3">
        <w:rPr>
          <w:sz w:val="24"/>
          <w:szCs w:val="24"/>
        </w:rPr>
        <w:tab/>
      </w:r>
      <w:r w:rsidR="00C263D3">
        <w:rPr>
          <w:sz w:val="24"/>
          <w:szCs w:val="24"/>
        </w:rPr>
        <w:tab/>
      </w:r>
      <w:r w:rsidR="00C263D3" w:rsidRPr="001059AF">
        <w:rPr>
          <w:rFonts w:ascii="Arial" w:hAnsi="Arial" w:cs="Arial"/>
          <w:sz w:val="24"/>
          <w:szCs w:val="24"/>
        </w:rPr>
        <w:t xml:space="preserve">          </w:t>
      </w:r>
      <w:r w:rsidR="00C263D3"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3AE0F40B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  <w:lang w:eastAsia="en-US"/>
        </w:rPr>
      </w:pP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6F9EAAF7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</w:p>
    <w:p w14:paraId="3511BBE5" w14:textId="12DAF601" w:rsidR="00C263D3" w:rsidRPr="006C3D86" w:rsidRDefault="00545173" w:rsidP="00C263D3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C3D86">
        <w:rPr>
          <w:rFonts w:ascii="Tahoma" w:hAnsi="Tahoma" w:cs="Tahoma"/>
          <w:sz w:val="24"/>
          <w:szCs w:val="24"/>
        </w:rPr>
        <w:t xml:space="preserve">№ </w:t>
      </w:r>
      <w:r w:rsidRPr="0011566A">
        <w:rPr>
          <w:rFonts w:ascii="Tahoma" w:hAnsi="Tahoma" w:cs="Tahoma"/>
          <w:sz w:val="24"/>
          <w:szCs w:val="24"/>
        </w:rPr>
        <w:t>МБ-П-</w:t>
      </w:r>
      <w:r w:rsidR="00170753" w:rsidRPr="0011566A">
        <w:rPr>
          <w:rFonts w:ascii="Tahoma" w:hAnsi="Tahoma" w:cs="Tahoma"/>
          <w:sz w:val="24"/>
          <w:szCs w:val="24"/>
        </w:rPr>
        <w:t>20</w:t>
      </w:r>
      <w:r w:rsidR="00170753">
        <w:rPr>
          <w:rFonts w:ascii="Tahoma" w:hAnsi="Tahoma" w:cs="Tahoma"/>
          <w:sz w:val="24"/>
          <w:szCs w:val="24"/>
        </w:rPr>
        <w:t>22</w:t>
      </w:r>
      <w:r w:rsidR="008C7625" w:rsidRPr="0011566A">
        <w:rPr>
          <w:rFonts w:ascii="Tahoma" w:hAnsi="Tahoma" w:cs="Tahoma"/>
          <w:sz w:val="24"/>
          <w:szCs w:val="24"/>
        </w:rPr>
        <w:t>-</w:t>
      </w:r>
      <w:r w:rsidR="007214E2">
        <w:rPr>
          <w:rFonts w:ascii="Tahoma" w:hAnsi="Tahoma" w:cs="Tahoma"/>
          <w:sz w:val="24"/>
          <w:szCs w:val="24"/>
        </w:rPr>
        <w:t>2285</w:t>
      </w:r>
      <w:r w:rsidR="007E1E2F">
        <w:rPr>
          <w:rFonts w:ascii="Tahoma" w:hAnsi="Tahoma" w:cs="Tahoma"/>
          <w:sz w:val="24"/>
          <w:szCs w:val="24"/>
        </w:rPr>
        <w:t xml:space="preserve"> </w:t>
      </w:r>
      <w:r w:rsidRPr="006C3D86">
        <w:rPr>
          <w:rFonts w:ascii="Tahoma" w:hAnsi="Tahoma" w:cs="Tahoma"/>
          <w:sz w:val="24"/>
          <w:szCs w:val="24"/>
        </w:rPr>
        <w:t xml:space="preserve">от </w:t>
      </w:r>
      <w:r w:rsidR="00A94AB2">
        <w:rPr>
          <w:rFonts w:ascii="Tahoma" w:hAnsi="Tahoma" w:cs="Tahoma"/>
          <w:sz w:val="24"/>
          <w:szCs w:val="24"/>
        </w:rPr>
        <w:t>27</w:t>
      </w:r>
      <w:r w:rsidRPr="006C3D86">
        <w:rPr>
          <w:rFonts w:ascii="Tahoma" w:hAnsi="Tahoma" w:cs="Tahoma"/>
          <w:sz w:val="24"/>
          <w:szCs w:val="24"/>
        </w:rPr>
        <w:t>.</w:t>
      </w:r>
      <w:r w:rsidR="00A94AB2">
        <w:rPr>
          <w:rFonts w:ascii="Tahoma" w:hAnsi="Tahoma" w:cs="Tahoma"/>
          <w:sz w:val="24"/>
          <w:szCs w:val="24"/>
        </w:rPr>
        <w:t>10</w:t>
      </w:r>
      <w:r w:rsidRPr="006C3D86">
        <w:rPr>
          <w:rFonts w:ascii="Tahoma" w:hAnsi="Tahoma" w:cs="Tahoma"/>
          <w:sz w:val="24"/>
          <w:szCs w:val="24"/>
        </w:rPr>
        <w:t>.</w:t>
      </w:r>
      <w:r w:rsidR="00170753" w:rsidRPr="006C3D86">
        <w:rPr>
          <w:rFonts w:ascii="Tahoma" w:hAnsi="Tahoma" w:cs="Tahoma"/>
          <w:sz w:val="24"/>
          <w:szCs w:val="24"/>
        </w:rPr>
        <w:t>202</w:t>
      </w:r>
      <w:r w:rsidR="00170753">
        <w:rPr>
          <w:rFonts w:ascii="Tahoma" w:hAnsi="Tahoma" w:cs="Tahoma"/>
          <w:sz w:val="24"/>
          <w:szCs w:val="24"/>
        </w:rPr>
        <w:t>2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0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0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13ACE2BF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1" w:name="_Hlk89339226"/>
      <w:bookmarkStart w:id="2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C7097">
        <w:rPr>
          <w:rFonts w:ascii="Tahoma" w:hAnsi="Tahoma" w:cs="Tahoma"/>
          <w:sz w:val="24"/>
          <w:szCs w:val="24"/>
        </w:rPr>
        <w:t>20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3C7097">
        <w:rPr>
          <w:rFonts w:ascii="Tahoma" w:hAnsi="Tahoma" w:cs="Tahoma"/>
          <w:sz w:val="24"/>
          <w:szCs w:val="24"/>
        </w:rPr>
        <w:t>июня</w:t>
      </w:r>
      <w:r w:rsidR="003C7097" w:rsidRPr="00655956">
        <w:rPr>
          <w:rFonts w:ascii="Tahoma" w:hAnsi="Tahoma" w:cs="Tahoma"/>
          <w:sz w:val="24"/>
          <w:szCs w:val="24"/>
        </w:rPr>
        <w:t xml:space="preserve"> 202</w:t>
      </w:r>
      <w:r w:rsidR="003C7097">
        <w:rPr>
          <w:rFonts w:ascii="Tahoma" w:hAnsi="Tahoma" w:cs="Tahoma"/>
          <w:sz w:val="24"/>
          <w:szCs w:val="24"/>
        </w:rPr>
        <w:t>2</w:t>
      </w:r>
      <w:r w:rsidR="003C7097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3C7097">
        <w:rPr>
          <w:rFonts w:ascii="Tahoma" w:hAnsi="Tahoma" w:cs="Tahoma"/>
          <w:sz w:val="24"/>
          <w:szCs w:val="24"/>
        </w:rPr>
        <w:t>2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27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октября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11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A94AB2">
        <w:rPr>
          <w:rFonts w:ascii="Tahoma" w:hAnsi="Tahoma" w:cs="Tahoma"/>
          <w:sz w:val="24"/>
          <w:szCs w:val="24"/>
        </w:rPr>
        <w:t>22</w:t>
      </w:r>
      <w:r w:rsidR="00A94AB2" w:rsidRPr="00655956">
        <w:rPr>
          <w:rFonts w:ascii="Tahoma" w:hAnsi="Tahoma" w:cs="Tahoma"/>
          <w:sz w:val="24"/>
          <w:szCs w:val="24"/>
        </w:rPr>
        <w:t xml:space="preserve"> </w:t>
      </w:r>
      <w:r w:rsidR="00A94AB2">
        <w:rPr>
          <w:rFonts w:ascii="Tahoma" w:hAnsi="Tahoma" w:cs="Tahoma"/>
          <w:sz w:val="24"/>
          <w:szCs w:val="24"/>
        </w:rPr>
        <w:t>июля</w:t>
      </w:r>
      <w:r w:rsidR="00A94AB2" w:rsidRPr="00655956">
        <w:rPr>
          <w:rFonts w:ascii="Tahoma" w:hAnsi="Tahoma" w:cs="Tahoma"/>
          <w:sz w:val="24"/>
          <w:szCs w:val="24"/>
        </w:rPr>
        <w:t xml:space="preserve"> 202</w:t>
      </w:r>
      <w:r w:rsidR="00A94AB2">
        <w:rPr>
          <w:rFonts w:ascii="Tahoma" w:hAnsi="Tahoma" w:cs="Tahoma"/>
          <w:sz w:val="24"/>
          <w:szCs w:val="24"/>
        </w:rPr>
        <w:t>2</w:t>
      </w:r>
      <w:r w:rsidR="00A94AB2" w:rsidRPr="00655956">
        <w:rPr>
          <w:rFonts w:ascii="Tahoma" w:hAnsi="Tahoma" w:cs="Tahoma"/>
          <w:sz w:val="24"/>
          <w:szCs w:val="24"/>
        </w:rPr>
        <w:t xml:space="preserve"> </w:t>
      </w:r>
      <w:r w:rsidR="00222BC9" w:rsidRPr="00655956">
        <w:rPr>
          <w:rFonts w:ascii="Tahoma" w:hAnsi="Tahoma" w:cs="Tahoma"/>
          <w:sz w:val="24"/>
          <w:szCs w:val="24"/>
        </w:rPr>
        <w:t>г. (Протокол №</w:t>
      </w:r>
      <w:r w:rsidR="00A94AB2">
        <w:rPr>
          <w:rFonts w:ascii="Tahoma" w:hAnsi="Tahoma" w:cs="Tahoma"/>
          <w:sz w:val="24"/>
          <w:szCs w:val="24"/>
        </w:rPr>
        <w:t>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bookmarkStart w:id="3" w:name="_Hlk89073252"/>
      <w:r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222BC9">
        <w:rPr>
          <w:rFonts w:ascii="Tahoma" w:hAnsi="Tahoma" w:cs="Tahoma"/>
          <w:sz w:val="24"/>
          <w:szCs w:val="24"/>
        </w:rPr>
        <w:t>22</w:t>
      </w:r>
      <w:r w:rsidR="00222BC9" w:rsidRPr="00655956">
        <w:rPr>
          <w:rFonts w:ascii="Tahoma" w:hAnsi="Tahoma" w:cs="Tahoma"/>
          <w:sz w:val="24"/>
          <w:szCs w:val="24"/>
        </w:rPr>
        <w:t xml:space="preserve"> </w:t>
      </w:r>
      <w:r w:rsidR="00222BC9">
        <w:rPr>
          <w:rFonts w:ascii="Tahoma" w:hAnsi="Tahoma" w:cs="Tahoma"/>
          <w:sz w:val="24"/>
          <w:szCs w:val="24"/>
        </w:rPr>
        <w:t>декабря</w:t>
      </w:r>
      <w:r w:rsidR="00222BC9" w:rsidRPr="00655956">
        <w:rPr>
          <w:rFonts w:ascii="Tahoma" w:hAnsi="Tahoma" w:cs="Tahoma"/>
          <w:sz w:val="24"/>
          <w:szCs w:val="24"/>
        </w:rPr>
        <w:t xml:space="preserve"> 202</w:t>
      </w:r>
      <w:r w:rsidR="00222BC9">
        <w:rPr>
          <w:rFonts w:ascii="Tahoma" w:hAnsi="Tahoma" w:cs="Tahoma"/>
          <w:sz w:val="24"/>
          <w:szCs w:val="24"/>
        </w:rPr>
        <w:t>1</w:t>
      </w:r>
      <w:r w:rsidR="00222BC9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222BC9">
        <w:rPr>
          <w:rFonts w:ascii="Tahoma" w:hAnsi="Tahoma" w:cs="Tahoma"/>
          <w:sz w:val="24"/>
          <w:szCs w:val="24"/>
        </w:rPr>
        <w:t>14</w:t>
      </w:r>
      <w:r w:rsidR="00222BC9" w:rsidRPr="00655956">
        <w:rPr>
          <w:rFonts w:ascii="Tahoma" w:hAnsi="Tahoma" w:cs="Tahoma"/>
          <w:sz w:val="24"/>
          <w:szCs w:val="24"/>
        </w:rPr>
        <w:t>)</w:t>
      </w:r>
      <w:r w:rsidRPr="00BA610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IV</w:t>
      </w:r>
      <w:r w:rsidRPr="005C5A27">
        <w:rPr>
          <w:rFonts w:ascii="Tahoma" w:hAnsi="Tahoma" w:cs="Tahoma"/>
          <w:sz w:val="24"/>
          <w:szCs w:val="24"/>
        </w:rPr>
        <w:t xml:space="preserve"> Правил торгов) </w:t>
      </w:r>
      <w:r>
        <w:rPr>
          <w:rFonts w:ascii="Tahoma" w:hAnsi="Tahoma" w:cs="Tahoma"/>
          <w:sz w:val="24"/>
          <w:szCs w:val="24"/>
        </w:rPr>
        <w:t xml:space="preserve">и </w:t>
      </w:r>
      <w:r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3"/>
      <w:r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Pr="00BA6108">
        <w:rPr>
          <w:rFonts w:ascii="Tahoma" w:hAnsi="Tahoma" w:cs="Tahoma"/>
          <w:sz w:val="24"/>
          <w:szCs w:val="24"/>
        </w:rPr>
        <w:t>V</w:t>
      </w:r>
      <w:r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51833116"/>
      <w:r>
        <w:rPr>
          <w:rFonts w:ascii="Tahoma" w:hAnsi="Tahoma" w:cs="Tahoma"/>
          <w:sz w:val="24"/>
          <w:szCs w:val="24"/>
        </w:rPr>
        <w:t>27</w:t>
      </w:r>
      <w:r w:rsidRPr="006559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октября</w:t>
      </w:r>
      <w:r w:rsidRPr="00655956">
        <w:rPr>
          <w:rFonts w:ascii="Tahoma" w:hAnsi="Tahoma" w:cs="Tahoma"/>
          <w:sz w:val="24"/>
          <w:szCs w:val="24"/>
        </w:rPr>
        <w:t xml:space="preserve"> 202</w:t>
      </w:r>
      <w:r>
        <w:rPr>
          <w:rFonts w:ascii="Tahoma" w:hAnsi="Tahoma" w:cs="Tahoma"/>
          <w:sz w:val="24"/>
          <w:szCs w:val="24"/>
        </w:rPr>
        <w:t>1</w:t>
      </w:r>
      <w:r w:rsidRPr="00655956">
        <w:rPr>
          <w:rFonts w:ascii="Tahoma" w:hAnsi="Tahoma" w:cs="Tahoma"/>
          <w:sz w:val="24"/>
          <w:szCs w:val="24"/>
        </w:rPr>
        <w:t xml:space="preserve"> г. (Протокол №</w:t>
      </w:r>
      <w:r>
        <w:rPr>
          <w:rFonts w:ascii="Tahoma" w:hAnsi="Tahoma" w:cs="Tahoma"/>
          <w:sz w:val="24"/>
          <w:szCs w:val="24"/>
        </w:rPr>
        <w:t>11</w:t>
      </w:r>
      <w:r w:rsidRPr="00655956">
        <w:rPr>
          <w:rFonts w:ascii="Tahoma" w:hAnsi="Tahoma" w:cs="Tahoma"/>
          <w:sz w:val="24"/>
          <w:szCs w:val="24"/>
        </w:rPr>
        <w:t>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, (далее – Правила торгов) с </w:t>
      </w:r>
      <w:r w:rsidR="003E402A">
        <w:rPr>
          <w:rFonts w:ascii="Tahoma" w:hAnsi="Tahoma" w:cs="Tahoma"/>
          <w:sz w:val="24"/>
          <w:szCs w:val="24"/>
        </w:rPr>
        <w:t>31 октября 2022 года</w:t>
      </w:r>
      <w:r w:rsidRPr="005C5A27">
        <w:rPr>
          <w:rFonts w:ascii="Tahoma" w:hAnsi="Tahoma" w:cs="Tahoma"/>
          <w:sz w:val="24"/>
          <w:szCs w:val="24"/>
        </w:rPr>
        <w:t xml:space="preserve">, Правил торгов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 xml:space="preserve">на фондовом </w:t>
      </w:r>
      <w:r w:rsidRPr="00F5645E">
        <w:rPr>
          <w:rFonts w:ascii="Tahoma" w:hAnsi="Tahoma" w:cs="Tahoma"/>
          <w:sz w:val="24"/>
          <w:szCs w:val="24"/>
        </w:rPr>
        <w:lastRenderedPageBreak/>
        <w:t>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1"/>
    <w:bookmarkEnd w:id="2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5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5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320F6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="00C320F6">
        <w:rPr>
          <w:rFonts w:ascii="Tahoma" w:hAnsi="Tahoma" w:cs="Tahoma"/>
          <w:sz w:val="24"/>
          <w:szCs w:val="24"/>
        </w:rPr>
        <w:t xml:space="preserve">» может принимать одно из целых значений от 0 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77777777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6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7777777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 xml:space="preserve">»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7777777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и  </w:t>
      </w:r>
      <w:r w:rsidR="007A6BB6" w:rsidRPr="00352DC5">
        <w:rPr>
          <w:rFonts w:ascii="Tahoma" w:hAnsi="Tahoma" w:cs="Tahoma"/>
          <w:sz w:val="24"/>
          <w:szCs w:val="24"/>
        </w:rPr>
        <w:t xml:space="preserve"> </w:t>
      </w:r>
      <w:r w:rsidRPr="00352DC5">
        <w:rPr>
          <w:rFonts w:ascii="Tahoma" w:hAnsi="Tahoma" w:cs="Tahoma"/>
          <w:sz w:val="24"/>
          <w:szCs w:val="24"/>
        </w:rPr>
        <w:t>«Анонимный РПС»</w:t>
      </w:r>
      <w:r w:rsidRPr="003B1DBA">
        <w:rPr>
          <w:rFonts w:ascii="Tahoma" w:hAnsi="Tahoma" w:cs="Tahoma"/>
          <w:sz w:val="24"/>
          <w:szCs w:val="24"/>
        </w:rPr>
        <w:t xml:space="preserve"> 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77777777" w:rsidR="00AA53BC" w:rsidRDefault="00AA53BC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</w:t>
      </w:r>
      <w:r w:rsidRPr="003C65A8">
        <w:rPr>
          <w:rFonts w:ascii="Tahoma" w:hAnsi="Tahoma" w:cs="Tahoma"/>
          <w:sz w:val="24"/>
          <w:szCs w:val="24"/>
        </w:rPr>
        <w:lastRenderedPageBreak/>
        <w:t>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«Неполные лоты»;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крупными пакетами ценных бумаг;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77777777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 w:rsidRPr="008530DF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r w:rsidRPr="008530D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530DF">
        <w:rPr>
          <w:rFonts w:ascii="Tahoma" w:hAnsi="Tahoma" w:cs="Tahoma"/>
          <w:sz w:val="24"/>
          <w:szCs w:val="24"/>
        </w:rPr>
        <w:t>» в реквизитах заявки может быть указан только код расчетов и срок РЕПО, предусматривающие исполнение второй части сделки РЕПО в период, не выходящий за пределы даты, предшествующей дате окончания купонного периода, и/или за пределы даты фиксации реестра владельцев (включая дату фиксации реестра владельцев, если фиксация реестра владельцев осуществляются на конец операционного дня, и не включая дату фиксации реестра владельцев, если фиксация реестра владельцев осуществляется до начала торгов) купонного периода, на который приходилось исполнени</w:t>
      </w:r>
      <w:r w:rsidR="00FC6E5B">
        <w:rPr>
          <w:rFonts w:ascii="Tahoma" w:hAnsi="Tahoma" w:cs="Tahoma"/>
          <w:sz w:val="24"/>
          <w:szCs w:val="24"/>
        </w:rPr>
        <w:t>е</w:t>
      </w:r>
      <w:r w:rsidRPr="008530DF">
        <w:rPr>
          <w:rFonts w:ascii="Tahoma" w:hAnsi="Tahoma" w:cs="Tahoma"/>
          <w:sz w:val="24"/>
          <w:szCs w:val="24"/>
        </w:rPr>
        <w:t xml:space="preserve"> первой части сделки РЕПО. Данное ограничение не распространяется на случаи, когда фиксация списка владельцев бумаги осуществляется на конец операционного дня, предшествующего дат</w:t>
      </w:r>
      <w:r>
        <w:rPr>
          <w:rFonts w:ascii="Tahoma" w:hAnsi="Tahoma" w:cs="Tahoma"/>
          <w:sz w:val="24"/>
          <w:szCs w:val="24"/>
        </w:rPr>
        <w:t xml:space="preserve">е окончания купонного периода. 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59D29167" w14:textId="77777777" w:rsidR="007D743E" w:rsidRPr="009879D4" w:rsidRDefault="007D743E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 xml:space="preserve">подавать заявки на </w:t>
      </w:r>
      <w:r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Pr="007D74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>
        <w:rPr>
          <w:rFonts w:ascii="Tahoma" w:hAnsi="Tahoma" w:cs="Tahoma"/>
          <w:sz w:val="24"/>
          <w:szCs w:val="24"/>
        </w:rPr>
        <w:t>РЕПО</w:t>
      </w:r>
      <w:r w:rsidRPr="007D743E">
        <w:rPr>
          <w:rFonts w:ascii="Tahoma" w:hAnsi="Tahoma" w:cs="Tahoma"/>
          <w:sz w:val="24"/>
          <w:szCs w:val="24"/>
        </w:rPr>
        <w:t xml:space="preserve"> с ЦК – </w:t>
      </w:r>
      <w:r>
        <w:rPr>
          <w:rFonts w:ascii="Tahoma" w:hAnsi="Tahoma" w:cs="Tahoma"/>
          <w:sz w:val="24"/>
          <w:szCs w:val="24"/>
        </w:rPr>
        <w:t>Симметричный а</w:t>
      </w:r>
      <w:r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Pr="00240EB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0/</w:t>
      </w:r>
      <w:r>
        <w:rPr>
          <w:rFonts w:ascii="Tahoma" w:hAnsi="Tahoma" w:cs="Tahoma"/>
          <w:sz w:val="24"/>
          <w:szCs w:val="24"/>
          <w:lang w:val="en-US"/>
        </w:rPr>
        <w:t>Y</w:t>
      </w:r>
      <w:r w:rsidRPr="00240EB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40EB4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</w:t>
      </w:r>
      <w:r>
        <w:rPr>
          <w:rFonts w:ascii="Tahoma" w:hAnsi="Tahoma" w:cs="Tahoma"/>
          <w:sz w:val="24"/>
          <w:szCs w:val="24"/>
        </w:rPr>
        <w:t>.</w:t>
      </w:r>
    </w:p>
    <w:p w14:paraId="7E20EF6F" w14:textId="77777777" w:rsidR="00830670" w:rsidRPr="009879D4" w:rsidRDefault="00830670" w:rsidP="00A11F1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lastRenderedPageBreak/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3B84E569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7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A20047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="00A20047" w:rsidRPr="002B0694">
        <w:rPr>
          <w:rFonts w:ascii="Tahoma" w:hAnsi="Tahoma" w:cs="Tahoma"/>
          <w:sz w:val="24"/>
          <w:szCs w:val="24"/>
        </w:rPr>
        <w:t xml:space="preserve"> долларах США</w:t>
      </w:r>
      <w:r w:rsidR="00A20047">
        <w:rPr>
          <w:rFonts w:ascii="Tahoma" w:hAnsi="Tahoma" w:cs="Tahoma"/>
          <w:sz w:val="24"/>
          <w:szCs w:val="24"/>
        </w:rPr>
        <w:t xml:space="preserve"> и евро.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</w:t>
      </w:r>
      <w:r w:rsidR="008E00E2" w:rsidRPr="00E52CC3">
        <w:rPr>
          <w:rFonts w:ascii="Tahoma" w:hAnsi="Tahoma" w:cs="Tahoma"/>
          <w:sz w:val="24"/>
          <w:szCs w:val="24"/>
        </w:rPr>
        <w:lastRenderedPageBreak/>
        <w:t xml:space="preserve">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7"/>
    <w:p w14:paraId="389B770E" w14:textId="3074B92B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100 000 000 </w:t>
      </w:r>
      <w:r w:rsidR="007A5DF5">
        <w:rPr>
          <w:rFonts w:ascii="Tahoma" w:hAnsi="Tahoma" w:cs="Tahoma"/>
          <w:sz w:val="24"/>
          <w:szCs w:val="24"/>
        </w:rPr>
        <w:t xml:space="preserve">юаней, </w:t>
      </w:r>
      <w:r w:rsidRPr="002B0694">
        <w:rPr>
          <w:rFonts w:ascii="Tahoma" w:hAnsi="Tahoma" w:cs="Tahoma"/>
          <w:sz w:val="24"/>
          <w:szCs w:val="24"/>
        </w:rPr>
        <w:t xml:space="preserve">долларов США </w:t>
      </w:r>
      <w:r>
        <w:rPr>
          <w:rFonts w:ascii="Tahoma" w:hAnsi="Tahoma" w:cs="Tahoma"/>
          <w:sz w:val="24"/>
          <w:szCs w:val="24"/>
        </w:rPr>
        <w:t xml:space="preserve">и евро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 xml:space="preserve">юанях, </w:t>
      </w:r>
      <w:r w:rsidRPr="002B0694">
        <w:rPr>
          <w:rFonts w:ascii="Tahoma" w:hAnsi="Tahoma" w:cs="Tahoma"/>
          <w:sz w:val="24"/>
          <w:szCs w:val="24"/>
        </w:rPr>
        <w:t>долларах США</w:t>
      </w:r>
      <w:r>
        <w:rPr>
          <w:rFonts w:ascii="Tahoma" w:hAnsi="Tahoma" w:cs="Tahoma"/>
          <w:sz w:val="24"/>
          <w:szCs w:val="24"/>
        </w:rPr>
        <w:t xml:space="preserve"> и евро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77777777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РФ, долларах США и евро 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Подача </w:t>
      </w:r>
      <w:r w:rsidRPr="00C8424B">
        <w:rPr>
          <w:rFonts w:ascii="Tahoma" w:hAnsi="Tahoma" w:cs="Tahoma"/>
          <w:sz w:val="24"/>
          <w:szCs w:val="24"/>
        </w:rPr>
        <w:t>айсберг-заявок с указанием дополнительного реквизита «Заявка маркет-</w:t>
      </w:r>
      <w:proofErr w:type="spellStart"/>
      <w:r w:rsidRPr="00C8424B">
        <w:rPr>
          <w:rFonts w:ascii="Tahoma" w:hAnsi="Tahoma" w:cs="Tahoma"/>
          <w:sz w:val="24"/>
          <w:szCs w:val="24"/>
        </w:rPr>
        <w:t>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7ADF9A82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В Режиме торгов «Депозиты с ЦК – Безадресные заявки» минимальная сумма депозита (объем денежных средств, указанный в заявке Депозиты (ЦК)) 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</w:t>
      </w:r>
      <w:proofErr w:type="gramStart"/>
      <w:r w:rsidR="00EB3848">
        <w:rPr>
          <w:rFonts w:ascii="Tahoma" w:hAnsi="Tahoma" w:cs="Tahoma"/>
          <w:sz w:val="24"/>
          <w:szCs w:val="24"/>
        </w:rPr>
        <w:t>);</w:t>
      </w:r>
      <w:r w:rsidR="000F3D38">
        <w:rPr>
          <w:rFonts w:ascii="Tahoma" w:hAnsi="Tahoma" w:cs="Tahoma"/>
          <w:sz w:val="24"/>
          <w:szCs w:val="24"/>
        </w:rPr>
        <w:t>;</w:t>
      </w:r>
      <w:proofErr w:type="gramEnd"/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0C91F746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5D0173" w:rsidRPr="00F1449F">
        <w:rPr>
          <w:rFonts w:ascii="Tahoma" w:hAnsi="Tahoma" w:cs="Tahoma"/>
          <w:sz w:val="24"/>
          <w:szCs w:val="24"/>
        </w:rPr>
        <w:t xml:space="preserve">.000.000.000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47A84D7F" w:rsidR="007A5DF5" w:rsidRPr="00260C28" w:rsidRDefault="00426665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350.000.000 юаней;</w:t>
      </w:r>
    </w:p>
    <w:p w14:paraId="734CC988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77777777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 xml:space="preserve">0.000.000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1EB1D7C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 xml:space="preserve">100.000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24E8D020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1.000 юаней;</w:t>
      </w:r>
    </w:p>
    <w:p w14:paraId="0E7453E6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долларов США;</w:t>
      </w:r>
    </w:p>
    <w:p w14:paraId="1FC3443F" w14:textId="77777777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1.000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</w:t>
      </w:r>
      <w:r w:rsidRPr="002B0694">
        <w:rPr>
          <w:rFonts w:ascii="Tahoma" w:hAnsi="Tahoma" w:cs="Tahoma"/>
          <w:sz w:val="24"/>
          <w:szCs w:val="24"/>
        </w:rPr>
        <w:lastRenderedPageBreak/>
        <w:t>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7777777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2B0694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»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</w:t>
      </w:r>
      <w:r w:rsidRPr="002B0694">
        <w:rPr>
          <w:rFonts w:ascii="Tahoma" w:hAnsi="Tahoma" w:cs="Tahoma"/>
          <w:sz w:val="24"/>
          <w:szCs w:val="24"/>
        </w:rPr>
        <w:lastRenderedPageBreak/>
        <w:t>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77777777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32DE58EA" w14:textId="37EE5FE5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54B4B914" w:rsidR="005D7CA7" w:rsidRPr="00DF30BF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t xml:space="preserve">При подаче заявок с указанием Торгово-клирингового счета нерезидента (в </w:t>
      </w:r>
      <w:proofErr w:type="gramStart"/>
      <w:r w:rsidRPr="00DF30BF">
        <w:rPr>
          <w:rFonts w:ascii="Tahoma" w:hAnsi="Tahoma" w:cs="Tahoma"/>
          <w:sz w:val="24"/>
          <w:szCs w:val="24"/>
        </w:rPr>
        <w:t>т.ч.</w:t>
      </w:r>
      <w:proofErr w:type="gramEnd"/>
      <w:r w:rsidRPr="00DF30BF">
        <w:rPr>
          <w:rFonts w:ascii="Tahoma" w:hAnsi="Tahoma" w:cs="Tahoma"/>
          <w:sz w:val="24"/>
          <w:szCs w:val="24"/>
        </w:rPr>
        <w:t xml:space="preserve">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705E672" w14:textId="77777777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77777777" w:rsidR="00C263D3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sectPr w:rsidR="00C263D3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1B1A" w14:textId="77777777" w:rsidR="00C24DAA" w:rsidRDefault="00C24DAA">
      <w:r>
        <w:separator/>
      </w:r>
    </w:p>
  </w:endnote>
  <w:endnote w:type="continuationSeparator" w:id="0">
    <w:p w14:paraId="7EA14BB7" w14:textId="77777777" w:rsidR="00C24DAA" w:rsidRDefault="00C24DAA">
      <w:r>
        <w:continuationSeparator/>
      </w:r>
    </w:p>
  </w:endnote>
  <w:endnote w:type="continuationNotice" w:id="1">
    <w:p w14:paraId="7014BC8E" w14:textId="77777777" w:rsidR="00C24DAA" w:rsidRDefault="00C24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2D4BA" w14:textId="77777777" w:rsidR="00C24DAA" w:rsidRDefault="00C24DAA">
      <w:r>
        <w:separator/>
      </w:r>
    </w:p>
  </w:footnote>
  <w:footnote w:type="continuationSeparator" w:id="0">
    <w:p w14:paraId="0032D66F" w14:textId="77777777" w:rsidR="00C24DAA" w:rsidRDefault="00C24DAA">
      <w:r>
        <w:continuationSeparator/>
      </w:r>
    </w:p>
  </w:footnote>
  <w:footnote w:type="continuationNotice" w:id="1">
    <w:p w14:paraId="276DE743" w14:textId="77777777" w:rsidR="00C24DAA" w:rsidRDefault="00C24D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1CD4"/>
    <w:rsid w:val="00012F6F"/>
    <w:rsid w:val="000148CB"/>
    <w:rsid w:val="000148EB"/>
    <w:rsid w:val="000164E4"/>
    <w:rsid w:val="0001799C"/>
    <w:rsid w:val="0003305D"/>
    <w:rsid w:val="00037C07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A2E"/>
    <w:rsid w:val="0019389D"/>
    <w:rsid w:val="00197759"/>
    <w:rsid w:val="001A2E0E"/>
    <w:rsid w:val="001A30E1"/>
    <w:rsid w:val="001A68F5"/>
    <w:rsid w:val="001A70D2"/>
    <w:rsid w:val="001B221E"/>
    <w:rsid w:val="001B2FA4"/>
    <w:rsid w:val="001B4B46"/>
    <w:rsid w:val="001B56E7"/>
    <w:rsid w:val="001C0BBB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5901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330C2"/>
    <w:rsid w:val="0033449E"/>
    <w:rsid w:val="0035383B"/>
    <w:rsid w:val="003706C1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41205B"/>
    <w:rsid w:val="00417147"/>
    <w:rsid w:val="0042070A"/>
    <w:rsid w:val="00422769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3C97"/>
    <w:rsid w:val="004C70A0"/>
    <w:rsid w:val="004C7DCE"/>
    <w:rsid w:val="004D3BFB"/>
    <w:rsid w:val="004D3DC5"/>
    <w:rsid w:val="004F1198"/>
    <w:rsid w:val="004F797A"/>
    <w:rsid w:val="00506B7D"/>
    <w:rsid w:val="00516635"/>
    <w:rsid w:val="005370F4"/>
    <w:rsid w:val="00544737"/>
    <w:rsid w:val="00545173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C4CA4"/>
    <w:rsid w:val="005D0173"/>
    <w:rsid w:val="005D7CA7"/>
    <w:rsid w:val="005E0010"/>
    <w:rsid w:val="005E3FDC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5026"/>
    <w:rsid w:val="006557C9"/>
    <w:rsid w:val="006562E9"/>
    <w:rsid w:val="00666F98"/>
    <w:rsid w:val="00671E7E"/>
    <w:rsid w:val="006757A8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E15D1"/>
    <w:rsid w:val="006E18A7"/>
    <w:rsid w:val="006F4292"/>
    <w:rsid w:val="00701BB9"/>
    <w:rsid w:val="0071044F"/>
    <w:rsid w:val="007214E2"/>
    <w:rsid w:val="00727188"/>
    <w:rsid w:val="00740FA2"/>
    <w:rsid w:val="007446BE"/>
    <w:rsid w:val="007550EA"/>
    <w:rsid w:val="007563AC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C4C5C"/>
    <w:rsid w:val="007C55C1"/>
    <w:rsid w:val="007C5C17"/>
    <w:rsid w:val="007C7239"/>
    <w:rsid w:val="007D36CD"/>
    <w:rsid w:val="007D3840"/>
    <w:rsid w:val="007D743E"/>
    <w:rsid w:val="007E1E2F"/>
    <w:rsid w:val="007F02B9"/>
    <w:rsid w:val="007F368C"/>
    <w:rsid w:val="007F3F3A"/>
    <w:rsid w:val="007F5034"/>
    <w:rsid w:val="007F5A15"/>
    <w:rsid w:val="007F78C3"/>
    <w:rsid w:val="00815AE4"/>
    <w:rsid w:val="00820E74"/>
    <w:rsid w:val="008212AB"/>
    <w:rsid w:val="00830670"/>
    <w:rsid w:val="0083197C"/>
    <w:rsid w:val="00834668"/>
    <w:rsid w:val="008362AA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92FD5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123A"/>
    <w:rsid w:val="00942449"/>
    <w:rsid w:val="00951C29"/>
    <w:rsid w:val="009629B8"/>
    <w:rsid w:val="009631C0"/>
    <w:rsid w:val="0096779A"/>
    <w:rsid w:val="00980CC1"/>
    <w:rsid w:val="00986742"/>
    <w:rsid w:val="009879D4"/>
    <w:rsid w:val="00990E08"/>
    <w:rsid w:val="009A1FA8"/>
    <w:rsid w:val="009A33EF"/>
    <w:rsid w:val="009A355B"/>
    <w:rsid w:val="009A79B9"/>
    <w:rsid w:val="009B1C9C"/>
    <w:rsid w:val="009B24B3"/>
    <w:rsid w:val="009B5904"/>
    <w:rsid w:val="009C10E1"/>
    <w:rsid w:val="009C21C0"/>
    <w:rsid w:val="009C55B4"/>
    <w:rsid w:val="009C5788"/>
    <w:rsid w:val="009C71F1"/>
    <w:rsid w:val="009D31FA"/>
    <w:rsid w:val="009D62F4"/>
    <w:rsid w:val="009E5921"/>
    <w:rsid w:val="009F4B81"/>
    <w:rsid w:val="00A01106"/>
    <w:rsid w:val="00A05426"/>
    <w:rsid w:val="00A06C38"/>
    <w:rsid w:val="00A11F1F"/>
    <w:rsid w:val="00A12BD5"/>
    <w:rsid w:val="00A20047"/>
    <w:rsid w:val="00A425A0"/>
    <w:rsid w:val="00A433F3"/>
    <w:rsid w:val="00A46203"/>
    <w:rsid w:val="00A515D5"/>
    <w:rsid w:val="00A53956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DCD"/>
    <w:rsid w:val="00B25ED3"/>
    <w:rsid w:val="00B31573"/>
    <w:rsid w:val="00B3189A"/>
    <w:rsid w:val="00B343BF"/>
    <w:rsid w:val="00B34D6E"/>
    <w:rsid w:val="00B34FBB"/>
    <w:rsid w:val="00B36E69"/>
    <w:rsid w:val="00B41C2F"/>
    <w:rsid w:val="00B556DA"/>
    <w:rsid w:val="00B56BBB"/>
    <w:rsid w:val="00B62253"/>
    <w:rsid w:val="00B74679"/>
    <w:rsid w:val="00B7529D"/>
    <w:rsid w:val="00B77E63"/>
    <w:rsid w:val="00B77EEA"/>
    <w:rsid w:val="00B80543"/>
    <w:rsid w:val="00B80A42"/>
    <w:rsid w:val="00B84942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20F6"/>
    <w:rsid w:val="00C3330B"/>
    <w:rsid w:val="00C336F3"/>
    <w:rsid w:val="00C352D0"/>
    <w:rsid w:val="00C445D2"/>
    <w:rsid w:val="00C6218B"/>
    <w:rsid w:val="00C62EBA"/>
    <w:rsid w:val="00C71141"/>
    <w:rsid w:val="00C72A73"/>
    <w:rsid w:val="00C87A09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669E"/>
    <w:rsid w:val="00CF791E"/>
    <w:rsid w:val="00D0039B"/>
    <w:rsid w:val="00D04F69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A0C6A"/>
    <w:rsid w:val="00DA1810"/>
    <w:rsid w:val="00DA4334"/>
    <w:rsid w:val="00DA6D46"/>
    <w:rsid w:val="00DA775F"/>
    <w:rsid w:val="00DB4DC8"/>
    <w:rsid w:val="00DB68F6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F1626"/>
    <w:rsid w:val="00DF30BF"/>
    <w:rsid w:val="00DF656A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1449F"/>
    <w:rsid w:val="00F15D9A"/>
    <w:rsid w:val="00F176B9"/>
    <w:rsid w:val="00F20E32"/>
    <w:rsid w:val="00F20E66"/>
    <w:rsid w:val="00F313A8"/>
    <w:rsid w:val="00F319A1"/>
    <w:rsid w:val="00F344E9"/>
    <w:rsid w:val="00F35E62"/>
    <w:rsid w:val="00F47084"/>
    <w:rsid w:val="00F52492"/>
    <w:rsid w:val="00F5645E"/>
    <w:rsid w:val="00F61996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6550"/>
    <w:rsid w:val="00FC3A83"/>
    <w:rsid w:val="00FC5A21"/>
    <w:rsid w:val="00FC6E5B"/>
    <w:rsid w:val="00FD0B6B"/>
    <w:rsid w:val="00FD247A"/>
    <w:rsid w:val="00FD3A84"/>
    <w:rsid w:val="00F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8D4DE-89D1-460B-B9DA-B89D8A3D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5472</Words>
  <Characters>31194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Андреева Ольга Александровна</cp:lastModifiedBy>
  <cp:revision>5</cp:revision>
  <cp:lastPrinted>2020-02-13T12:41:00Z</cp:lastPrinted>
  <dcterms:created xsi:type="dcterms:W3CDTF">2022-10-27T10:32:00Z</dcterms:created>
  <dcterms:modified xsi:type="dcterms:W3CDTF">2022-10-28T06:58:00Z</dcterms:modified>
</cp:coreProperties>
</file>