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C17801">
      <w:pPr>
        <w:ind w:left="4536" w:right="1134"/>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169C3F9E" w:rsidR="00C263D3" w:rsidRPr="00834274" w:rsidRDefault="00C17801" w:rsidP="00C17801">
      <w:pPr>
        <w:ind w:left="4536"/>
        <w:jc w:val="center"/>
        <w:rPr>
          <w:rFonts w:ascii="Arial" w:hAnsi="Arial" w:cs="Arial"/>
          <w:sz w:val="24"/>
          <w:szCs w:val="24"/>
        </w:rPr>
      </w:pPr>
      <w:r>
        <w:rPr>
          <w:rFonts w:ascii="Arial" w:hAnsi="Arial" w:cs="Arial"/>
          <w:sz w:val="24"/>
          <w:szCs w:val="24"/>
        </w:rPr>
        <w:t xml:space="preserve">            </w:t>
      </w:r>
      <w:r w:rsidR="00FE6428">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7D11257E"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C17801">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4A4BBE">
        <w:rPr>
          <w:rFonts w:ascii="Tahoma" w:hAnsi="Tahoma" w:cs="Tahoma"/>
          <w:sz w:val="24"/>
          <w:szCs w:val="24"/>
        </w:rPr>
        <w:t>5</w:t>
      </w:r>
      <w:r w:rsidR="003A0749" w:rsidRPr="002D3F0A">
        <w:rPr>
          <w:rFonts w:ascii="Tahoma" w:hAnsi="Tahoma" w:cs="Tahoma"/>
          <w:sz w:val="24"/>
          <w:szCs w:val="24"/>
        </w:rPr>
        <w:t>-</w:t>
      </w:r>
      <w:r w:rsidR="006F30ED">
        <w:rPr>
          <w:rFonts w:ascii="Tahoma" w:hAnsi="Tahoma" w:cs="Tahoma"/>
          <w:sz w:val="24"/>
          <w:szCs w:val="24"/>
        </w:rPr>
        <w:t>2158</w:t>
      </w:r>
      <w:r w:rsidR="003A0749"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w:t>
      </w:r>
      <w:r w:rsidR="006F30ED">
        <w:rPr>
          <w:rFonts w:ascii="Tahoma" w:hAnsi="Tahoma" w:cs="Tahoma"/>
          <w:sz w:val="24"/>
          <w:szCs w:val="24"/>
        </w:rPr>
        <w:t>16</w:t>
      </w:r>
      <w:r w:rsidR="006F30ED" w:rsidRPr="002D3F0A">
        <w:rPr>
          <w:rFonts w:ascii="Tahoma" w:hAnsi="Tahoma" w:cs="Tahoma"/>
          <w:sz w:val="24"/>
          <w:szCs w:val="24"/>
        </w:rPr>
        <w:t>.</w:t>
      </w:r>
      <w:r w:rsidR="0070754A">
        <w:rPr>
          <w:rFonts w:ascii="Tahoma" w:hAnsi="Tahoma" w:cs="Tahoma"/>
          <w:sz w:val="24"/>
          <w:szCs w:val="24"/>
        </w:rPr>
        <w:t>06</w:t>
      </w:r>
      <w:r w:rsidR="00545173" w:rsidRPr="002D3F0A">
        <w:rPr>
          <w:rFonts w:ascii="Tahoma" w:hAnsi="Tahoma" w:cs="Tahoma"/>
          <w:sz w:val="24"/>
          <w:szCs w:val="24"/>
        </w:rPr>
        <w:t>.</w:t>
      </w:r>
      <w:r w:rsidR="00E72343" w:rsidRPr="002D3F0A">
        <w:rPr>
          <w:rFonts w:ascii="Tahoma" w:hAnsi="Tahoma" w:cs="Tahoma"/>
          <w:sz w:val="24"/>
          <w:szCs w:val="24"/>
        </w:rPr>
        <w:t>202</w:t>
      </w:r>
      <w:r w:rsidR="004A4BBE">
        <w:rPr>
          <w:rFonts w:ascii="Tahoma" w:hAnsi="Tahoma" w:cs="Tahoma"/>
          <w:sz w:val="24"/>
          <w:szCs w:val="24"/>
        </w:rPr>
        <w:t>5</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0"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0"/>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6FE89303" w:rsidR="00ED5B6B" w:rsidRDefault="00ED5B6B" w:rsidP="00BA6108">
      <w:pPr>
        <w:pStyle w:val="Iauiue"/>
        <w:spacing w:after="120"/>
        <w:ind w:left="360" w:right="284"/>
        <w:jc w:val="both"/>
        <w:rPr>
          <w:rFonts w:ascii="Tahoma" w:hAnsi="Tahoma" w:cs="Tahoma"/>
          <w:sz w:val="24"/>
          <w:szCs w:val="24"/>
        </w:rPr>
      </w:pPr>
      <w:bookmarkStart w:id="1" w:name="_Hlk89339226"/>
      <w:bookmarkStart w:id="2"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3" w:name="_Hlk189650523"/>
      <w:r w:rsidR="00DE673E">
        <w:rPr>
          <w:rFonts w:ascii="Tahoma" w:hAnsi="Tahoma" w:cs="Tahoma"/>
          <w:sz w:val="24"/>
          <w:szCs w:val="24"/>
        </w:rPr>
        <w:t xml:space="preserve">07 </w:t>
      </w:r>
      <w:r w:rsidR="00673054">
        <w:rPr>
          <w:rFonts w:ascii="Tahoma" w:hAnsi="Tahoma" w:cs="Tahoma"/>
          <w:sz w:val="24"/>
          <w:szCs w:val="24"/>
        </w:rPr>
        <w:t>февраля</w:t>
      </w:r>
      <w:r w:rsidR="00054579" w:rsidRPr="00543219">
        <w:rPr>
          <w:rFonts w:ascii="Tahoma" w:hAnsi="Tahoma" w:cs="Tahoma"/>
          <w:sz w:val="24"/>
          <w:szCs w:val="24"/>
        </w:rPr>
        <w:t xml:space="preserve"> </w:t>
      </w:r>
      <w:r w:rsidR="00673054" w:rsidRPr="00543219">
        <w:rPr>
          <w:rFonts w:ascii="Tahoma" w:hAnsi="Tahoma" w:cs="Tahoma"/>
          <w:sz w:val="24"/>
          <w:szCs w:val="24"/>
        </w:rPr>
        <w:t>202</w:t>
      </w:r>
      <w:r w:rsidR="00673054">
        <w:rPr>
          <w:rFonts w:ascii="Tahoma" w:hAnsi="Tahoma" w:cs="Tahoma"/>
          <w:sz w:val="24"/>
          <w:szCs w:val="24"/>
        </w:rPr>
        <w:t>5</w:t>
      </w:r>
      <w:r w:rsidR="00673054" w:rsidRPr="00543219">
        <w:rPr>
          <w:rFonts w:ascii="Tahoma" w:hAnsi="Tahoma" w:cs="Tahoma"/>
          <w:sz w:val="24"/>
          <w:szCs w:val="24"/>
        </w:rPr>
        <w:t xml:space="preserve"> </w:t>
      </w:r>
      <w:r w:rsidR="0032380E" w:rsidRPr="00543219">
        <w:rPr>
          <w:rFonts w:ascii="Tahoma" w:hAnsi="Tahoma" w:cs="Tahoma"/>
          <w:sz w:val="24"/>
          <w:szCs w:val="24"/>
        </w:rPr>
        <w:t xml:space="preserve">года (Протокол № </w:t>
      </w:r>
      <w:bookmarkEnd w:id="3"/>
      <w:r w:rsidR="009B7C1E">
        <w:rPr>
          <w:rFonts w:ascii="Tahoma" w:hAnsi="Tahoma" w:cs="Tahoma"/>
          <w:sz w:val="24"/>
          <w:szCs w:val="24"/>
        </w:rPr>
        <w:t>16</w:t>
      </w:r>
      <w:r w:rsidR="009B7C1E" w:rsidRPr="00543219">
        <w:rPr>
          <w:rFonts w:ascii="Tahoma" w:hAnsi="Tahoma" w:cs="Tahoma"/>
          <w:sz w:val="24"/>
          <w:szCs w:val="24"/>
        </w:rPr>
        <w:t>)</w:t>
      </w:r>
      <w:r w:rsidR="009B7C1E" w:rsidRPr="005C5A27">
        <w:rPr>
          <w:rFonts w:ascii="Tahoma" w:hAnsi="Tahoma" w:cs="Tahoma"/>
          <w:sz w:val="24"/>
          <w:szCs w:val="24"/>
        </w:rPr>
        <w:t xml:space="preserve"> </w:t>
      </w:r>
      <w:r w:rsidR="00507422" w:rsidRPr="005C5A27">
        <w:rPr>
          <w:rFonts w:ascii="Tahoma" w:hAnsi="Tahoma" w:cs="Tahoma"/>
          <w:sz w:val="24"/>
          <w:szCs w:val="24"/>
        </w:rPr>
        <w:t>(далее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8B103D">
        <w:rPr>
          <w:rFonts w:ascii="Tahoma" w:hAnsi="Tahoma" w:cs="Tahoma"/>
          <w:sz w:val="24"/>
          <w:szCs w:val="24"/>
        </w:rPr>
        <w:t>07</w:t>
      </w:r>
      <w:r w:rsidR="008B103D"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w:t>
      </w:r>
      <w:r w:rsidR="00673054" w:rsidRPr="00543219">
        <w:rPr>
          <w:rFonts w:ascii="Tahoma" w:hAnsi="Tahoma" w:cs="Tahoma"/>
          <w:sz w:val="24"/>
          <w:szCs w:val="24"/>
        </w:rPr>
        <w:t>202</w:t>
      </w:r>
      <w:r w:rsidR="00673054">
        <w:rPr>
          <w:rFonts w:ascii="Tahoma" w:hAnsi="Tahoma" w:cs="Tahoma"/>
          <w:sz w:val="24"/>
          <w:szCs w:val="24"/>
        </w:rPr>
        <w:t>5</w:t>
      </w:r>
      <w:r w:rsidR="00673054" w:rsidRPr="00543219">
        <w:rPr>
          <w:rFonts w:ascii="Tahoma" w:hAnsi="Tahoma" w:cs="Tahoma"/>
          <w:sz w:val="24"/>
          <w:szCs w:val="24"/>
        </w:rPr>
        <w:t xml:space="preserve"> </w:t>
      </w:r>
      <w:r w:rsidR="0032380E" w:rsidRPr="00543219">
        <w:rPr>
          <w:rFonts w:ascii="Tahoma" w:hAnsi="Tahoma" w:cs="Tahoma"/>
          <w:sz w:val="24"/>
          <w:szCs w:val="24"/>
        </w:rPr>
        <w:t xml:space="preserve">года (Протокол № </w:t>
      </w:r>
      <w:r w:rsidR="008B103D">
        <w:rPr>
          <w:rFonts w:ascii="Tahoma" w:hAnsi="Tahoma" w:cs="Tahoma"/>
          <w:sz w:val="24"/>
          <w:szCs w:val="24"/>
        </w:rPr>
        <w:t>16</w:t>
      </w:r>
      <w:r w:rsidR="008B103D" w:rsidRPr="00543219">
        <w:rPr>
          <w:rFonts w:ascii="Tahoma" w:hAnsi="Tahoma" w:cs="Tahoma"/>
          <w:sz w:val="24"/>
          <w:szCs w:val="24"/>
        </w:rPr>
        <w:t>)</w:t>
      </w:r>
      <w:r w:rsidR="008B103D" w:rsidRPr="005C5A27">
        <w:rPr>
          <w:rFonts w:ascii="Tahoma" w:hAnsi="Tahoma" w:cs="Tahoma"/>
          <w:sz w:val="24"/>
          <w:szCs w:val="24"/>
        </w:rPr>
        <w:t xml:space="preserve"> </w:t>
      </w:r>
      <w:r w:rsidRPr="005C5A27">
        <w:rPr>
          <w:rFonts w:ascii="Tahoma" w:hAnsi="Tahoma" w:cs="Tahoma"/>
          <w:sz w:val="24"/>
          <w:szCs w:val="24"/>
        </w:rPr>
        <w:t>(далее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4"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4"/>
      <w:r w:rsidRPr="005C5A27">
        <w:rPr>
          <w:rFonts w:ascii="Tahoma" w:hAnsi="Tahoma" w:cs="Tahoma"/>
          <w:sz w:val="24"/>
          <w:szCs w:val="24"/>
        </w:rPr>
        <w:t xml:space="preserve"> с </w:t>
      </w:r>
      <w:r w:rsidR="00615633">
        <w:rPr>
          <w:rFonts w:ascii="Tahoma" w:hAnsi="Tahoma" w:cs="Tahoma"/>
          <w:sz w:val="24"/>
          <w:szCs w:val="24"/>
        </w:rPr>
        <w:t xml:space="preserve">23 июня </w:t>
      </w:r>
      <w:r w:rsidR="00AE7706">
        <w:rPr>
          <w:rFonts w:ascii="Tahoma" w:hAnsi="Tahoma" w:cs="Tahoma"/>
          <w:sz w:val="24"/>
          <w:szCs w:val="24"/>
        </w:rPr>
        <w:t>2025 года</w:t>
      </w:r>
      <w:r w:rsidR="00705559">
        <w:rPr>
          <w:rFonts w:ascii="Tahoma" w:hAnsi="Tahoma" w:cs="Tahoma"/>
          <w:sz w:val="24"/>
          <w:szCs w:val="24"/>
        </w:rPr>
        <w:t xml:space="preserve">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5"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5"/>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 xml:space="preserve">Правил </w:t>
      </w:r>
      <w:r w:rsidRPr="005C5A27">
        <w:rPr>
          <w:rFonts w:ascii="Tahoma" w:hAnsi="Tahoma" w:cs="Tahoma"/>
          <w:sz w:val="24"/>
          <w:szCs w:val="24"/>
        </w:rPr>
        <w:lastRenderedPageBreak/>
        <w:t>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6" w:name="_Hlk89270460"/>
      <w:bookmarkEnd w:id="1"/>
      <w:bookmarkEnd w:id="2"/>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6"/>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5E073639"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Для облигаций внутренних облигационных займов Российской Федерации (далее – ОФЗ)</w:t>
      </w:r>
      <w:r w:rsidR="005731C4">
        <w:rPr>
          <w:rFonts w:ascii="Tahoma" w:hAnsi="Tahoma" w:cs="Tahoma"/>
          <w:sz w:val="24"/>
          <w:szCs w:val="24"/>
        </w:rPr>
        <w:t xml:space="preserve"> и для </w:t>
      </w:r>
      <w:r w:rsidR="005731C4" w:rsidRPr="002B0694">
        <w:rPr>
          <w:rFonts w:ascii="Tahoma" w:hAnsi="Tahoma" w:cs="Tahoma"/>
          <w:sz w:val="24"/>
          <w:szCs w:val="24"/>
        </w:rPr>
        <w:t>облигаций внешних облигационных займов Российской Федерации (далее – ГОВОЗ)</w:t>
      </w:r>
      <w:r w:rsidRPr="006C6182">
        <w:rPr>
          <w:rFonts w:ascii="Tahoma" w:hAnsi="Tahoma" w:cs="Tahoma"/>
          <w:sz w:val="24"/>
          <w:szCs w:val="24"/>
        </w:rPr>
        <w:t xml:space="preserve">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w:t>
      </w:r>
      <w:r w:rsidRPr="006C6182">
        <w:rPr>
          <w:rFonts w:ascii="Tahoma" w:hAnsi="Tahoma" w:cs="Tahoma"/>
          <w:sz w:val="24"/>
          <w:szCs w:val="24"/>
        </w:rPr>
        <w:lastRenderedPageBreak/>
        <w:t>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10-65/п</w:t>
      </w:r>
      <w:bookmarkStart w:id="7" w:name="_GoBack"/>
      <w:bookmarkEnd w:id="7"/>
      <w:r w:rsidRPr="006C6182">
        <w:rPr>
          <w:rFonts w:ascii="Tahoma" w:hAnsi="Tahoma" w:cs="Tahoma"/>
          <w:sz w:val="24"/>
          <w:szCs w:val="24"/>
        </w:rPr>
        <w:t xml:space="preserve">з-н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8"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8"/>
    <w:p w14:paraId="252A802B" w14:textId="486744F6"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w:t>
      </w:r>
      <w:r w:rsidR="00D931CC">
        <w:rPr>
          <w:rFonts w:ascii="Tahoma" w:hAnsi="Tahoma" w:cs="Tahoma"/>
          <w:sz w:val="24"/>
          <w:szCs w:val="24"/>
        </w:rPr>
        <w:t xml:space="preserve">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lastRenderedPageBreak/>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0709CFA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3D915BD8" w14:textId="77777777" w:rsidR="00485A1C" w:rsidRDefault="00485A1C" w:rsidP="00485A1C">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Казахстанский тенге;</w:t>
      </w:r>
    </w:p>
    <w:p w14:paraId="1E6FC86E" w14:textId="06F0AF0C" w:rsidR="00485A1C" w:rsidRPr="00485A1C" w:rsidRDefault="00485A1C" w:rsidP="00485A1C">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Белорусский рубль;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33F2D1BC" w14:textId="77777777" w:rsidR="00485A1C" w:rsidRDefault="00485A1C" w:rsidP="00485A1C">
      <w:pPr>
        <w:pStyle w:val="Iauiue"/>
        <w:numPr>
          <w:ilvl w:val="2"/>
          <w:numId w:val="9"/>
        </w:numPr>
        <w:spacing w:after="120"/>
        <w:ind w:right="284"/>
        <w:jc w:val="both"/>
        <w:rPr>
          <w:rFonts w:ascii="Tahoma" w:hAnsi="Tahoma" w:cs="Tahoma"/>
          <w:sz w:val="24"/>
          <w:szCs w:val="24"/>
        </w:rPr>
      </w:pPr>
      <w:r w:rsidRPr="003B1DBA">
        <w:rPr>
          <w:rFonts w:ascii="Tahoma" w:hAnsi="Tahoma" w:cs="Tahoma"/>
          <w:sz w:val="24"/>
          <w:szCs w:val="24"/>
        </w:rPr>
        <w:t>в Режимах торгов «</w:t>
      </w:r>
      <w:proofErr w:type="spellStart"/>
      <w:r>
        <w:rPr>
          <w:rFonts w:ascii="Tahoma" w:hAnsi="Tahoma" w:cs="Tahoma"/>
          <w:sz w:val="24"/>
          <w:szCs w:val="24"/>
        </w:rPr>
        <w:t>Междилерское</w:t>
      </w:r>
      <w:proofErr w:type="spellEnd"/>
      <w:r>
        <w:rPr>
          <w:rFonts w:ascii="Tahoma" w:hAnsi="Tahoma" w:cs="Tahoma"/>
          <w:sz w:val="24"/>
          <w:szCs w:val="24"/>
        </w:rPr>
        <w:t xml:space="preserve"> </w:t>
      </w:r>
      <w:r w:rsidRPr="003B1DBA">
        <w:rPr>
          <w:rFonts w:ascii="Tahoma" w:hAnsi="Tahoma" w:cs="Tahoma"/>
          <w:sz w:val="24"/>
          <w:szCs w:val="24"/>
        </w:rPr>
        <w:t>РЕПО»</w:t>
      </w:r>
    </w:p>
    <w:p w14:paraId="0564E4C1" w14:textId="4135FE41" w:rsidR="00485A1C" w:rsidRDefault="00485A1C"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1</w:t>
      </w:r>
      <w:r w:rsidR="003D2AC7">
        <w:rPr>
          <w:rFonts w:ascii="Tahoma" w:hAnsi="Tahoma" w:cs="Tahoma"/>
          <w:sz w:val="24"/>
          <w:szCs w:val="24"/>
        </w:rPr>
        <w:t xml:space="preserve"> </w:t>
      </w:r>
      <w:r>
        <w:rPr>
          <w:rFonts w:ascii="Tahoma" w:hAnsi="Tahoma" w:cs="Tahoma"/>
          <w:sz w:val="24"/>
          <w:szCs w:val="24"/>
        </w:rPr>
        <w:t xml:space="preserve">000 000 000 </w:t>
      </w:r>
      <w:r w:rsidRPr="0068729D">
        <w:rPr>
          <w:rFonts w:ascii="Tahoma" w:hAnsi="Tahoma" w:cs="Tahoma"/>
          <w:sz w:val="24"/>
          <w:szCs w:val="24"/>
        </w:rPr>
        <w:t>Казахстански</w:t>
      </w:r>
      <w:r>
        <w:rPr>
          <w:rFonts w:ascii="Tahoma" w:hAnsi="Tahoma" w:cs="Tahoma"/>
          <w:sz w:val="24"/>
          <w:szCs w:val="24"/>
        </w:rPr>
        <w:t>х</w:t>
      </w:r>
      <w:r w:rsidRPr="0068729D">
        <w:rPr>
          <w:rFonts w:ascii="Tahoma" w:hAnsi="Tahoma" w:cs="Tahoma"/>
          <w:sz w:val="24"/>
          <w:szCs w:val="24"/>
        </w:rPr>
        <w:t xml:space="preserve"> тенге</w:t>
      </w:r>
      <w:r>
        <w:rPr>
          <w:rFonts w:ascii="Tahoma" w:hAnsi="Tahoma" w:cs="Tahoma"/>
          <w:sz w:val="24"/>
          <w:szCs w:val="24"/>
        </w:rPr>
        <w:t>;</w:t>
      </w:r>
    </w:p>
    <w:p w14:paraId="0AA87039" w14:textId="4F67EC10" w:rsidR="00485A1C" w:rsidRDefault="00485A1C"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1</w:t>
      </w:r>
      <w:r w:rsidR="003D2AC7">
        <w:rPr>
          <w:rFonts w:ascii="Tahoma" w:hAnsi="Tahoma" w:cs="Tahoma"/>
          <w:sz w:val="24"/>
          <w:szCs w:val="24"/>
        </w:rPr>
        <w:t xml:space="preserve"> </w:t>
      </w:r>
      <w:r>
        <w:rPr>
          <w:rFonts w:ascii="Tahoma" w:hAnsi="Tahoma" w:cs="Tahoma"/>
          <w:sz w:val="24"/>
          <w:szCs w:val="24"/>
        </w:rPr>
        <w:t>000 000 000 Белорусских рублей.</w:t>
      </w:r>
    </w:p>
    <w:p w14:paraId="74B18DBD" w14:textId="77777777" w:rsidR="00485A1C" w:rsidRDefault="00485A1C" w:rsidP="0074637D">
      <w:pPr>
        <w:pStyle w:val="Iauiue"/>
        <w:spacing w:after="120"/>
        <w:ind w:left="1944" w:right="284"/>
        <w:jc w:val="both"/>
        <w:rPr>
          <w:rFonts w:ascii="Tahoma" w:hAnsi="Tahoma" w:cs="Tahoma"/>
          <w:sz w:val="24"/>
          <w:szCs w:val="24"/>
        </w:rPr>
      </w:pPr>
    </w:p>
    <w:p w14:paraId="679EBCE3" w14:textId="77777777" w:rsidR="00485A1C" w:rsidRPr="002B0694" w:rsidRDefault="00485A1C" w:rsidP="00485A1C">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Pr>
          <w:rFonts w:ascii="Tahoma" w:hAnsi="Tahoma" w:cs="Tahoma"/>
          <w:sz w:val="24"/>
          <w:szCs w:val="24"/>
        </w:rPr>
        <w:t>, «РЕПО с ЦК – Аукцион</w:t>
      </w:r>
      <w:r w:rsidRPr="002B0694">
        <w:rPr>
          <w:rFonts w:ascii="Tahoma" w:hAnsi="Tahoma" w:cs="Tahoma"/>
          <w:sz w:val="24"/>
          <w:szCs w:val="24"/>
        </w:rPr>
        <w:t>»</w:t>
      </w:r>
      <w:r>
        <w:rPr>
          <w:rFonts w:ascii="Tahoma" w:hAnsi="Tahoma" w:cs="Tahoma"/>
          <w:sz w:val="24"/>
          <w:szCs w:val="24"/>
        </w:rPr>
        <w:t>,</w:t>
      </w:r>
      <w:r w:rsidRPr="002B0694">
        <w:rPr>
          <w:rFonts w:ascii="Tahoma" w:hAnsi="Tahoma" w:cs="Tahoma"/>
          <w:sz w:val="24"/>
          <w:szCs w:val="24"/>
        </w:rPr>
        <w:t xml:space="preserve"> «РЕПО с ЦК – Безадресные заявки»</w:t>
      </w:r>
      <w:r>
        <w:rPr>
          <w:rFonts w:ascii="Tahoma" w:hAnsi="Tahoma" w:cs="Tahoma"/>
          <w:sz w:val="24"/>
          <w:szCs w:val="24"/>
        </w:rPr>
        <w:t xml:space="preserve"> и для заявок </w:t>
      </w:r>
      <w:r w:rsidRPr="00923F09">
        <w:rPr>
          <w:rFonts w:ascii="Tahoma" w:hAnsi="Tahoma" w:cs="Tahoma"/>
          <w:sz w:val="24"/>
          <w:szCs w:val="24"/>
        </w:rPr>
        <w:t>участников торгов категории отличной от категории «К»</w:t>
      </w:r>
      <w:r>
        <w:rPr>
          <w:rFonts w:ascii="Tahoma" w:hAnsi="Tahoma" w:cs="Tahoma"/>
          <w:sz w:val="24"/>
          <w:szCs w:val="24"/>
        </w:rPr>
        <w:t xml:space="preserve"> в Режиме торгов </w:t>
      </w:r>
      <w:r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4FC130F9" w14:textId="77777777" w:rsidR="00485A1C" w:rsidRPr="002B0694"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4180987F" w14:textId="77777777" w:rsidR="00485A1C" w:rsidRPr="002B0694"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7D672A62" w14:textId="77777777" w:rsidR="00485A1C"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79D1E12B" w14:textId="32AAA370" w:rsidR="00485A1C" w:rsidRDefault="00485A1C" w:rsidP="00485A1C">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500 000 000 юаней.</w:t>
      </w:r>
    </w:p>
    <w:p w14:paraId="574CCCF0" w14:textId="77777777" w:rsidR="00485A1C" w:rsidRDefault="00485A1C" w:rsidP="0074637D">
      <w:pPr>
        <w:pStyle w:val="Iauiue"/>
        <w:spacing w:after="120"/>
        <w:ind w:left="1775" w:right="284"/>
        <w:jc w:val="both"/>
        <w:rPr>
          <w:rFonts w:ascii="Tahoma" w:hAnsi="Tahoma" w:cs="Tahoma"/>
          <w:sz w:val="24"/>
          <w:szCs w:val="24"/>
        </w:rPr>
      </w:pPr>
    </w:p>
    <w:p w14:paraId="2FDC900E" w14:textId="77777777" w:rsidR="00485A1C" w:rsidRDefault="00485A1C" w:rsidP="00485A1C">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Pr>
          <w:rFonts w:ascii="Tahoma" w:hAnsi="Tahoma" w:cs="Tahoma"/>
          <w:sz w:val="24"/>
          <w:szCs w:val="24"/>
        </w:rPr>
        <w:t xml:space="preserve">, </w:t>
      </w:r>
      <w:r w:rsidRPr="002B0694">
        <w:rPr>
          <w:rFonts w:ascii="Tahoma" w:hAnsi="Tahoma" w:cs="Tahoma"/>
          <w:sz w:val="24"/>
          <w:szCs w:val="24"/>
        </w:rPr>
        <w:t>«РЕПО с ЦК – Безадресные заявки»</w:t>
      </w:r>
    </w:p>
    <w:p w14:paraId="3B8F3B0F" w14:textId="0EF85DB3" w:rsidR="00485A1C" w:rsidRDefault="003D2AC7"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5</w:t>
      </w:r>
      <w:r w:rsidR="00485A1C">
        <w:rPr>
          <w:rFonts w:ascii="Tahoma" w:hAnsi="Tahoma" w:cs="Tahoma"/>
          <w:sz w:val="24"/>
          <w:szCs w:val="24"/>
        </w:rPr>
        <w:t xml:space="preserve">00 000 000 </w:t>
      </w:r>
      <w:r w:rsidR="00485A1C" w:rsidRPr="00153CD2">
        <w:rPr>
          <w:rFonts w:ascii="Tahoma" w:hAnsi="Tahoma" w:cs="Tahoma"/>
          <w:sz w:val="24"/>
          <w:szCs w:val="24"/>
        </w:rPr>
        <w:t>Казахстански</w:t>
      </w:r>
      <w:r w:rsidR="00485A1C">
        <w:rPr>
          <w:rFonts w:ascii="Tahoma" w:hAnsi="Tahoma" w:cs="Tahoma"/>
          <w:sz w:val="24"/>
          <w:szCs w:val="24"/>
        </w:rPr>
        <w:t>х</w:t>
      </w:r>
      <w:r w:rsidR="00485A1C" w:rsidRPr="00153CD2">
        <w:rPr>
          <w:rFonts w:ascii="Tahoma" w:hAnsi="Tahoma" w:cs="Tahoma"/>
          <w:sz w:val="24"/>
          <w:szCs w:val="24"/>
        </w:rPr>
        <w:t xml:space="preserve"> тенге</w:t>
      </w:r>
      <w:r w:rsidR="00485A1C">
        <w:rPr>
          <w:rFonts w:ascii="Tahoma" w:hAnsi="Tahoma" w:cs="Tahoma"/>
          <w:sz w:val="24"/>
          <w:szCs w:val="24"/>
        </w:rPr>
        <w:t>;</w:t>
      </w:r>
    </w:p>
    <w:p w14:paraId="00D97D5A" w14:textId="3D514DE5" w:rsidR="00485A1C" w:rsidRDefault="003D2AC7"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5</w:t>
      </w:r>
      <w:r w:rsidR="00485A1C">
        <w:rPr>
          <w:rFonts w:ascii="Tahoma" w:hAnsi="Tahoma" w:cs="Tahoma"/>
          <w:sz w:val="24"/>
          <w:szCs w:val="24"/>
        </w:rPr>
        <w:t>00 000 000 Белорусских рублей.</w:t>
      </w:r>
    </w:p>
    <w:p w14:paraId="4CD05DE5" w14:textId="77777777" w:rsidR="00485A1C" w:rsidRDefault="00485A1C" w:rsidP="0074637D">
      <w:pPr>
        <w:pStyle w:val="Iauiue"/>
        <w:spacing w:after="120"/>
        <w:ind w:left="1224" w:right="284"/>
        <w:jc w:val="both"/>
        <w:rPr>
          <w:rFonts w:ascii="Tahoma" w:hAnsi="Tahoma" w:cs="Tahoma"/>
          <w:sz w:val="24"/>
          <w:szCs w:val="24"/>
        </w:rPr>
      </w:pP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lastRenderedPageBreak/>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t>Если n имеет значение ODN или признак сделки РЕПО с открытой датой, и дата исполнения с учетом периода до исполнения 2й части сделок РЕПО с открытой датой 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06FB241E" w:rsidR="003706C1" w:rsidRPr="003C65A8" w:rsidRDefault="003706C1" w:rsidP="003706C1">
      <w:pPr>
        <w:pStyle w:val="Iauiue"/>
        <w:spacing w:after="120"/>
        <w:ind w:left="360" w:right="284"/>
        <w:jc w:val="both"/>
        <w:rPr>
          <w:rFonts w:ascii="Tahoma" w:hAnsi="Tahoma" w:cs="Tahoma"/>
          <w:sz w:val="24"/>
          <w:szCs w:val="24"/>
        </w:rPr>
      </w:pPr>
      <w:r w:rsidRPr="00A73B41">
        <w:rPr>
          <w:rFonts w:ascii="Tahoma" w:hAnsi="Tahoma" w:cs="Tahoma"/>
          <w:sz w:val="24"/>
          <w:szCs w:val="24"/>
        </w:rPr>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00F313A8" w:rsidRPr="00A73B41">
        <w:rPr>
          <w:rFonts w:ascii="Tahoma" w:hAnsi="Tahoma" w:cs="Tahoma"/>
          <w:sz w:val="24"/>
          <w:szCs w:val="24"/>
        </w:rPr>
        <w:t>Части I</w:t>
      </w:r>
      <w:r w:rsidRPr="00A73B41">
        <w:rPr>
          <w:rFonts w:ascii="Tahoma" w:hAnsi="Tahoma" w:cs="Tahoma"/>
          <w:sz w:val="24"/>
          <w:szCs w:val="24"/>
        </w:rPr>
        <w:t xml:space="preserve">. Общей части Правил при расчете последнего расчетного дня для определения срока учитывать последний расчетный день, соответствующий </w:t>
      </w:r>
      <w:r w:rsidR="002C6D1F" w:rsidRPr="00A73B41">
        <w:rPr>
          <w:rFonts w:ascii="Tahoma" w:hAnsi="Tahoma" w:cs="Tahoma"/>
          <w:sz w:val="24"/>
          <w:szCs w:val="24"/>
        </w:rPr>
        <w:t>сделк</w:t>
      </w:r>
      <w:r w:rsidR="002C6D1F">
        <w:rPr>
          <w:rFonts w:ascii="Tahoma" w:hAnsi="Tahoma" w:cs="Tahoma"/>
          <w:sz w:val="24"/>
          <w:szCs w:val="24"/>
        </w:rPr>
        <w:t>е</w:t>
      </w:r>
      <w:r w:rsidR="002C6D1F" w:rsidRPr="00A73B41">
        <w:rPr>
          <w:rFonts w:ascii="Tahoma" w:hAnsi="Tahoma" w:cs="Tahoma"/>
          <w:sz w:val="24"/>
          <w:szCs w:val="24"/>
        </w:rPr>
        <w:t xml:space="preserve"> </w:t>
      </w:r>
      <w:r w:rsidRPr="00A73B41">
        <w:rPr>
          <w:rFonts w:ascii="Tahoma" w:hAnsi="Tahoma" w:cs="Tahoma"/>
          <w:sz w:val="24"/>
          <w:szCs w:val="24"/>
        </w:rPr>
        <w:t>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6F8EEFE0" w14:textId="08F1337E"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9" w:name="_Hlk120641665"/>
      <w:r w:rsidRPr="002B0694">
        <w:rPr>
          <w:rFonts w:ascii="Tahoma" w:hAnsi="Tahoma" w:cs="Tahoma"/>
          <w:szCs w:val="24"/>
        </w:rPr>
        <w:t>«Неполные лоты»</w:t>
      </w:r>
      <w:bookmarkEnd w:id="9"/>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1EC85389" w14:textId="6CBE79C8"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lastRenderedPageBreak/>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9A4E5BD"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w:t>
      </w:r>
      <w:r w:rsidR="00782851">
        <w:rPr>
          <w:rFonts w:ascii="Tahoma" w:hAnsi="Tahoma" w:cs="Tahoma"/>
          <w:sz w:val="24"/>
          <w:szCs w:val="24"/>
        </w:rPr>
        <w:t xml:space="preserve"> Казахстанских тенге, Белорусских рублях,</w:t>
      </w:r>
      <w:r w:rsidRPr="004F3640">
        <w:rPr>
          <w:rFonts w:ascii="Tahoma" w:hAnsi="Tahoma" w:cs="Tahoma"/>
          <w:sz w:val="24"/>
          <w:szCs w:val="24"/>
        </w:rPr>
        <w:t xml:space="preserve"> долларах США и евро допустимым кодом расчетов является Y0/Y1D.</w:t>
      </w:r>
    </w:p>
    <w:p w14:paraId="4F1BF327" w14:textId="644BCFF3"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r w:rsidR="00782851" w:rsidRPr="0074637D">
        <w:rPr>
          <w:rFonts w:ascii="Tahoma" w:hAnsi="Tahoma" w:cs="Tahoma"/>
          <w:sz w:val="24"/>
          <w:szCs w:val="24"/>
        </w:rPr>
        <w:t>/</w:t>
      </w:r>
      <w:r w:rsidR="00782851" w:rsidRPr="00782851">
        <w:rPr>
          <w:rFonts w:ascii="Tahoma" w:hAnsi="Tahoma" w:cs="Tahoma"/>
          <w:sz w:val="24"/>
          <w:szCs w:val="24"/>
        </w:rPr>
        <w:t xml:space="preserve"> </w:t>
      </w:r>
      <w:r w:rsidR="00782851">
        <w:rPr>
          <w:rFonts w:ascii="Tahoma" w:hAnsi="Tahoma" w:cs="Tahoma"/>
          <w:sz w:val="24"/>
          <w:szCs w:val="24"/>
        </w:rPr>
        <w:t>Казахстанских тенге, Белорусских рублях</w:t>
      </w:r>
      <w:r w:rsidRPr="003638B6">
        <w:rPr>
          <w:rFonts w:ascii="Tahoma" w:hAnsi="Tahoma" w:cs="Tahoma"/>
          <w:sz w:val="24"/>
          <w:szCs w:val="24"/>
        </w:rPr>
        <w:t>).</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lastRenderedPageBreak/>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53C33D30"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w:t>
      </w:r>
      <w:r w:rsidR="007A12A3">
        <w:rPr>
          <w:rFonts w:ascii="Tahoma" w:hAnsi="Tahoma" w:cs="Tahoma"/>
          <w:sz w:val="24"/>
          <w:szCs w:val="24"/>
        </w:rPr>
        <w:t>,</w:t>
      </w:r>
      <w:r>
        <w:rPr>
          <w:rFonts w:ascii="Tahoma" w:hAnsi="Tahoma" w:cs="Tahoma"/>
          <w:sz w:val="24"/>
          <w:szCs w:val="24"/>
        </w:rPr>
        <w:t xml:space="preserve"> юанях</w:t>
      </w:r>
      <w:r w:rsidR="007A12A3">
        <w:rPr>
          <w:rFonts w:ascii="Tahoma" w:hAnsi="Tahoma" w:cs="Tahoma"/>
          <w:sz w:val="24"/>
          <w:szCs w:val="24"/>
        </w:rPr>
        <w:t>, Казахстанских тенге и Белорусских рублях</w:t>
      </w:r>
      <w:r>
        <w:rPr>
          <w:rFonts w:ascii="Tahoma" w:hAnsi="Tahoma" w:cs="Tahoma"/>
          <w:sz w:val="24"/>
          <w:szCs w:val="24"/>
        </w:rPr>
        <w:t xml:space="preserve">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60C47ED2"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lastRenderedPageBreak/>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6D421EB8" w14:textId="0152F29B" w:rsidR="00517E5A" w:rsidRDefault="00C53B75"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Клиринговые сертификаты участия</w:t>
      </w:r>
      <w:r w:rsidR="008A2C11">
        <w:rPr>
          <w:rFonts w:ascii="Tahoma" w:hAnsi="Tahoma" w:cs="Tahoma"/>
          <w:sz w:val="24"/>
          <w:szCs w:val="24"/>
        </w:rPr>
        <w:t xml:space="preserve"> (КСУ)</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w:t>
      </w:r>
      <w:r w:rsidRPr="002B0694">
        <w:rPr>
          <w:rFonts w:ascii="Tahoma" w:hAnsi="Tahoma" w:cs="Tahoma"/>
          <w:sz w:val="24"/>
          <w:szCs w:val="24"/>
        </w:rPr>
        <w:lastRenderedPageBreak/>
        <w:t>«РЕПО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4A6930DB"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одразделе 1.</w:t>
      </w:r>
      <w:r w:rsidR="008F015F" w:rsidRPr="002B0694">
        <w:rPr>
          <w:rFonts w:ascii="Tahoma" w:hAnsi="Tahoma" w:cs="Tahoma"/>
          <w:sz w:val="24"/>
          <w:szCs w:val="24"/>
        </w:rPr>
        <w:t>1</w:t>
      </w:r>
      <w:r w:rsidR="008F015F">
        <w:rPr>
          <w:rFonts w:ascii="Tahoma" w:hAnsi="Tahoma" w:cs="Tahoma"/>
          <w:sz w:val="24"/>
          <w:szCs w:val="24"/>
        </w:rPr>
        <w:t>5</w:t>
      </w:r>
      <w:r w:rsidRPr="002B0694">
        <w:rPr>
          <w:rFonts w:ascii="Tahoma" w:hAnsi="Tahoma" w:cs="Tahoma"/>
          <w:sz w:val="24"/>
          <w:szCs w:val="24"/>
        </w:rPr>
        <w:t xml:space="preserve">.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10"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10"/>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lastRenderedPageBreak/>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lastRenderedPageBreak/>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0BA3949B" w:rsidR="006C40F7" w:rsidRPr="003C65A8" w:rsidRDefault="006C40F7" w:rsidP="00C72A73">
      <w:pPr>
        <w:pStyle w:val="Iauiue"/>
        <w:spacing w:after="120"/>
        <w:ind w:left="360" w:right="284"/>
        <w:jc w:val="both"/>
        <w:rPr>
          <w:rFonts w:ascii="Tahoma" w:hAnsi="Tahoma" w:cs="Tahoma"/>
          <w:sz w:val="24"/>
          <w:szCs w:val="24"/>
        </w:rPr>
      </w:pPr>
      <w:bookmarkStart w:id="11" w:name="_Hlk191468731"/>
      <w:r w:rsidRPr="00A73B41">
        <w:rPr>
          <w:rFonts w:ascii="Tahoma" w:hAnsi="Tahoma" w:cs="Tahoma"/>
          <w:sz w:val="24"/>
          <w:szCs w:val="24"/>
        </w:rPr>
        <w:lastRenderedPageBreak/>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Pr="00A73B41">
        <w:rPr>
          <w:rFonts w:ascii="Tahoma" w:hAnsi="Tahoma" w:cs="Tahoma"/>
          <w:sz w:val="24"/>
          <w:szCs w:val="24"/>
        </w:rPr>
        <w:t xml:space="preserve">Часть 1. Правил </w:t>
      </w:r>
      <w:r w:rsidR="006757A8" w:rsidRPr="00A73B41">
        <w:rPr>
          <w:rFonts w:ascii="Tahoma" w:hAnsi="Tahoma" w:cs="Tahoma"/>
          <w:sz w:val="24"/>
          <w:szCs w:val="24"/>
        </w:rPr>
        <w:t xml:space="preserve">торгов </w:t>
      </w:r>
      <w:r w:rsidRPr="00A73B41">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sidRPr="00A73B41">
        <w:rPr>
          <w:rFonts w:ascii="Tahoma" w:hAnsi="Tahoma" w:cs="Tahoma"/>
          <w:sz w:val="24"/>
          <w:szCs w:val="24"/>
        </w:rPr>
        <w:t xml:space="preserve">внесения в реестр предложений записи по заявке на заключение депозитного договора </w:t>
      </w:r>
      <w:r w:rsidRPr="00A73B41">
        <w:rPr>
          <w:rFonts w:ascii="Tahoma" w:hAnsi="Tahoma" w:cs="Tahoma"/>
          <w:sz w:val="24"/>
          <w:szCs w:val="24"/>
        </w:rPr>
        <w:t>и датой возврата депозита, не превышает 30 и 90 календарных дней соответственно.</w:t>
      </w:r>
    </w:p>
    <w:bookmarkEnd w:id="11"/>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lastRenderedPageBreak/>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 xml:space="preserve">Небанковской кредитной организации-центрального контрагента «Национальный Клиринговый Центр» </w:t>
      </w:r>
      <w:r w:rsidR="00516635" w:rsidRPr="00516635">
        <w:rPr>
          <w:rFonts w:ascii="Tahoma" w:hAnsi="Tahoma" w:cs="Tahoma"/>
          <w:sz w:val="24"/>
          <w:szCs w:val="24"/>
        </w:rPr>
        <w:lastRenderedPageBreak/>
        <w:t>(Акционерное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059"/>
        <w:gridCol w:w="2246"/>
        <w:gridCol w:w="2190"/>
        <w:gridCol w:w="2248"/>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 xml:space="preserve">Применяется ежедневное обновление значения индикатора с даты </w:t>
            </w:r>
            <w:r>
              <w:rPr>
                <w:rFonts w:ascii="Tahoma" w:hAnsi="Tahoma" w:cs="Tahoma"/>
                <w:sz w:val="24"/>
                <w:szCs w:val="24"/>
              </w:rPr>
              <w:lastRenderedPageBreak/>
              <w:t>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lastRenderedPageBreak/>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123"/>
        <w:gridCol w:w="2118"/>
        <w:gridCol w:w="2042"/>
        <w:gridCol w:w="246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значения </w:t>
            </w:r>
            <w:r>
              <w:rPr>
                <w:rFonts w:ascii="Tahoma" w:hAnsi="Tahoma" w:cs="Tahoma"/>
                <w:sz w:val="24"/>
                <w:szCs w:val="24"/>
              </w:rPr>
              <w:lastRenderedPageBreak/>
              <w:t>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lastRenderedPageBreak/>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 xml:space="preserve">При подаче в Систему </w:t>
      </w:r>
      <w:r w:rsidRPr="00DC7C0B">
        <w:rPr>
          <w:rFonts w:ascii="Tahoma" w:eastAsia="Calibri" w:hAnsi="Tahoma" w:cs="Tahoma"/>
          <w:sz w:val="24"/>
          <w:szCs w:val="24"/>
          <w:lang w:eastAsia="en-US"/>
        </w:rPr>
        <w:lastRenderedPageBreak/>
        <w:t>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lastRenderedPageBreak/>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6ECF92D2"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w:t>
      </w:r>
      <w:r w:rsidR="008F015F" w:rsidRPr="00185B47">
        <w:rPr>
          <w:rFonts w:ascii="Tahoma" w:hAnsi="Tahoma" w:cs="Tahoma"/>
          <w:sz w:val="24"/>
          <w:szCs w:val="24"/>
        </w:rPr>
        <w:t>2</w:t>
      </w:r>
      <w:r w:rsidR="008F015F">
        <w:rPr>
          <w:rFonts w:ascii="Tahoma" w:hAnsi="Tahoma" w:cs="Tahoma"/>
          <w:sz w:val="24"/>
          <w:szCs w:val="24"/>
        </w:rPr>
        <w:t>1</w:t>
      </w:r>
      <w:r w:rsidR="008F015F" w:rsidRPr="00185B47">
        <w:rPr>
          <w:rFonts w:ascii="Tahoma" w:hAnsi="Tahoma" w:cs="Tahoma"/>
          <w:sz w:val="24"/>
          <w:szCs w:val="24"/>
        </w:rPr>
        <w:t xml:space="preserve"> </w:t>
      </w:r>
      <w:r w:rsidRPr="00185B47">
        <w:rPr>
          <w:rFonts w:ascii="Tahoma" w:hAnsi="Tahoma" w:cs="Tahoma"/>
          <w:sz w:val="24"/>
          <w:szCs w:val="24"/>
        </w:rPr>
        <w:t xml:space="preserve">и </w:t>
      </w:r>
      <w:r w:rsidRPr="005F4632">
        <w:rPr>
          <w:rFonts w:ascii="Tahoma" w:hAnsi="Tahoma" w:cs="Tahoma"/>
          <w:sz w:val="24"/>
          <w:szCs w:val="24"/>
        </w:rPr>
        <w:t>1.3.</w:t>
      </w:r>
      <w:r w:rsidR="008F015F">
        <w:rPr>
          <w:rFonts w:ascii="Tahoma" w:hAnsi="Tahoma" w:cs="Tahoma"/>
          <w:sz w:val="24"/>
          <w:szCs w:val="24"/>
        </w:rPr>
        <w:t>7</w:t>
      </w:r>
      <w:r w:rsidR="008F015F" w:rsidRPr="005F4632">
        <w:rPr>
          <w:rFonts w:ascii="Tahoma" w:hAnsi="Tahoma" w:cs="Tahoma"/>
          <w:sz w:val="24"/>
          <w:szCs w:val="24"/>
        </w:rPr>
        <w:t xml:space="preserve">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 xml:space="preserve">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w:t>
      </w:r>
      <w:r>
        <w:rPr>
          <w:rFonts w:ascii="Tahoma" w:hAnsi="Tahoma" w:cs="Tahoma"/>
          <w:sz w:val="24"/>
          <w:szCs w:val="24"/>
        </w:rPr>
        <w:lastRenderedPageBreak/>
        <w:t>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lastRenderedPageBreak/>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lastRenderedPageBreak/>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939"/>
        <w:gridCol w:w="2079"/>
        <w:gridCol w:w="1942"/>
        <w:gridCol w:w="830"/>
        <w:gridCol w:w="1108"/>
        <w:gridCol w:w="693"/>
        <w:gridCol w:w="974"/>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lastRenderedPageBreak/>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1C3465"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End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1C3465"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1C3465"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1C3465"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End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17801">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280D70" w:rsidRDefault="00280D70">
      <w:r>
        <w:separator/>
      </w:r>
    </w:p>
  </w:endnote>
  <w:endnote w:type="continuationSeparator" w:id="0">
    <w:p w14:paraId="1557857A" w14:textId="77777777" w:rsidR="00280D70" w:rsidRDefault="00280D70">
      <w:r>
        <w:continuationSeparator/>
      </w:r>
    </w:p>
  </w:endnote>
  <w:endnote w:type="continuationNotice" w:id="1">
    <w:p w14:paraId="27FEA6A3" w14:textId="77777777" w:rsidR="00280D70" w:rsidRDefault="0028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14:paraId="7735B024" w14:textId="77777777" w:rsidR="00280D70" w:rsidRDefault="00280D70">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280D70" w:rsidRDefault="00280D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280D70" w:rsidRDefault="00280D70">
      <w:r>
        <w:separator/>
      </w:r>
    </w:p>
  </w:footnote>
  <w:footnote w:type="continuationSeparator" w:id="0">
    <w:p w14:paraId="6B0C5E48" w14:textId="77777777" w:rsidR="00280D70" w:rsidRDefault="00280D70">
      <w:r>
        <w:continuationSeparator/>
      </w:r>
    </w:p>
  </w:footnote>
  <w:footnote w:type="continuationNotice" w:id="1">
    <w:p w14:paraId="4686FCD4" w14:textId="77777777" w:rsidR="00280D70" w:rsidRDefault="00280D70"/>
  </w:footnote>
  <w:footnote w:id="2">
    <w:p w14:paraId="04A9FF98" w14:textId="77777777" w:rsidR="00280D70" w:rsidRDefault="00280D70"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280D70" w:rsidRDefault="00280D70">
    <w:pPr>
      <w:pStyle w:val="a5"/>
    </w:pPr>
  </w:p>
  <w:p w14:paraId="79E13024" w14:textId="77777777" w:rsidR="00280D70" w:rsidRDefault="00280D70">
    <w:pPr>
      <w:pStyle w:val="a5"/>
    </w:pPr>
  </w:p>
  <w:p w14:paraId="4F00CF5C" w14:textId="77777777" w:rsidR="00280D70" w:rsidRDefault="00280D70">
    <w:pPr>
      <w:pStyle w:val="a5"/>
    </w:pPr>
  </w:p>
  <w:p w14:paraId="6D1FE70B" w14:textId="77777777" w:rsidR="00280D70" w:rsidRDefault="00280D70">
    <w:pPr>
      <w:pStyle w:val="a5"/>
    </w:pPr>
  </w:p>
  <w:p w14:paraId="7BEF7D0A" w14:textId="77777777" w:rsidR="00280D70" w:rsidRDefault="00280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DB1AD7"/>
    <w:multiLevelType w:val="hybridMultilevel"/>
    <w:tmpl w:val="D9A08A02"/>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0"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5"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2"/>
  </w:num>
  <w:num w:numId="7">
    <w:abstractNumId w:val="25"/>
  </w:num>
  <w:num w:numId="8">
    <w:abstractNumId w:val="13"/>
  </w:num>
  <w:num w:numId="9">
    <w:abstractNumId w:val="9"/>
  </w:num>
  <w:num w:numId="10">
    <w:abstractNumId w:val="6"/>
  </w:num>
  <w:num w:numId="11">
    <w:abstractNumId w:val="11"/>
  </w:num>
  <w:num w:numId="12">
    <w:abstractNumId w:val="21"/>
  </w:num>
  <w:num w:numId="13">
    <w:abstractNumId w:val="20"/>
  </w:num>
  <w:num w:numId="14">
    <w:abstractNumId w:val="23"/>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4"/>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03A60"/>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3C6F"/>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41F9"/>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C3465"/>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0D70"/>
    <w:rsid w:val="0028278B"/>
    <w:rsid w:val="00287514"/>
    <w:rsid w:val="00293F37"/>
    <w:rsid w:val="00296528"/>
    <w:rsid w:val="002A3C03"/>
    <w:rsid w:val="002A4F37"/>
    <w:rsid w:val="002A76B8"/>
    <w:rsid w:val="002B1F20"/>
    <w:rsid w:val="002B2C56"/>
    <w:rsid w:val="002B556C"/>
    <w:rsid w:val="002B6C44"/>
    <w:rsid w:val="002C3204"/>
    <w:rsid w:val="002C5901"/>
    <w:rsid w:val="002C6D1F"/>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0749"/>
    <w:rsid w:val="003A2092"/>
    <w:rsid w:val="003A3314"/>
    <w:rsid w:val="003A3DE6"/>
    <w:rsid w:val="003A6E1D"/>
    <w:rsid w:val="003B2A7F"/>
    <w:rsid w:val="003C0462"/>
    <w:rsid w:val="003C1BCC"/>
    <w:rsid w:val="003C7097"/>
    <w:rsid w:val="003D0478"/>
    <w:rsid w:val="003D06B7"/>
    <w:rsid w:val="003D2AC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3B50"/>
    <w:rsid w:val="00426634"/>
    <w:rsid w:val="00426665"/>
    <w:rsid w:val="00431FB8"/>
    <w:rsid w:val="00436721"/>
    <w:rsid w:val="00441B2D"/>
    <w:rsid w:val="004421CE"/>
    <w:rsid w:val="004446F2"/>
    <w:rsid w:val="00451FEF"/>
    <w:rsid w:val="0045733E"/>
    <w:rsid w:val="00485A1C"/>
    <w:rsid w:val="004904EB"/>
    <w:rsid w:val="004911AF"/>
    <w:rsid w:val="004924B7"/>
    <w:rsid w:val="004A1E4C"/>
    <w:rsid w:val="004A4BBE"/>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17E5A"/>
    <w:rsid w:val="005370F4"/>
    <w:rsid w:val="00544737"/>
    <w:rsid w:val="00545173"/>
    <w:rsid w:val="00546440"/>
    <w:rsid w:val="005513D6"/>
    <w:rsid w:val="0055140F"/>
    <w:rsid w:val="00551D65"/>
    <w:rsid w:val="00553653"/>
    <w:rsid w:val="00561ED5"/>
    <w:rsid w:val="0056473E"/>
    <w:rsid w:val="005651C0"/>
    <w:rsid w:val="005666D1"/>
    <w:rsid w:val="0057157D"/>
    <w:rsid w:val="005716F3"/>
    <w:rsid w:val="00572BF7"/>
    <w:rsid w:val="005731C4"/>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5F7B74"/>
    <w:rsid w:val="0060284B"/>
    <w:rsid w:val="006132F1"/>
    <w:rsid w:val="00613ADE"/>
    <w:rsid w:val="00615633"/>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3054"/>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30ED"/>
    <w:rsid w:val="006F4292"/>
    <w:rsid w:val="00701BB9"/>
    <w:rsid w:val="00703F39"/>
    <w:rsid w:val="00705559"/>
    <w:rsid w:val="0070754A"/>
    <w:rsid w:val="0071044F"/>
    <w:rsid w:val="007214E2"/>
    <w:rsid w:val="00727188"/>
    <w:rsid w:val="00740FA2"/>
    <w:rsid w:val="007446BE"/>
    <w:rsid w:val="0074637D"/>
    <w:rsid w:val="00752E23"/>
    <w:rsid w:val="007541B9"/>
    <w:rsid w:val="007550EA"/>
    <w:rsid w:val="007563AC"/>
    <w:rsid w:val="00757558"/>
    <w:rsid w:val="00762401"/>
    <w:rsid w:val="00763662"/>
    <w:rsid w:val="00764EBE"/>
    <w:rsid w:val="00771B81"/>
    <w:rsid w:val="00782851"/>
    <w:rsid w:val="00782A5D"/>
    <w:rsid w:val="00784E10"/>
    <w:rsid w:val="00794422"/>
    <w:rsid w:val="007A12A3"/>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2C11"/>
    <w:rsid w:val="008A5596"/>
    <w:rsid w:val="008A651D"/>
    <w:rsid w:val="008A6B71"/>
    <w:rsid w:val="008A78D6"/>
    <w:rsid w:val="008A79AA"/>
    <w:rsid w:val="008B0A0D"/>
    <w:rsid w:val="008B103D"/>
    <w:rsid w:val="008B192E"/>
    <w:rsid w:val="008B2DB3"/>
    <w:rsid w:val="008B349A"/>
    <w:rsid w:val="008C171B"/>
    <w:rsid w:val="008C4F5A"/>
    <w:rsid w:val="008C7625"/>
    <w:rsid w:val="008D2D7D"/>
    <w:rsid w:val="008D6C36"/>
    <w:rsid w:val="008E00E2"/>
    <w:rsid w:val="008E0DDE"/>
    <w:rsid w:val="008E0E50"/>
    <w:rsid w:val="008E0FAC"/>
    <w:rsid w:val="008E6E84"/>
    <w:rsid w:val="008F015F"/>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05F"/>
    <w:rsid w:val="0098398D"/>
    <w:rsid w:val="00986742"/>
    <w:rsid w:val="009879D4"/>
    <w:rsid w:val="00990E08"/>
    <w:rsid w:val="009A1FA8"/>
    <w:rsid w:val="009A3316"/>
    <w:rsid w:val="009A33EF"/>
    <w:rsid w:val="009A355B"/>
    <w:rsid w:val="009A79B9"/>
    <w:rsid w:val="009B1C9C"/>
    <w:rsid w:val="009B24B3"/>
    <w:rsid w:val="009B5904"/>
    <w:rsid w:val="009B7C1E"/>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25DD1"/>
    <w:rsid w:val="00A425A0"/>
    <w:rsid w:val="00A433F3"/>
    <w:rsid w:val="00A46203"/>
    <w:rsid w:val="00A515D5"/>
    <w:rsid w:val="00A53956"/>
    <w:rsid w:val="00A56A87"/>
    <w:rsid w:val="00A57DCB"/>
    <w:rsid w:val="00A61994"/>
    <w:rsid w:val="00A64A4E"/>
    <w:rsid w:val="00A66078"/>
    <w:rsid w:val="00A73B41"/>
    <w:rsid w:val="00A77C5A"/>
    <w:rsid w:val="00A83FB3"/>
    <w:rsid w:val="00A860A8"/>
    <w:rsid w:val="00A863C7"/>
    <w:rsid w:val="00A86687"/>
    <w:rsid w:val="00A94AB2"/>
    <w:rsid w:val="00A95424"/>
    <w:rsid w:val="00A95683"/>
    <w:rsid w:val="00AA019D"/>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E7706"/>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4732D"/>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17801"/>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53B75"/>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3E"/>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86B3B"/>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0926"/>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A8CE-5ED9-4E76-A413-756E34DB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5</cp:revision>
  <cp:lastPrinted>2025-06-16T12:33:00Z</cp:lastPrinted>
  <dcterms:created xsi:type="dcterms:W3CDTF">2025-06-11T10:38:00Z</dcterms:created>
  <dcterms:modified xsi:type="dcterms:W3CDTF">2025-06-17T07:22:00Z</dcterms:modified>
</cp:coreProperties>
</file>