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A92" w:rsidRDefault="00926A9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26A92" w:rsidRDefault="00926A92">
      <w:pPr>
        <w:pStyle w:val="ConsPlusNormal"/>
        <w:jc w:val="both"/>
        <w:outlineLvl w:val="0"/>
      </w:pPr>
    </w:p>
    <w:p w:rsidR="00926A92" w:rsidRDefault="00926A92">
      <w:pPr>
        <w:pStyle w:val="ConsPlusNormal"/>
      </w:pPr>
      <w:r>
        <w:t>Зарегистрировано в Минюсте России 13 апреля 2020 г. N 58070</w:t>
      </w:r>
    </w:p>
    <w:p w:rsidR="00926A92" w:rsidRDefault="00926A9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6A92" w:rsidRDefault="00926A92">
      <w:pPr>
        <w:pStyle w:val="ConsPlusNormal"/>
        <w:jc w:val="both"/>
      </w:pPr>
    </w:p>
    <w:p w:rsidR="00926A92" w:rsidRDefault="00926A92">
      <w:pPr>
        <w:pStyle w:val="ConsPlusTitle"/>
        <w:jc w:val="center"/>
      </w:pPr>
      <w:r>
        <w:t>ЦЕНТРАЛЬНЫЙ БАНК РОССИЙСКОЙ ФЕДЕРАЦИИ</w:t>
      </w:r>
    </w:p>
    <w:p w:rsidR="00926A92" w:rsidRDefault="00926A92">
      <w:pPr>
        <w:pStyle w:val="ConsPlusTitle"/>
        <w:jc w:val="center"/>
      </w:pPr>
    </w:p>
    <w:p w:rsidR="00926A92" w:rsidRDefault="00926A92">
      <w:pPr>
        <w:pStyle w:val="ConsPlusTitle"/>
        <w:jc w:val="center"/>
      </w:pPr>
      <w:r>
        <w:t>УКАЗАНИЕ</w:t>
      </w:r>
    </w:p>
    <w:p w:rsidR="00926A92" w:rsidRDefault="00926A92">
      <w:pPr>
        <w:pStyle w:val="ConsPlusTitle"/>
        <w:jc w:val="center"/>
      </w:pPr>
      <w:r>
        <w:t>от 16 декабря 2019 г. N 5352-У</w:t>
      </w:r>
    </w:p>
    <w:p w:rsidR="00926A92" w:rsidRDefault="00926A92">
      <w:pPr>
        <w:pStyle w:val="ConsPlusTitle"/>
        <w:jc w:val="center"/>
      </w:pPr>
    </w:p>
    <w:p w:rsidR="00926A92" w:rsidRDefault="00926A92">
      <w:pPr>
        <w:pStyle w:val="ConsPlusTitle"/>
        <w:jc w:val="center"/>
      </w:pPr>
      <w:r>
        <w:t>О СЛУЧАЯХ,</w:t>
      </w:r>
    </w:p>
    <w:p w:rsidR="00926A92" w:rsidRDefault="00926A92">
      <w:pPr>
        <w:pStyle w:val="ConsPlusTitle"/>
        <w:jc w:val="center"/>
      </w:pPr>
      <w:r>
        <w:t>КОГДА ДОГОВОРЫ, ЯВЛЯЮЩИЕСЯ ПРОИЗВОДНЫМИ ФИНАНСОВЫМИ</w:t>
      </w:r>
    </w:p>
    <w:p w:rsidR="00926A92" w:rsidRDefault="00926A92">
      <w:pPr>
        <w:pStyle w:val="ConsPlusTitle"/>
        <w:jc w:val="center"/>
      </w:pPr>
      <w:r>
        <w:t>ИНСТРУМЕНТАМИ, ЗАКЛЮЧАЮТСЯ ТОЛЬКО ПРИ УСЛОВИИ, ЧТО ДРУГОЙ</w:t>
      </w:r>
    </w:p>
    <w:p w:rsidR="00926A92" w:rsidRDefault="00926A92">
      <w:pPr>
        <w:pStyle w:val="ConsPlusTitle"/>
        <w:jc w:val="center"/>
      </w:pPr>
      <w:r>
        <w:t>СТОРОНОЙ ПО ТАКИМ ДОГОВОРАМ ЯВЛЯЕТСЯ ЛИЦО, ОСУЩЕСТВЛЯЮЩЕЕ</w:t>
      </w:r>
    </w:p>
    <w:p w:rsidR="00926A92" w:rsidRDefault="00926A92">
      <w:pPr>
        <w:pStyle w:val="ConsPlusTitle"/>
        <w:jc w:val="center"/>
      </w:pPr>
      <w:r>
        <w:t>ФУНКЦИИ ЦЕНТРАЛЬНОГО КОНТРАГЕНТА</w:t>
      </w:r>
    </w:p>
    <w:p w:rsidR="00926A92" w:rsidRDefault="00926A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6A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A92" w:rsidRDefault="00926A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A92" w:rsidRDefault="00926A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6A92" w:rsidRDefault="00926A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6A92" w:rsidRDefault="00926A9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Указания</w:t>
              </w:r>
            </w:hyperlink>
            <w:r>
              <w:rPr>
                <w:color w:val="392C69"/>
              </w:rPr>
              <w:t xml:space="preserve"> Банка России от 01.11.2023 N 6592-У)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A92" w:rsidRDefault="00926A92">
            <w:pPr>
              <w:pStyle w:val="ConsPlusNormal"/>
            </w:pPr>
          </w:p>
        </w:tc>
      </w:tr>
    </w:tbl>
    <w:p w:rsidR="00926A92" w:rsidRDefault="00926A92">
      <w:pPr>
        <w:pStyle w:val="ConsPlusNormal"/>
        <w:jc w:val="both"/>
      </w:pPr>
    </w:p>
    <w:p w:rsidR="00926A92" w:rsidRDefault="00926A92">
      <w:pPr>
        <w:pStyle w:val="ConsPlusNormal"/>
        <w:ind w:firstLine="540"/>
        <w:jc w:val="both"/>
      </w:pPr>
      <w:r>
        <w:t xml:space="preserve">Настоящее Указание на основании </w:t>
      </w:r>
      <w:hyperlink r:id="rId6">
        <w:r>
          <w:rPr>
            <w:color w:val="0000FF"/>
          </w:rPr>
          <w:t>пункта 1 статьи 51.4</w:t>
        </w:r>
      </w:hyperlink>
      <w:r>
        <w:t xml:space="preserve"> Федерального закона от 22 апреля 1996 года N 39-ФЗ "О рынке ценных бумаг" (Собрание законодательства Российской Федерации, 1996, N 17, ст. 1918; 2018, N 17, ст. 2424) устанавливает случаи, когда договоры, являющиеся производными финансовыми инструментами, заключаются не на организованных торгах и только при условии, что другой стороной по таким договорам является лицо, осуществляющее функции центрального контрагента.</w:t>
      </w:r>
    </w:p>
    <w:p w:rsidR="00926A92" w:rsidRDefault="00926A92">
      <w:pPr>
        <w:pStyle w:val="ConsPlusNormal"/>
        <w:spacing w:before="220"/>
        <w:ind w:firstLine="540"/>
        <w:jc w:val="both"/>
      </w:pPr>
      <w:r>
        <w:t>1. Договоры, являющиеся производными финансовыми инструментами, заключаются не на организованных торгах и только при условии, что другой стороной по таким договорам является лицо, осуществляющее функции центрального контрагента, во всех случаях, когда одновременно соблюдаются следующие условия.</w:t>
      </w:r>
    </w:p>
    <w:p w:rsidR="00926A92" w:rsidRDefault="00926A92">
      <w:pPr>
        <w:pStyle w:val="ConsPlusNormal"/>
        <w:spacing w:before="220"/>
        <w:ind w:firstLine="540"/>
        <w:jc w:val="both"/>
      </w:pPr>
      <w:bookmarkStart w:id="0" w:name="P19"/>
      <w:bookmarkEnd w:id="0"/>
      <w:r>
        <w:t>1.1. Договоры, являющиеся производными финансовыми инструментами, относятся к своп-договорам &lt;1&gt; и предусматривают обязанность стороны или сторон договора периодически и (или) единовременно уплачивать денежные суммы в рублях в зависимости от изменения величины процентных ставок.</w:t>
      </w:r>
    </w:p>
    <w:p w:rsidR="00926A92" w:rsidRDefault="00926A9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26A92" w:rsidRDefault="00926A92">
      <w:pPr>
        <w:pStyle w:val="ConsPlusNormal"/>
        <w:spacing w:before="220"/>
        <w:ind w:firstLine="540"/>
        <w:jc w:val="both"/>
      </w:pPr>
      <w:r>
        <w:t xml:space="preserve">&lt;1&gt; В соответствии с </w:t>
      </w:r>
      <w:hyperlink r:id="rId7">
        <w:r>
          <w:rPr>
            <w:color w:val="0000FF"/>
          </w:rPr>
          <w:t>пунктом 5</w:t>
        </w:r>
      </w:hyperlink>
      <w:r>
        <w:t xml:space="preserve"> Указания Банка России от 16 февраля 2015 года N 3565-У "О видах производных финансовых инструментов", зарегистрированного Министерством юстиции Российской Федерации 27 марта 2015 года N 36575.</w:t>
      </w:r>
    </w:p>
    <w:p w:rsidR="00926A92" w:rsidRDefault="00926A92">
      <w:pPr>
        <w:pStyle w:val="ConsPlusNormal"/>
        <w:jc w:val="both"/>
      </w:pPr>
    </w:p>
    <w:p w:rsidR="00926A92" w:rsidRDefault="00926A92">
      <w:pPr>
        <w:pStyle w:val="ConsPlusNormal"/>
        <w:ind w:firstLine="540"/>
        <w:jc w:val="both"/>
      </w:pPr>
      <w:bookmarkStart w:id="1" w:name="P23"/>
      <w:bookmarkEnd w:id="1"/>
      <w:r>
        <w:t xml:space="preserve">1.2. Совокупная номинальная стоимость заключенных ранее своп-договоров, указанных в </w:t>
      </w:r>
      <w:hyperlink w:anchor="P19">
        <w:r>
          <w:rPr>
            <w:color w:val="0000FF"/>
          </w:rPr>
          <w:t>подпункте 1.1</w:t>
        </w:r>
      </w:hyperlink>
      <w:r>
        <w:t xml:space="preserve"> настоящего пункта, на последний рабочий день каждого из трех кварталов подряд, предшествующих кварталу, в котором заключаются указанные своп-договоры, превышает 200 миллиардов рублей хотя бы для одной из сторон.</w:t>
      </w:r>
    </w:p>
    <w:p w:rsidR="00926A92" w:rsidRDefault="00926A92">
      <w:pPr>
        <w:pStyle w:val="ConsPlusNormal"/>
        <w:spacing w:before="220"/>
        <w:ind w:firstLine="540"/>
        <w:jc w:val="both"/>
      </w:pPr>
      <w:r>
        <w:t xml:space="preserve">Для целей </w:t>
      </w:r>
      <w:hyperlink w:anchor="P23">
        <w:r>
          <w:rPr>
            <w:color w:val="0000FF"/>
          </w:rPr>
          <w:t>абзаца первого</w:t>
        </w:r>
      </w:hyperlink>
      <w:r>
        <w:t xml:space="preserve"> настоящего подпункта в совокупную номинальную стоимость своп-договоров не включается номинальная стоимость:</w:t>
      </w:r>
    </w:p>
    <w:p w:rsidR="00926A92" w:rsidRDefault="00926A92">
      <w:pPr>
        <w:pStyle w:val="ConsPlusNormal"/>
        <w:spacing w:before="220"/>
        <w:ind w:firstLine="540"/>
        <w:jc w:val="both"/>
      </w:pPr>
      <w:r>
        <w:t xml:space="preserve">своп-договоров, относящихся к инструментам хеджирования, определяемым в соответствии Международным </w:t>
      </w:r>
      <w:hyperlink r:id="rId8">
        <w:r>
          <w:rPr>
            <w:color w:val="0000FF"/>
          </w:rPr>
          <w:t>стандартом</w:t>
        </w:r>
      </w:hyperlink>
      <w:r>
        <w:t xml:space="preserve"> финансовой отчетности (IFRS) 9 "Финансовые инструменты" в редакции 2014 года, введенным в действие на территории Российской Федерации </w:t>
      </w:r>
      <w:hyperlink r:id="rId9">
        <w:r>
          <w:rPr>
            <w:color w:val="0000FF"/>
          </w:rPr>
          <w:t>приказом</w:t>
        </w:r>
      </w:hyperlink>
      <w:r>
        <w:t xml:space="preserve"> </w:t>
      </w:r>
      <w:r>
        <w:lastRenderedPageBreak/>
        <w:t>Министерства финансов Российской Федерации от 27 июня 2016 года N 98н "О введении документов Международных стандартов финансовой отчетности в действие на территории Российской Федерации и о признании утратившими силу некоторых приказов Министерства финансов Российской Федерации", зарегистрированным Министерством юстиции Российской Федерации 15 июля 2016 года N 42869 (далее - приказ Минфина России N 98н), с поправками, введенными в действие на территории Российской Федерации приказом Министерства финансов Российской Федерации от 11 июля 2016 года N 111н "О введении в действие и прекращении действия документов Международных стандартов финансовой отчетности на территории Российской Федерации", зарегистрированным Министерством юстиции Российской Федерации 1 августа 2016 года N 43044, приказом Министерства финансов Российской Федерации от 27 марта 2018 года N 56н "О введении документов Международных стандартов финансовой отчетности в действие на территории Российской Федерации", зарегистрированным Министерством юстиции Российской Федерации 16 апреля 2018 года N 50779, приказом Министерства финансов Российской Федерации от 4 июня 2018 года N 125н "О введении документа Международных стандартов финансовой отчетности в действие на территории Российской Федерации", зарегистрированным Министерством юстиции Российской Федерации 21 июня 2018 года N 51396, приказом Министерства финансов Российской Федерации от 16 сентября 2019 года N 146н "О введении документа Международных стандартов финансовой отчетности "Редакционные исправления в МСФО" в действие на территории Российской Федерации", зарегистрированным Министерством юстиции Российской Федерации 9 октября 2019 года N 56187;</w:t>
      </w:r>
    </w:p>
    <w:p w:rsidR="00926A92" w:rsidRDefault="00926A92">
      <w:pPr>
        <w:pStyle w:val="ConsPlusNormal"/>
        <w:spacing w:before="220"/>
        <w:ind w:firstLine="540"/>
        <w:jc w:val="both"/>
      </w:pPr>
      <w:r>
        <w:t xml:space="preserve">своп-договоров, заключенных в рамках операций хеджирования, определяемых в соответствии с </w:t>
      </w:r>
      <w:hyperlink r:id="rId10">
        <w:r>
          <w:rPr>
            <w:color w:val="0000FF"/>
          </w:rPr>
          <w:t>пунктом 5 статьи 301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2016, N 27, ст. 4175);</w:t>
      </w:r>
    </w:p>
    <w:p w:rsidR="00926A92" w:rsidRDefault="00926A92">
      <w:pPr>
        <w:pStyle w:val="ConsPlusNormal"/>
        <w:spacing w:before="220"/>
        <w:ind w:firstLine="540"/>
        <w:jc w:val="both"/>
      </w:pPr>
      <w:r>
        <w:t>своп-договоров, заключенных на организованных торгах.</w:t>
      </w:r>
    </w:p>
    <w:p w:rsidR="00926A92" w:rsidRDefault="00926A92">
      <w:pPr>
        <w:pStyle w:val="ConsPlusNormal"/>
        <w:spacing w:before="220"/>
        <w:ind w:firstLine="540"/>
        <w:jc w:val="both"/>
      </w:pPr>
      <w:r>
        <w:t>1.3. Сторонами по своп-договорам не являются:</w:t>
      </w:r>
    </w:p>
    <w:p w:rsidR="00926A92" w:rsidRDefault="00926A92">
      <w:pPr>
        <w:pStyle w:val="ConsPlusNormal"/>
        <w:spacing w:before="220"/>
        <w:ind w:firstLine="540"/>
        <w:jc w:val="both"/>
      </w:pPr>
      <w:r>
        <w:t>центральный контрагент, если заключение такого своп-договора не связано с исполнением им функций центрального контрагента;</w:t>
      </w:r>
    </w:p>
    <w:p w:rsidR="00926A92" w:rsidRDefault="00926A92">
      <w:pPr>
        <w:pStyle w:val="ConsPlusNormal"/>
        <w:spacing w:before="220"/>
        <w:ind w:firstLine="540"/>
        <w:jc w:val="both"/>
      </w:pPr>
      <w:r>
        <w:t xml:space="preserve">лица, входящие в одну группу, определяемую в соответствии с приложением A Международного </w:t>
      </w:r>
      <w:hyperlink r:id="rId11">
        <w:r>
          <w:rPr>
            <w:color w:val="0000FF"/>
          </w:rPr>
          <w:t>стандарта</w:t>
        </w:r>
      </w:hyperlink>
      <w:r>
        <w:t xml:space="preserve"> финансовой отчетности (IFRS) 10 "Консолидированная финансовая отчетность", введенного в действие на территории Российской Федерации </w:t>
      </w:r>
      <w:hyperlink r:id="rId12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28 декабря 2015 года N 217н "О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(отдельных положений приказов) Министерства финансов Российской Федерации", зарегистрированным Министерством юстиции Российской Федерации 2 февраля 2016 года N 40940, 1 августа 2016 года N 43044, с поправками, введенными в действие на территории Российской Федерации приказом Минфина России N 98н, в отношении которой составляется консолидированная финансовая отчетность в соответствии со </w:t>
      </w:r>
      <w:hyperlink r:id="rId13">
        <w:r>
          <w:rPr>
            <w:color w:val="0000FF"/>
          </w:rPr>
          <w:t>статьей 3</w:t>
        </w:r>
      </w:hyperlink>
      <w:r>
        <w:t xml:space="preserve"> Федерального закона от 27 июля 2010 года N 208-ФЗ "О консолидированной финансовой отчетности" (Собрание законодательства Российской Федерации, 2010, N 31, ст. 4177; 2017, N 30, ст. 4444);</w:t>
      </w:r>
    </w:p>
    <w:p w:rsidR="00926A92" w:rsidRDefault="00926A92">
      <w:pPr>
        <w:pStyle w:val="ConsPlusNormal"/>
        <w:spacing w:before="220"/>
        <w:ind w:firstLine="540"/>
        <w:jc w:val="both"/>
      </w:pPr>
      <w:r>
        <w:t>Банк России, Российская Федерация, субъект Российской Федерации;</w:t>
      </w:r>
    </w:p>
    <w:p w:rsidR="00926A92" w:rsidRDefault="00926A92">
      <w:pPr>
        <w:pStyle w:val="ConsPlusNormal"/>
        <w:spacing w:before="220"/>
        <w:ind w:firstLine="540"/>
        <w:jc w:val="both"/>
      </w:pPr>
      <w:r>
        <w:t>центральный банк иностранного государства, иностранное государство, административно-территориальная единица иностранного государства, международная финансовая организация, юридическое лицо, учрежденное в соответствии с законодательством иностранного государства;</w:t>
      </w:r>
    </w:p>
    <w:p w:rsidR="00926A92" w:rsidRDefault="00926A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6A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A92" w:rsidRDefault="00926A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A92" w:rsidRDefault="00926A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6A92" w:rsidRDefault="00926A9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26A92" w:rsidRDefault="00926A92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6 пп. 1.3 п. 1 </w:t>
            </w:r>
            <w:hyperlink w:anchor="P39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01.01.2026.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A92" w:rsidRDefault="00926A92">
            <w:pPr>
              <w:pStyle w:val="ConsPlusNormal"/>
            </w:pPr>
          </w:p>
        </w:tc>
      </w:tr>
    </w:tbl>
    <w:p w:rsidR="00926A92" w:rsidRDefault="00926A92">
      <w:pPr>
        <w:pStyle w:val="ConsPlusNormal"/>
        <w:spacing w:before="280"/>
        <w:ind w:firstLine="540"/>
        <w:jc w:val="both"/>
      </w:pPr>
      <w:bookmarkStart w:id="2" w:name="P35"/>
      <w:bookmarkEnd w:id="2"/>
      <w:r>
        <w:lastRenderedPageBreak/>
        <w:t>юридическое лицо, не имеющее лицензии на осуществление банковских операций, лицензии на осуществление брокерской деятельности, дилерской деятельности, деятельности по управлению ценными бумагами или лицензии управляющей компании инвестиционных фондов, паевых инвестиционных фондов и негосударственных пенсионных фондов.</w:t>
      </w:r>
    </w:p>
    <w:p w:rsidR="00926A92" w:rsidRDefault="00926A92">
      <w:pPr>
        <w:pStyle w:val="ConsPlusNormal"/>
        <w:spacing w:before="220"/>
        <w:ind w:firstLine="540"/>
        <w:jc w:val="both"/>
      </w:pPr>
      <w:r>
        <w:t>1.4. В отношении своп-договоров осуществляется клиринг с участием центрального контрагента хотя бы одной клиринговой организацией.</w:t>
      </w:r>
    </w:p>
    <w:p w:rsidR="00926A92" w:rsidRDefault="00926A92">
      <w:pPr>
        <w:pStyle w:val="ConsPlusNormal"/>
        <w:spacing w:before="220"/>
        <w:ind w:firstLine="540"/>
        <w:jc w:val="both"/>
      </w:pPr>
      <w:r>
        <w:t>1.5. В случае если своп-договор предусматривает, что обязательство, существующее между сторонами своп-договора, заключенного не с центральным контрагентом, прекращается заменой новым обязательством с тем же предметом и способом исполнения между каждой из сторон указанного своп-договора либо лицом, действующим по поручению стороны указанного своп-договора, и центральным контрагентом, такой своп-договор должен содержать условие о том, что прекращение и замена соответствующего обязательства осуществляется не позднее рабочего дня, следующего за днем заключения указанного своп-договора.</w:t>
      </w:r>
    </w:p>
    <w:p w:rsidR="00926A92" w:rsidRDefault="00926A92">
      <w:pPr>
        <w:pStyle w:val="ConsPlusNormal"/>
        <w:spacing w:before="220"/>
        <w:ind w:firstLine="540"/>
        <w:jc w:val="both"/>
      </w:pPr>
      <w:r>
        <w:t>2. Настоящее Указание подлежит официальному опубликованию и в соответствии с решением Совета директоров Банка России (протокол заседания Совета директоров Банка России от 6 декабря 2019 года N 33) вступает в силу 1 января 2021 года.</w:t>
      </w:r>
    </w:p>
    <w:p w:rsidR="00926A92" w:rsidRDefault="00926A92">
      <w:pPr>
        <w:pStyle w:val="ConsPlusNormal"/>
        <w:spacing w:before="220"/>
        <w:ind w:firstLine="540"/>
        <w:jc w:val="both"/>
      </w:pPr>
      <w:bookmarkStart w:id="3" w:name="P39"/>
      <w:bookmarkEnd w:id="3"/>
      <w:r>
        <w:t xml:space="preserve">3. </w:t>
      </w:r>
      <w:hyperlink w:anchor="P35">
        <w:r>
          <w:rPr>
            <w:color w:val="0000FF"/>
          </w:rPr>
          <w:t>Абзац шестой подпункта 1.3 пункта 1</w:t>
        </w:r>
      </w:hyperlink>
      <w:r>
        <w:t xml:space="preserve"> настоящего Указания действует до 1 января 2026 года.</w:t>
      </w:r>
    </w:p>
    <w:p w:rsidR="00926A92" w:rsidRDefault="00926A9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Указания</w:t>
        </w:r>
      </w:hyperlink>
      <w:r>
        <w:t xml:space="preserve"> Банка России от 01.11.2023 N 6592-У)</w:t>
      </w:r>
    </w:p>
    <w:p w:rsidR="00926A92" w:rsidRDefault="00926A92">
      <w:pPr>
        <w:pStyle w:val="ConsPlusNormal"/>
        <w:spacing w:before="220"/>
        <w:ind w:firstLine="540"/>
        <w:jc w:val="both"/>
      </w:pPr>
      <w:r>
        <w:t xml:space="preserve">4. Определение совокупной номинальной стоимости своп-договоров в соответствии с </w:t>
      </w:r>
      <w:hyperlink w:anchor="P23">
        <w:r>
          <w:rPr>
            <w:color w:val="0000FF"/>
          </w:rPr>
          <w:t>подпунктом 1.2 пункта 1</w:t>
        </w:r>
      </w:hyperlink>
      <w:r>
        <w:t xml:space="preserve"> настоящего Указания осуществляется по своп-договорам, заключенным после вступления в силу настоящего Указания.</w:t>
      </w:r>
    </w:p>
    <w:p w:rsidR="00926A92" w:rsidRDefault="00926A92">
      <w:pPr>
        <w:pStyle w:val="ConsPlusNormal"/>
        <w:jc w:val="both"/>
      </w:pPr>
    </w:p>
    <w:p w:rsidR="00926A92" w:rsidRDefault="00926A92">
      <w:pPr>
        <w:pStyle w:val="ConsPlusNormal"/>
        <w:jc w:val="right"/>
      </w:pPr>
      <w:r>
        <w:t>Председатель Центрального банка</w:t>
      </w:r>
    </w:p>
    <w:p w:rsidR="00926A92" w:rsidRDefault="00926A92">
      <w:pPr>
        <w:pStyle w:val="ConsPlusNormal"/>
        <w:jc w:val="right"/>
      </w:pPr>
      <w:r>
        <w:t>Российской Федерации</w:t>
      </w:r>
    </w:p>
    <w:p w:rsidR="00926A92" w:rsidRDefault="00926A92">
      <w:pPr>
        <w:pStyle w:val="ConsPlusNormal"/>
        <w:jc w:val="right"/>
      </w:pPr>
      <w:r>
        <w:t>Э.С.НАБИУЛЛИНА</w:t>
      </w:r>
    </w:p>
    <w:p w:rsidR="00926A92" w:rsidRDefault="00926A92">
      <w:pPr>
        <w:pStyle w:val="ConsPlusNormal"/>
        <w:jc w:val="both"/>
      </w:pPr>
    </w:p>
    <w:p w:rsidR="00926A92" w:rsidRDefault="00926A92">
      <w:pPr>
        <w:pStyle w:val="ConsPlusNormal"/>
        <w:jc w:val="both"/>
      </w:pPr>
    </w:p>
    <w:p w:rsidR="00926A92" w:rsidRDefault="00926A9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1087" w:rsidRDefault="00926A92">
      <w:bookmarkStart w:id="4" w:name="_GoBack"/>
      <w:bookmarkEnd w:id="4"/>
    </w:p>
    <w:sectPr w:rsidR="00981087" w:rsidSect="005B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92"/>
    <w:rsid w:val="00613795"/>
    <w:rsid w:val="00822859"/>
    <w:rsid w:val="0092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B08D2-A785-440A-AE6E-7AAE83F5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A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6A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26A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0195" TargetMode="External"/><Relationship Id="rId13" Type="http://schemas.openxmlformats.org/officeDocument/2006/relationships/hyperlink" Target="https://login.consultant.ru/link/?req=doc&amp;base=LAW&amp;n=481386&amp;dst=1000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77289&amp;dst=100025" TargetMode="External"/><Relationship Id="rId12" Type="http://schemas.openxmlformats.org/officeDocument/2006/relationships/hyperlink" Target="https://login.consultant.ru/link/?req=doc&amp;base=LAW&amp;n=49232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370&amp;dst=1161" TargetMode="External"/><Relationship Id="rId11" Type="http://schemas.openxmlformats.org/officeDocument/2006/relationships/hyperlink" Target="https://login.consultant.ru/link/?req=doc&amp;base=LAW&amp;n=202317" TargetMode="External"/><Relationship Id="rId5" Type="http://schemas.openxmlformats.org/officeDocument/2006/relationships/hyperlink" Target="https://login.consultant.ru/link/?req=doc&amp;base=LAW&amp;n=463796&amp;dst=10000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4979&amp;dst=1329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952" TargetMode="External"/><Relationship Id="rId14" Type="http://schemas.openxmlformats.org/officeDocument/2006/relationships/hyperlink" Target="https://login.consultant.ru/link/?req=doc&amp;base=LAW&amp;n=463796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1329</Words>
  <Characters>7576</Characters>
  <Application>Microsoft Office Word</Application>
  <DocSecurity>0</DocSecurity>
  <Lines>63</Lines>
  <Paragraphs>17</Paragraphs>
  <ScaleCrop>false</ScaleCrop>
  <Company>MOEX</Company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Анна Анатольевна</dc:creator>
  <cp:keywords/>
  <dc:description/>
  <cp:lastModifiedBy>Максимова Анна Анатольевна</cp:lastModifiedBy>
  <cp:revision>1</cp:revision>
  <dcterms:created xsi:type="dcterms:W3CDTF">2025-01-30T05:38:00Z</dcterms:created>
  <dcterms:modified xsi:type="dcterms:W3CDTF">2025-01-30T05:38:00Z</dcterms:modified>
</cp:coreProperties>
</file>