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7C28" w14:textId="77777777" w:rsidR="00954E46" w:rsidRDefault="00954E46" w:rsidP="00954E4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726D863" w14:textId="77777777" w:rsidR="00954E46" w:rsidRDefault="00954E46" w:rsidP="00954E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7847F6DF" w14:textId="10568ECD" w:rsidR="00954E46" w:rsidRDefault="00954E46" w:rsidP="00954E46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="000F2BE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5E3C67">
        <w:rPr>
          <w:rFonts w:ascii="Tahoma" w:hAnsi="Tahoma" w:cs="Tahoma"/>
          <w:sz w:val="20"/>
          <w:szCs w:val="20"/>
        </w:rPr>
        <w:t>740</w:t>
      </w:r>
      <w:r>
        <w:rPr>
          <w:rFonts w:ascii="Tahoma" w:hAnsi="Tahoma" w:cs="Tahoma"/>
          <w:sz w:val="20"/>
          <w:szCs w:val="20"/>
        </w:rPr>
        <w:t xml:space="preserve"> от</w:t>
      </w:r>
      <w:r w:rsidR="005E3C67">
        <w:rPr>
          <w:rFonts w:ascii="Tahoma" w:hAnsi="Tahoma" w:cs="Tahoma"/>
          <w:sz w:val="20"/>
          <w:szCs w:val="20"/>
        </w:rPr>
        <w:t xml:space="preserve"> 29 марта</w:t>
      </w:r>
      <w:bookmarkStart w:id="0" w:name="_GoBack"/>
      <w:bookmarkEnd w:id="0"/>
      <w:r w:rsidR="008669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</w:t>
      </w:r>
      <w:r w:rsidR="000F2BE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14:paraId="597A25A5" w14:textId="141365EC" w:rsidR="00D11D5A" w:rsidRDefault="00D11D5A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4739D94A" w14:textId="77777777" w:rsidR="00954E46" w:rsidRPr="00DA44F9" w:rsidRDefault="00954E46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x-none" w:eastAsia="x-none"/>
        </w:rPr>
      </w:pPr>
    </w:p>
    <w:p w14:paraId="08F68ECF" w14:textId="77777777"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14:paraId="75D16141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7C8CF471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68AA0BD" w14:textId="77777777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14:paraId="4F455F15" w14:textId="558A6192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акции </w:t>
      </w:r>
      <w:r w:rsidR="13A0D865" w:rsidRPr="0E14DDBF">
        <w:rPr>
          <w:rFonts w:ascii="Tahoma" w:hAnsi="Tahoma" w:cs="Tahoma"/>
          <w:b/>
          <w:bCs/>
          <w:sz w:val="22"/>
          <w:szCs w:val="22"/>
        </w:rPr>
        <w:t xml:space="preserve">иностранных </w:t>
      </w:r>
      <w:r w:rsidRPr="0E14DDBF">
        <w:rPr>
          <w:rFonts w:ascii="Tahoma" w:hAnsi="Tahoma" w:cs="Tahoma"/>
          <w:b/>
          <w:bCs/>
          <w:sz w:val="22"/>
          <w:szCs w:val="22"/>
        </w:rPr>
        <w:t>эмитентов</w:t>
      </w:r>
    </w:p>
    <w:p w14:paraId="335D7C1A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14:paraId="50375291" w14:textId="77777777" w:rsidTr="00D972EA">
        <w:tc>
          <w:tcPr>
            <w:tcW w:w="709" w:type="dxa"/>
            <w:vAlign w:val="center"/>
          </w:tcPr>
          <w:p w14:paraId="246EB243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14:paraId="45B96C63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757FE6B5" w14:textId="77777777"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14:paraId="46C2984D" w14:textId="77777777"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3259A734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34703894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14:paraId="0401FCA8" w14:textId="77777777" w:rsidTr="008174C1">
        <w:tc>
          <w:tcPr>
            <w:tcW w:w="709" w:type="dxa"/>
            <w:vAlign w:val="center"/>
          </w:tcPr>
          <w:p w14:paraId="7567657B" w14:textId="77777777"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AAD139A" w14:textId="3F9ED4A8"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DA44F9" w:rsidRPr="00DA44F9">
              <w:rPr>
                <w:rFonts w:ascii="Tahoma" w:hAnsi="Tahoma" w:cs="Tahoma"/>
                <w:sz w:val="20"/>
                <w:szCs w:val="20"/>
              </w:rPr>
              <w:t>«Яндекс Н.В.»</w:t>
            </w:r>
          </w:p>
        </w:tc>
        <w:tc>
          <w:tcPr>
            <w:tcW w:w="3402" w:type="dxa"/>
            <w:vAlign w:val="center"/>
          </w:tcPr>
          <w:p w14:paraId="7CD5AE6B" w14:textId="5EB54BB7"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A44F9" w:rsidRPr="00DA44F9">
              <w:rPr>
                <w:rFonts w:ascii="Tahoma" w:hAnsi="Tahoma" w:cs="Tahoma"/>
                <w:sz w:val="20"/>
                <w:szCs w:val="20"/>
              </w:rPr>
              <w:t>«Яндекс Н.В.»</w:t>
            </w:r>
          </w:p>
        </w:tc>
        <w:tc>
          <w:tcPr>
            <w:tcW w:w="1984" w:type="dxa"/>
            <w:vAlign w:val="center"/>
          </w:tcPr>
          <w:p w14:paraId="2C9136E8" w14:textId="083F9847" w:rsidR="001620A4" w:rsidRPr="0092365E" w:rsidRDefault="00DA44F9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YNDF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14:paraId="59F43BD2" w14:textId="77777777"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09A7C374" w14:textId="77777777"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F2BEA" w:rsidRPr="00CD2745" w14:paraId="71389D99" w14:textId="77777777" w:rsidTr="00621285">
        <w:tc>
          <w:tcPr>
            <w:tcW w:w="709" w:type="dxa"/>
            <w:vAlign w:val="center"/>
          </w:tcPr>
          <w:p w14:paraId="1B6696C3" w14:textId="77777777" w:rsidR="000F2BEA" w:rsidRPr="004F5DA5" w:rsidRDefault="000F2BEA" w:rsidP="000F2B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9B271BC" w14:textId="3A0C8AF8" w:rsidR="000F2BEA" w:rsidRPr="0092365E" w:rsidRDefault="000F2BEA" w:rsidP="000F2BEA">
            <w:pPr>
              <w:rPr>
                <w:rFonts w:ascii="Tahoma" w:hAnsi="Tahoma" w:cs="Tahoma"/>
                <w:sz w:val="20"/>
                <w:szCs w:val="20"/>
              </w:rPr>
            </w:pPr>
            <w:r w:rsidRPr="000F2BEA">
              <w:rPr>
                <w:rFonts w:ascii="Tahoma" w:hAnsi="Tahoma" w:cs="Tahoma"/>
                <w:sz w:val="20"/>
                <w:szCs w:val="20"/>
              </w:rPr>
              <w:t xml:space="preserve">Маржируемый опцион на </w:t>
            </w:r>
            <w:r w:rsidRPr="00621285">
              <w:rPr>
                <w:rFonts w:ascii="Tahoma" w:hAnsi="Tahoma" w:cs="Tahoma"/>
                <w:sz w:val="20"/>
                <w:szCs w:val="20"/>
              </w:rPr>
              <w:t>ф</w:t>
            </w:r>
            <w:r w:rsidRPr="000F2BEA">
              <w:rPr>
                <w:rFonts w:ascii="Tahoma" w:hAnsi="Tahoma" w:cs="Tahoma"/>
                <w:sz w:val="20"/>
                <w:szCs w:val="20"/>
              </w:rPr>
              <w:t>ьючерсны</w:t>
            </w:r>
            <w:r>
              <w:rPr>
                <w:rFonts w:ascii="Tahoma" w:hAnsi="Tahoma" w:cs="Tahoma"/>
                <w:sz w:val="20"/>
                <w:szCs w:val="20"/>
              </w:rPr>
              <w:t>й</w:t>
            </w:r>
            <w:r w:rsidRPr="000F2BEA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«Полиметалл Интернэшнл»</w:t>
            </w:r>
          </w:p>
        </w:tc>
        <w:tc>
          <w:tcPr>
            <w:tcW w:w="3402" w:type="dxa"/>
            <w:vAlign w:val="center"/>
          </w:tcPr>
          <w:p w14:paraId="5DC20A4B" w14:textId="0E3C27CF" w:rsidR="000F2BEA" w:rsidRPr="0092365E" w:rsidRDefault="000F2BEA" w:rsidP="000F2BEA">
            <w:pPr>
              <w:rPr>
                <w:rFonts w:ascii="Tahoma" w:hAnsi="Tahoma" w:cs="Tahoma"/>
                <w:sz w:val="20"/>
                <w:szCs w:val="20"/>
              </w:rPr>
            </w:pPr>
            <w:r w:rsidRPr="000F2BEA">
              <w:rPr>
                <w:rFonts w:ascii="Tahoma" w:hAnsi="Tahoma" w:cs="Tahoma"/>
                <w:sz w:val="20"/>
                <w:szCs w:val="20"/>
              </w:rPr>
              <w:t>Фьючерсны</w:t>
            </w:r>
            <w:r>
              <w:rPr>
                <w:rFonts w:ascii="Tahoma" w:hAnsi="Tahoma" w:cs="Tahoma"/>
                <w:sz w:val="20"/>
                <w:szCs w:val="20"/>
              </w:rPr>
              <w:t>й</w:t>
            </w:r>
            <w:r w:rsidRPr="000F2BEA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«Полиметалл Интернэшнл»</w:t>
            </w:r>
          </w:p>
        </w:tc>
        <w:tc>
          <w:tcPr>
            <w:tcW w:w="1984" w:type="dxa"/>
            <w:vAlign w:val="center"/>
          </w:tcPr>
          <w:p w14:paraId="7811C6A5" w14:textId="7413C4A6" w:rsidR="000F2BEA" w:rsidRPr="000F2BEA" w:rsidRDefault="000F2BEA" w:rsidP="000F2B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POLY</w:t>
            </w:r>
            <w:r w:rsidRPr="00621285">
              <w:rPr>
                <w:rFonts w:ascii="Tahoma" w:hAnsi="Tahoma" w:cs="Tahoma"/>
                <w:sz w:val="20"/>
                <w:szCs w:val="20"/>
                <w:lang w:val="en-US"/>
              </w:rPr>
              <w:t>-xx.yy</w:t>
            </w:r>
          </w:p>
        </w:tc>
        <w:tc>
          <w:tcPr>
            <w:tcW w:w="1984" w:type="dxa"/>
            <w:vAlign w:val="center"/>
          </w:tcPr>
          <w:p w14:paraId="5CFE9B41" w14:textId="0F19088B" w:rsidR="000F2BEA" w:rsidRPr="00621285" w:rsidRDefault="000F2BEA" w:rsidP="000F2BE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21285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14:paraId="2E96FB6F" w14:textId="4E696914" w:rsidR="000F2BEA" w:rsidRPr="00621285" w:rsidRDefault="000F2BEA" w:rsidP="000F2BE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21285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14:paraId="72B7CA3E" w14:textId="77777777" w:rsidR="00DA44F9" w:rsidRPr="00DE3878" w:rsidRDefault="00DA44F9" w:rsidP="00CE6A84">
      <w:pPr>
        <w:jc w:val="both"/>
        <w:rPr>
          <w:rFonts w:ascii="Tahoma" w:hAnsi="Tahoma" w:cs="Tahoma"/>
          <w:sz w:val="22"/>
          <w:szCs w:val="22"/>
        </w:rPr>
      </w:pPr>
    </w:p>
    <w:p w14:paraId="0525BF9C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143489CF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14:paraId="3E977E46" w14:textId="509F3157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DA44F9">
        <w:rPr>
          <w:rFonts w:ascii="Tahoma" w:hAnsi="Tahoma" w:cs="Tahoma"/>
          <w:sz w:val="20"/>
          <w:szCs w:val="22"/>
          <w:lang w:val="en-US"/>
        </w:rPr>
        <w:t>YNDF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DA44F9" w:rsidRPr="00DA44F9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DA44F9" w:rsidRPr="00DA44F9">
        <w:rPr>
          <w:rFonts w:ascii="Tahoma" w:hAnsi="Tahoma" w:cs="Tahoma"/>
          <w:sz w:val="20"/>
          <w:szCs w:val="22"/>
        </w:rPr>
        <w:t>2</w:t>
      </w:r>
      <w:r w:rsidR="000F2BEA">
        <w:rPr>
          <w:rFonts w:ascii="Tahoma" w:hAnsi="Tahoma" w:cs="Tahoma"/>
          <w:sz w:val="20"/>
          <w:szCs w:val="22"/>
        </w:rPr>
        <w:t>1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DA44F9" w:rsidRPr="00DA44F9">
        <w:rPr>
          <w:rFonts w:ascii="Tahoma" w:hAnsi="Tahoma" w:cs="Tahoma"/>
          <w:sz w:val="20"/>
          <w:szCs w:val="22"/>
        </w:rPr>
        <w:t>«Яндекс Н.В.»</w:t>
      </w:r>
      <w:r>
        <w:rPr>
          <w:rFonts w:ascii="Tahoma" w:hAnsi="Tahoma" w:cs="Tahoma"/>
          <w:sz w:val="20"/>
          <w:szCs w:val="22"/>
        </w:rPr>
        <w:t>, 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DA44F9">
        <w:rPr>
          <w:rFonts w:ascii="Tahoma" w:hAnsi="Tahoma" w:cs="Tahoma"/>
          <w:sz w:val="20"/>
          <w:szCs w:val="22"/>
        </w:rPr>
        <w:t>сентябре</w:t>
      </w:r>
      <w:r w:rsidR="00CD2745" w:rsidRPr="00CE6A84">
        <w:rPr>
          <w:rFonts w:ascii="Tahoma" w:hAnsi="Tahoma" w:cs="Tahoma"/>
          <w:sz w:val="20"/>
          <w:szCs w:val="22"/>
        </w:rPr>
        <w:t xml:space="preserve"> 20</w:t>
      </w:r>
      <w:r w:rsidR="00DA44F9">
        <w:rPr>
          <w:rFonts w:ascii="Tahoma" w:hAnsi="Tahoma" w:cs="Tahoma"/>
          <w:sz w:val="20"/>
          <w:szCs w:val="22"/>
        </w:rPr>
        <w:t>2</w:t>
      </w:r>
      <w:r w:rsidR="000F2BEA">
        <w:rPr>
          <w:rFonts w:ascii="Tahoma" w:hAnsi="Tahoma" w:cs="Tahoma"/>
          <w:sz w:val="20"/>
          <w:szCs w:val="22"/>
        </w:rPr>
        <w:t>1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87" w14:textId="77777777" w:rsidR="00D56AB2" w:rsidRDefault="00D56AB2" w:rsidP="002F7E61">
      <w:r>
        <w:separator/>
      </w:r>
    </w:p>
  </w:endnote>
  <w:endnote w:type="continuationSeparator" w:id="0">
    <w:p w14:paraId="0B1CBBA8" w14:textId="77777777" w:rsidR="00D56AB2" w:rsidRDefault="00D56A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F3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23F29FD" w14:textId="77777777" w:rsidR="00954AE2" w:rsidRDefault="005E3C67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286B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0FA95DE" w14:textId="77777777" w:rsidR="00954AE2" w:rsidRDefault="005E3C67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A562" w14:textId="77777777" w:rsidR="00D56AB2" w:rsidRDefault="00D56AB2" w:rsidP="002F7E61">
      <w:r>
        <w:separator/>
      </w:r>
    </w:p>
  </w:footnote>
  <w:footnote w:type="continuationSeparator" w:id="0">
    <w:p w14:paraId="276D17C9" w14:textId="77777777" w:rsidR="00D56AB2" w:rsidRDefault="00D56A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CDF3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14:paraId="5863D5D7" w14:textId="472310DE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</w:t>
    </w:r>
    <w:r w:rsidR="00DA44F9">
      <w:rPr>
        <w:rFonts w:ascii="Tahoma" w:hAnsi="Tahoma" w:cs="Tahoma"/>
        <w:b/>
        <w:sz w:val="22"/>
        <w:lang w:val="ru-RU"/>
      </w:rPr>
      <w:t>иностранных</w:t>
    </w:r>
    <w:r w:rsidR="003B482B" w:rsidRPr="00651433">
      <w:rPr>
        <w:rFonts w:ascii="Tahoma" w:hAnsi="Tahoma" w:cs="Tahoma"/>
        <w:b/>
        <w:sz w:val="22"/>
        <w:lang w:val="ru-RU"/>
      </w:rPr>
      <w:t xml:space="preserve">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multi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C64CD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BD40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1F4043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2BEA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3C67"/>
    <w:rsid w:val="005E7C09"/>
    <w:rsid w:val="0060558E"/>
    <w:rsid w:val="00606B3C"/>
    <w:rsid w:val="006137A6"/>
    <w:rsid w:val="00621285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1757"/>
    <w:rsid w:val="007C4386"/>
    <w:rsid w:val="007D1649"/>
    <w:rsid w:val="007D2142"/>
    <w:rsid w:val="007D4E10"/>
    <w:rsid w:val="007E5882"/>
    <w:rsid w:val="007F42DD"/>
    <w:rsid w:val="008136E3"/>
    <w:rsid w:val="008174C1"/>
    <w:rsid w:val="00817B56"/>
    <w:rsid w:val="00841C6C"/>
    <w:rsid w:val="008669DB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54E46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33F77"/>
    <w:rsid w:val="00B471DD"/>
    <w:rsid w:val="00B71073"/>
    <w:rsid w:val="00B855D6"/>
    <w:rsid w:val="00BA60D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56AB2"/>
    <w:rsid w:val="00D62142"/>
    <w:rsid w:val="00D82B6A"/>
    <w:rsid w:val="00D85CCB"/>
    <w:rsid w:val="00D876B9"/>
    <w:rsid w:val="00D972EA"/>
    <w:rsid w:val="00DA44F9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322B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E14DDBF"/>
    <w:rsid w:val="13A0D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BF5EB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9C5-4FE5-4232-B35D-1A2A6A092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F2129-FCEC-48A5-B757-F92758D9552B}">
  <ds:schemaRefs>
    <ds:schemaRef ds:uri="http://schemas.microsoft.com/office/2006/metadata/properties"/>
    <ds:schemaRef ds:uri="590b810f-da58-4cf5-94a3-c1feff451f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FDA800-5FA1-4D56-9993-7A5419058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9D108-21A9-47AF-9CC8-B24056FB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5</cp:revision>
  <cp:lastPrinted>2014-06-16T08:54:00Z</cp:lastPrinted>
  <dcterms:created xsi:type="dcterms:W3CDTF">2021-02-12T13:02:00Z</dcterms:created>
  <dcterms:modified xsi:type="dcterms:W3CDTF">2021-03-29T07:00:00Z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