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1837" w14:textId="77777777" w:rsidR="000E45E9" w:rsidRPr="00823A5B" w:rsidRDefault="00823A5B" w:rsidP="00461537">
      <w:pPr>
        <w:pStyle w:val="ad"/>
        <w:tabs>
          <w:tab w:val="left" w:pos="5670"/>
        </w:tabs>
        <w:spacing w:before="240" w:after="0"/>
        <w:ind w:left="5387" w:right="-79" w:hanging="709"/>
        <w:rPr>
          <w:rFonts w:ascii="Tahoma" w:hAnsi="Tahoma" w:cs="Tahoma"/>
          <w:b/>
          <w:sz w:val="20"/>
          <w:szCs w:val="20"/>
        </w:rPr>
      </w:pPr>
      <w:r>
        <w:rPr>
          <w:rFonts w:ascii="Tahoma" w:hAnsi="Tahoma"/>
          <w:b/>
          <w:sz w:val="20"/>
        </w:rPr>
        <w:t>APPROVED</w:t>
      </w:r>
    </w:p>
    <w:p w14:paraId="18E39ED2" w14:textId="77777777" w:rsidR="000E45E9" w:rsidRPr="00713ED8" w:rsidRDefault="000E45E9" w:rsidP="00461537">
      <w:pPr>
        <w:pStyle w:val="ad"/>
        <w:tabs>
          <w:tab w:val="left" w:pos="5387"/>
          <w:tab w:val="left" w:pos="5670"/>
        </w:tabs>
        <w:spacing w:after="0"/>
        <w:ind w:left="5387" w:right="-79" w:hanging="709"/>
        <w:rPr>
          <w:rFonts w:ascii="Tahoma" w:hAnsi="Tahoma" w:cs="Tahoma"/>
          <w:sz w:val="20"/>
          <w:szCs w:val="20"/>
        </w:rPr>
      </w:pPr>
      <w:r>
        <w:rPr>
          <w:rFonts w:ascii="Tahoma" w:hAnsi="Tahoma"/>
          <w:sz w:val="20"/>
        </w:rPr>
        <w:t xml:space="preserve">By the Executive Board </w:t>
      </w:r>
    </w:p>
    <w:p w14:paraId="6F50918A" w14:textId="77777777" w:rsidR="00BF7C0E" w:rsidRPr="00713ED8" w:rsidRDefault="00D823A0" w:rsidP="00461537">
      <w:pPr>
        <w:pStyle w:val="ad"/>
        <w:tabs>
          <w:tab w:val="left" w:pos="5387"/>
          <w:tab w:val="left" w:pos="5670"/>
        </w:tabs>
        <w:spacing w:after="0"/>
        <w:ind w:left="5387" w:right="-79" w:hanging="709"/>
        <w:rPr>
          <w:rFonts w:ascii="Tahoma" w:hAnsi="Tahoma" w:cs="Tahoma"/>
          <w:sz w:val="20"/>
          <w:szCs w:val="20"/>
        </w:rPr>
      </w:pPr>
      <w:r>
        <w:rPr>
          <w:rFonts w:ascii="Tahoma" w:hAnsi="Tahoma"/>
          <w:sz w:val="20"/>
        </w:rPr>
        <w:t>Public Joint-Stock Company </w:t>
      </w:r>
    </w:p>
    <w:p w14:paraId="00EC3E44" w14:textId="77777777" w:rsidR="000E45E9" w:rsidRPr="00713ED8" w:rsidRDefault="000E45E9" w:rsidP="00461537">
      <w:pPr>
        <w:pStyle w:val="ad"/>
        <w:tabs>
          <w:tab w:val="left" w:pos="5387"/>
          <w:tab w:val="left" w:pos="5670"/>
        </w:tabs>
        <w:spacing w:after="0"/>
        <w:ind w:left="5387" w:right="-79" w:hanging="709"/>
        <w:rPr>
          <w:rFonts w:ascii="Tahoma" w:hAnsi="Tahoma" w:cs="Tahoma"/>
          <w:sz w:val="20"/>
          <w:szCs w:val="20"/>
        </w:rPr>
      </w:pPr>
      <w:r>
        <w:rPr>
          <w:rFonts w:ascii="Tahoma" w:hAnsi="Tahoma"/>
          <w:sz w:val="20"/>
        </w:rPr>
        <w:t>Moscow Exchange MICEX-RTS</w:t>
      </w:r>
    </w:p>
    <w:p w14:paraId="021D762C" w14:textId="376A0B41" w:rsidR="003E7AB1" w:rsidRPr="00461537" w:rsidRDefault="003E7AB1" w:rsidP="00461537">
      <w:pPr>
        <w:tabs>
          <w:tab w:val="left" w:pos="4962"/>
        </w:tabs>
        <w:ind w:left="5387" w:right="27" w:hanging="709"/>
        <w:rPr>
          <w:rFonts w:ascii="Tahoma" w:hAnsi="Tahoma"/>
          <w:sz w:val="18"/>
          <w:lang w:val="en-US"/>
        </w:rPr>
      </w:pPr>
      <w:r>
        <w:rPr>
          <w:rFonts w:ascii="Tahoma" w:hAnsi="Tahoma"/>
          <w:sz w:val="20"/>
        </w:rPr>
        <w:t>(</w:t>
      </w:r>
      <w:r w:rsidRPr="00461537">
        <w:rPr>
          <w:rFonts w:ascii="Tahoma" w:hAnsi="Tahoma"/>
          <w:sz w:val="18"/>
          <w:lang w:val="en-US"/>
        </w:rPr>
        <w:t>Order No.</w:t>
      </w:r>
      <w:r w:rsidR="00796AB6" w:rsidRPr="00461537">
        <w:rPr>
          <w:rFonts w:ascii="Tahoma" w:hAnsi="Tahoma"/>
          <w:sz w:val="18"/>
          <w:lang w:val="en-US"/>
        </w:rPr>
        <w:t xml:space="preserve"> МБ-П-202</w:t>
      </w:r>
      <w:r w:rsidR="00D627D0" w:rsidRPr="009C2B74">
        <w:rPr>
          <w:rFonts w:ascii="Tahoma" w:hAnsi="Tahoma"/>
          <w:sz w:val="18"/>
          <w:lang w:val="en-US"/>
        </w:rPr>
        <w:t>3</w:t>
      </w:r>
      <w:r w:rsidR="00796AB6" w:rsidRPr="00461537">
        <w:rPr>
          <w:rFonts w:ascii="Tahoma" w:hAnsi="Tahoma"/>
          <w:sz w:val="18"/>
          <w:lang w:val="en-US"/>
        </w:rPr>
        <w:t>-</w:t>
      </w:r>
      <w:r w:rsidR="009A0ED6" w:rsidRPr="009C2B74">
        <w:rPr>
          <w:rFonts w:ascii="Tahoma" w:hAnsi="Tahoma"/>
          <w:sz w:val="18"/>
          <w:lang w:val="en-US"/>
        </w:rPr>
        <w:t>220</w:t>
      </w:r>
      <w:r w:rsidRPr="00461537">
        <w:rPr>
          <w:rFonts w:ascii="Tahoma" w:hAnsi="Tahoma"/>
          <w:sz w:val="18"/>
          <w:lang w:val="en-US"/>
        </w:rPr>
        <w:t xml:space="preserve"> </w:t>
      </w:r>
      <w:r w:rsidR="00461537" w:rsidRPr="00461537">
        <w:rPr>
          <w:rFonts w:ascii="Tahoma" w:hAnsi="Tahoma"/>
          <w:sz w:val="18"/>
          <w:lang w:val="en-US"/>
        </w:rPr>
        <w:t xml:space="preserve">dated </w:t>
      </w:r>
      <w:r w:rsidR="009275CB" w:rsidRPr="009C2B74">
        <w:rPr>
          <w:rFonts w:ascii="Tahoma" w:hAnsi="Tahoma"/>
          <w:sz w:val="18"/>
          <w:lang w:val="en-US"/>
        </w:rPr>
        <w:t xml:space="preserve">30 </w:t>
      </w:r>
      <w:r w:rsidR="009275CB">
        <w:rPr>
          <w:rFonts w:ascii="Tahoma" w:hAnsi="Tahoma"/>
          <w:sz w:val="18"/>
          <w:lang w:val="en-US"/>
        </w:rPr>
        <w:t>Januar</w:t>
      </w:r>
      <w:r w:rsidR="009A0ED6">
        <w:rPr>
          <w:rFonts w:ascii="Tahoma" w:hAnsi="Tahoma"/>
          <w:sz w:val="18"/>
          <w:lang w:val="en-US"/>
        </w:rPr>
        <w:t>y</w:t>
      </w:r>
      <w:r w:rsidR="00796AB6">
        <w:rPr>
          <w:rFonts w:ascii="Tahoma" w:hAnsi="Tahoma"/>
          <w:sz w:val="18"/>
          <w:lang w:val="en-US"/>
        </w:rPr>
        <w:t xml:space="preserve"> </w:t>
      </w:r>
      <w:r w:rsidRPr="00461537">
        <w:rPr>
          <w:rFonts w:ascii="Tahoma" w:hAnsi="Tahoma"/>
          <w:sz w:val="18"/>
          <w:lang w:val="en-US"/>
        </w:rPr>
        <w:t>202</w:t>
      </w:r>
      <w:r w:rsidR="00D627D0" w:rsidRPr="009C2B74">
        <w:rPr>
          <w:rFonts w:ascii="Tahoma" w:hAnsi="Tahoma"/>
          <w:sz w:val="18"/>
          <w:lang w:val="en-US"/>
        </w:rPr>
        <w:t>3</w:t>
      </w:r>
      <w:r w:rsidRPr="00461537">
        <w:rPr>
          <w:rFonts w:ascii="Tahoma" w:hAnsi="Tahoma"/>
          <w:sz w:val="18"/>
          <w:lang w:val="en-US"/>
        </w:rPr>
        <w:t>)</w:t>
      </w:r>
    </w:p>
    <w:p w14:paraId="3F4B23B1" w14:textId="77777777" w:rsidR="00EE44CB" w:rsidRPr="00461537" w:rsidRDefault="00EE44CB" w:rsidP="00EE44CB">
      <w:pPr>
        <w:pStyle w:val="ad"/>
        <w:tabs>
          <w:tab w:val="left" w:pos="4962"/>
        </w:tabs>
        <w:spacing w:after="0"/>
        <w:ind w:left="5387" w:right="27"/>
        <w:rPr>
          <w:rFonts w:ascii="Tahoma" w:hAnsi="Tahoma"/>
          <w:sz w:val="18"/>
          <w:lang w:val="en-US"/>
        </w:rPr>
      </w:pPr>
    </w:p>
    <w:p w14:paraId="40A51AFF" w14:textId="77777777" w:rsidR="00434CB3" w:rsidRDefault="00434CB3" w:rsidP="00434CB3">
      <w:pPr>
        <w:tabs>
          <w:tab w:val="left" w:pos="4962"/>
        </w:tabs>
        <w:ind w:left="5387" w:right="27"/>
        <w:rPr>
          <w:rFonts w:ascii="Tahoma" w:hAnsi="Tahoma" w:cs="Tahoma"/>
          <w:sz w:val="20"/>
          <w:szCs w:val="20"/>
        </w:rPr>
      </w:pPr>
    </w:p>
    <w:p w14:paraId="19098420" w14:textId="77777777" w:rsidR="00434CB3" w:rsidRPr="004E3E72" w:rsidRDefault="00434CB3" w:rsidP="00EE44CB">
      <w:pPr>
        <w:pStyle w:val="ad"/>
        <w:tabs>
          <w:tab w:val="left" w:pos="4962"/>
        </w:tabs>
        <w:spacing w:after="0"/>
        <w:ind w:left="5387" w:right="27"/>
        <w:rPr>
          <w:rFonts w:ascii="Tahoma" w:hAnsi="Tahoma" w:cs="Tahoma"/>
          <w:sz w:val="20"/>
          <w:szCs w:val="20"/>
        </w:rPr>
      </w:pPr>
    </w:p>
    <w:p w14:paraId="1D1E9126" w14:textId="77777777" w:rsidR="00EE44CB" w:rsidRPr="00EE44CB" w:rsidRDefault="00EE44CB" w:rsidP="000E45E9">
      <w:pPr>
        <w:pStyle w:val="a5"/>
        <w:spacing w:before="0" w:after="0"/>
        <w:ind w:right="-6"/>
        <w:jc w:val="center"/>
        <w:rPr>
          <w:rFonts w:ascii="Tahoma" w:eastAsia="Arial Unicode MS" w:hAnsi="Tahoma" w:cs="Tahoma"/>
          <w:b/>
          <w:bCs/>
          <w:color w:val="auto"/>
        </w:rPr>
      </w:pPr>
    </w:p>
    <w:p w14:paraId="38B32A42" w14:textId="77777777" w:rsidR="00F32CF7" w:rsidRPr="00713ED8" w:rsidRDefault="000E45E9" w:rsidP="000E45E9">
      <w:pPr>
        <w:pStyle w:val="a5"/>
        <w:spacing w:before="0" w:after="0"/>
        <w:ind w:right="-6"/>
        <w:jc w:val="center"/>
        <w:rPr>
          <w:rFonts w:ascii="Tahoma" w:eastAsia="Arial Unicode MS" w:hAnsi="Tahoma" w:cs="Tahoma"/>
          <w:b/>
          <w:bCs/>
          <w:color w:val="auto"/>
        </w:rPr>
      </w:pPr>
      <w:r>
        <w:rPr>
          <w:rFonts w:ascii="Tahoma" w:hAnsi="Tahoma"/>
          <w:b/>
          <w:color w:val="auto"/>
        </w:rPr>
        <w:t>SPECIFICATION FOR FUTURES CONTRACT ON</w:t>
      </w:r>
    </w:p>
    <w:p w14:paraId="72A96C6A" w14:textId="77777777" w:rsidR="000E45E9" w:rsidRPr="00713ED8" w:rsidRDefault="000E45E9" w:rsidP="000E45E9">
      <w:pPr>
        <w:pStyle w:val="a5"/>
        <w:spacing w:before="0" w:after="0"/>
        <w:ind w:right="-6"/>
        <w:jc w:val="center"/>
        <w:rPr>
          <w:rFonts w:ascii="Tahoma" w:eastAsia="Arial Unicode MS" w:hAnsi="Tahoma" w:cs="Tahoma"/>
          <w:b/>
          <w:bCs/>
          <w:color w:val="auto"/>
        </w:rPr>
      </w:pPr>
      <w:r>
        <w:rPr>
          <w:rFonts w:ascii="Tahoma" w:hAnsi="Tahoma"/>
          <w:b/>
          <w:color w:val="auto"/>
        </w:rPr>
        <w:t>Euro Currency Pairs</w:t>
      </w:r>
    </w:p>
    <w:p w14:paraId="68B117E4" w14:textId="77777777" w:rsidR="00F32CF7" w:rsidRPr="00713ED8" w:rsidRDefault="007E1CBB" w:rsidP="00F32CF7">
      <w:pPr>
        <w:pStyle w:val="aa"/>
        <w:spacing w:before="240" w:after="0"/>
        <w:ind w:right="57"/>
        <w:rPr>
          <w:rFonts w:ascii="Tahoma" w:hAnsi="Tahoma" w:cs="Tahoma"/>
        </w:rPr>
      </w:pPr>
      <w:r>
        <w:rPr>
          <w:rFonts w:ascii="Tahoma" w:hAnsi="Tahoma"/>
        </w:rPr>
        <w:t>This Specification sets out the standard terms and conditions of a cash-settled Futures Contract on Euro Currency Pairs (the "Specification").</w:t>
      </w:r>
    </w:p>
    <w:p w14:paraId="6CEE698E" w14:textId="77777777" w:rsidR="00EF20DE" w:rsidRPr="00713ED8" w:rsidRDefault="00EF20DE" w:rsidP="00EF20DE">
      <w:pPr>
        <w:pStyle w:val="aa"/>
        <w:spacing w:before="120"/>
        <w:ind w:right="57"/>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cash-settled Euro Currency Pair Futures Contract (hereinafter the “Contract”) as well as the procedure for such obligations to arise, be changed or terminated.</w:t>
      </w:r>
    </w:p>
    <w:p w14:paraId="115463BA" w14:textId="3F626825" w:rsidR="00EF20DE" w:rsidRPr="0089046F" w:rsidRDefault="00D823A0" w:rsidP="00EF20DE">
      <w:pPr>
        <w:pStyle w:val="aa"/>
        <w:spacing w:before="120"/>
        <w:ind w:right="57"/>
        <w:rPr>
          <w:rFonts w:ascii="Tahoma" w:hAnsi="Tahoma" w:cs="Tahoma"/>
        </w:rPr>
      </w:pPr>
      <w:r>
        <w:rPr>
          <w:rFonts w:ascii="Tahoma" w:hAnsi="Tahoma"/>
        </w:rPr>
        <w:t xml:space="preserve">Moscow Exchange (the "Exchange") approves the List of Parameters of cash-settled Euro currency pair futures contracts, </w:t>
      </w:r>
      <w:r w:rsidR="00D627D0">
        <w:rPr>
          <w:rFonts w:ascii="Tahoma" w:hAnsi="Tahoma"/>
        </w:rPr>
        <w:t>which is A</w:t>
      </w:r>
      <w:r w:rsidR="00D627D0" w:rsidRPr="004F28BB">
        <w:rPr>
          <w:rFonts w:ascii="Tahoma" w:hAnsi="Tahoma"/>
        </w:rPr>
        <w:t>ppendix No. 1 to this Specification (hereinafter referred to as the List of parameters)</w:t>
      </w:r>
      <w:r w:rsidR="00D627D0">
        <w:rPr>
          <w:rFonts w:ascii="Tahoma" w:hAnsi="Tahoma"/>
        </w:rPr>
        <w:t>,</w:t>
      </w:r>
      <w:r w:rsidR="00D627D0" w:rsidRPr="00D627D0">
        <w:rPr>
          <w:rFonts w:ascii="Tahoma" w:hAnsi="Tahoma"/>
          <w:lang w:val="en-US"/>
        </w:rPr>
        <w:t xml:space="preserve"> </w:t>
      </w:r>
      <w:r>
        <w:rPr>
          <w:rFonts w:ascii="Tahoma" w:hAnsi="Tahoma"/>
        </w:rPr>
        <w:t>which contains:</w:t>
      </w:r>
    </w:p>
    <w:p w14:paraId="6D8282DA" w14:textId="77777777" w:rsidR="00EF20DE" w:rsidRPr="008B224C" w:rsidRDefault="00EF20DE" w:rsidP="00EF20DE">
      <w:pPr>
        <w:pStyle w:val="aa"/>
        <w:numPr>
          <w:ilvl w:val="0"/>
          <w:numId w:val="3"/>
        </w:numPr>
        <w:tabs>
          <w:tab w:val="clear" w:pos="9000"/>
          <w:tab w:val="left" w:pos="709"/>
        </w:tabs>
        <w:spacing w:after="0"/>
        <w:ind w:left="714" w:right="57" w:hanging="357"/>
        <w:rPr>
          <w:rFonts w:ascii="Tahoma" w:hAnsi="Tahoma" w:cs="Tahoma"/>
        </w:rPr>
      </w:pPr>
      <w:r>
        <w:rPr>
          <w:rFonts w:ascii="Tahoma" w:hAnsi="Tahoma"/>
        </w:rPr>
        <w:t>Name of the Contract;</w:t>
      </w:r>
    </w:p>
    <w:p w14:paraId="42E2CC72" w14:textId="77777777" w:rsidR="00EF20DE" w:rsidRPr="008B224C" w:rsidRDefault="00EF20DE" w:rsidP="00EF20DE">
      <w:pPr>
        <w:pStyle w:val="aa"/>
        <w:numPr>
          <w:ilvl w:val="0"/>
          <w:numId w:val="3"/>
        </w:numPr>
        <w:tabs>
          <w:tab w:val="clear" w:pos="9000"/>
          <w:tab w:val="left" w:pos="709"/>
        </w:tabs>
        <w:spacing w:after="0"/>
        <w:ind w:left="714" w:right="57" w:hanging="357"/>
        <w:rPr>
          <w:rFonts w:ascii="Tahoma" w:hAnsi="Tahoma" w:cs="Tahoma"/>
        </w:rPr>
      </w:pPr>
      <w:r>
        <w:rPr>
          <w:rFonts w:ascii="Tahoma" w:hAnsi="Tahoma"/>
        </w:rPr>
        <w:t>Code of the underlying asset;</w:t>
      </w:r>
    </w:p>
    <w:p w14:paraId="11CA16F2" w14:textId="3D42196D" w:rsidR="00EF20DE" w:rsidRPr="00D627D0" w:rsidRDefault="00415D2C" w:rsidP="00EF20DE">
      <w:pPr>
        <w:pStyle w:val="aa"/>
        <w:numPr>
          <w:ilvl w:val="0"/>
          <w:numId w:val="3"/>
        </w:numPr>
        <w:tabs>
          <w:tab w:val="clear" w:pos="9000"/>
          <w:tab w:val="left" w:pos="709"/>
        </w:tabs>
        <w:spacing w:after="0"/>
        <w:ind w:left="714" w:right="57" w:hanging="357"/>
        <w:rPr>
          <w:rFonts w:ascii="Tahoma" w:hAnsi="Tahoma" w:cs="Tahoma"/>
        </w:rPr>
      </w:pPr>
      <w:r>
        <w:rPr>
          <w:rFonts w:ascii="Tahoma" w:hAnsi="Tahoma"/>
        </w:rPr>
        <w:t>Underlying asset of the Contract;</w:t>
      </w:r>
    </w:p>
    <w:p w14:paraId="2BD6371A" w14:textId="73B3CC53" w:rsidR="00D627D0" w:rsidRPr="00AD40C5" w:rsidRDefault="00D627D0" w:rsidP="00EF20DE">
      <w:pPr>
        <w:pStyle w:val="aa"/>
        <w:numPr>
          <w:ilvl w:val="0"/>
          <w:numId w:val="3"/>
        </w:numPr>
        <w:tabs>
          <w:tab w:val="clear" w:pos="9000"/>
          <w:tab w:val="left" w:pos="709"/>
        </w:tabs>
        <w:spacing w:after="0"/>
        <w:ind w:left="714" w:right="57" w:hanging="357"/>
        <w:rPr>
          <w:rFonts w:ascii="Tahoma" w:hAnsi="Tahoma" w:cs="Tahoma"/>
        </w:rPr>
      </w:pPr>
      <w:r w:rsidRPr="00D627D0">
        <w:rPr>
          <w:rFonts w:ascii="Tahoma" w:hAnsi="Tahoma" w:cs="Tahoma"/>
        </w:rPr>
        <w:t>quoted currency</w:t>
      </w:r>
      <w:r>
        <w:rPr>
          <w:rFonts w:ascii="Tahoma" w:hAnsi="Tahoma" w:cs="Tahoma"/>
          <w:lang w:val="ru-RU"/>
        </w:rPr>
        <w:t>;</w:t>
      </w:r>
    </w:p>
    <w:p w14:paraId="10DEFA1D" w14:textId="77777777" w:rsidR="00EF20DE" w:rsidRPr="00AD40C5" w:rsidRDefault="00EF20DE" w:rsidP="00EF20DE">
      <w:pPr>
        <w:pStyle w:val="aa"/>
        <w:numPr>
          <w:ilvl w:val="0"/>
          <w:numId w:val="3"/>
        </w:numPr>
        <w:tabs>
          <w:tab w:val="clear" w:pos="9000"/>
          <w:tab w:val="left" w:pos="709"/>
        </w:tabs>
        <w:spacing w:after="0"/>
        <w:ind w:left="714" w:right="57" w:hanging="357"/>
        <w:rPr>
          <w:rFonts w:ascii="Tahoma" w:hAnsi="Tahoma" w:cs="Tahoma"/>
        </w:rPr>
      </w:pPr>
      <w:r>
        <w:rPr>
          <w:rFonts w:ascii="Tahoma" w:hAnsi="Tahoma"/>
        </w:rPr>
        <w:t>Contract lot;</w:t>
      </w:r>
    </w:p>
    <w:p w14:paraId="552DE6DA" w14:textId="77777777" w:rsidR="00EF20DE" w:rsidRPr="00AD40C5" w:rsidRDefault="00EF20DE" w:rsidP="00EF20DE">
      <w:pPr>
        <w:numPr>
          <w:ilvl w:val="0"/>
          <w:numId w:val="3"/>
        </w:numPr>
        <w:autoSpaceDE w:val="0"/>
        <w:autoSpaceDN w:val="0"/>
        <w:rPr>
          <w:rFonts w:ascii="Tahoma" w:hAnsi="Tahoma" w:cs="Tahoma"/>
          <w:sz w:val="20"/>
          <w:szCs w:val="20"/>
        </w:rPr>
      </w:pPr>
      <w:r>
        <w:rPr>
          <w:rFonts w:ascii="Tahoma" w:hAnsi="Tahoma"/>
          <w:sz w:val="20"/>
        </w:rPr>
        <w:t>Minimum price movement for the Contract in the course of trading on MOEX (the "price tick");</w:t>
      </w:r>
    </w:p>
    <w:p w14:paraId="5CFE1B80" w14:textId="77777777" w:rsidR="00EF20DE" w:rsidRPr="00591F3F" w:rsidRDefault="00EF20DE" w:rsidP="00EF20DE">
      <w:pPr>
        <w:pStyle w:val="aa"/>
        <w:numPr>
          <w:ilvl w:val="0"/>
          <w:numId w:val="3"/>
        </w:numPr>
        <w:tabs>
          <w:tab w:val="clear" w:pos="9000"/>
          <w:tab w:val="left" w:pos="709"/>
        </w:tabs>
        <w:spacing w:after="0"/>
        <w:ind w:left="714" w:right="57" w:hanging="357"/>
        <w:rPr>
          <w:rFonts w:ascii="Tahoma" w:hAnsi="Tahoma" w:cs="Tahoma"/>
        </w:rPr>
      </w:pPr>
      <w:r>
        <w:rPr>
          <w:rFonts w:ascii="Tahoma" w:hAnsi="Tahoma"/>
        </w:rPr>
        <w:t>Tick value;</w:t>
      </w:r>
    </w:p>
    <w:p w14:paraId="1B71E355" w14:textId="51ADA2D8" w:rsidR="00730E72" w:rsidRPr="00AD40C5" w:rsidRDefault="00757E98" w:rsidP="00EF20DE">
      <w:pPr>
        <w:pStyle w:val="aa"/>
        <w:numPr>
          <w:ilvl w:val="0"/>
          <w:numId w:val="3"/>
        </w:numPr>
        <w:tabs>
          <w:tab w:val="clear" w:pos="9000"/>
          <w:tab w:val="left" w:pos="709"/>
        </w:tabs>
        <w:spacing w:after="0"/>
        <w:ind w:left="714" w:right="57" w:hanging="357"/>
        <w:rPr>
          <w:rFonts w:ascii="Tahoma" w:hAnsi="Tahoma" w:cs="Tahoma"/>
        </w:rPr>
      </w:pPr>
      <w:r>
        <w:rPr>
          <w:rFonts w:ascii="Tahoma" w:hAnsi="Tahoma"/>
        </w:rPr>
        <w:t>S</w:t>
      </w:r>
      <w:r w:rsidR="00730E72">
        <w:rPr>
          <w:rFonts w:ascii="Tahoma" w:hAnsi="Tahoma"/>
        </w:rPr>
        <w:t xml:space="preserve">ource of information on the </w:t>
      </w:r>
      <w:r>
        <w:rPr>
          <w:rFonts w:ascii="Tahoma" w:hAnsi="Tahoma"/>
        </w:rPr>
        <w:t>E</w:t>
      </w:r>
      <w:r w:rsidR="00730E72">
        <w:rPr>
          <w:rFonts w:ascii="Tahoma" w:hAnsi="Tahoma"/>
        </w:rPr>
        <w:t>uro to foreign currency exchange rate (the “Information Source”)</w:t>
      </w:r>
      <w:r w:rsidR="004D07D5" w:rsidRPr="00AD40C5">
        <w:rPr>
          <w:rStyle w:val="af1"/>
          <w:rFonts w:ascii="Tahoma" w:hAnsi="Tahoma" w:cs="Tahoma"/>
          <w:lang w:val="ru-RU"/>
        </w:rPr>
        <w:footnoteReference w:id="1"/>
      </w:r>
      <w:r w:rsidR="00730E72">
        <w:rPr>
          <w:rFonts w:ascii="Tahoma" w:hAnsi="Tahoma"/>
        </w:rPr>
        <w:t>;</w:t>
      </w:r>
    </w:p>
    <w:p w14:paraId="7B2AE195" w14:textId="64B2451B" w:rsidR="003A0A9A" w:rsidRPr="00FB2334" w:rsidRDefault="00757E98" w:rsidP="00EF20DE">
      <w:pPr>
        <w:pStyle w:val="aa"/>
        <w:numPr>
          <w:ilvl w:val="0"/>
          <w:numId w:val="3"/>
        </w:numPr>
        <w:tabs>
          <w:tab w:val="clear" w:pos="9000"/>
          <w:tab w:val="left" w:pos="709"/>
        </w:tabs>
        <w:spacing w:after="0"/>
        <w:ind w:left="714" w:right="57" w:hanging="357"/>
        <w:rPr>
          <w:rFonts w:ascii="Tahoma" w:hAnsi="Tahoma" w:cs="Tahoma"/>
        </w:rPr>
      </w:pPr>
      <w:r>
        <w:rPr>
          <w:rFonts w:ascii="Tahoma" w:hAnsi="Tahoma"/>
        </w:rPr>
        <w:t>T</w:t>
      </w:r>
      <w:r w:rsidR="003A0A9A">
        <w:rPr>
          <w:rFonts w:ascii="Tahoma" w:hAnsi="Tahoma"/>
        </w:rPr>
        <w:t>he time of publication of the exchange rate of the euro against the foreign currency.</w:t>
      </w:r>
    </w:p>
    <w:p w14:paraId="371D09B0" w14:textId="53B29100" w:rsidR="00EF20DE" w:rsidRPr="00C15CEE" w:rsidRDefault="00415D2C" w:rsidP="00A666A4">
      <w:pPr>
        <w:pStyle w:val="a0"/>
        <w:numPr>
          <w:ilvl w:val="0"/>
          <w:numId w:val="0"/>
        </w:numPr>
        <w:tabs>
          <w:tab w:val="num" w:pos="709"/>
          <w:tab w:val="num" w:pos="1440"/>
        </w:tabs>
        <w:spacing w:before="120" w:after="0"/>
        <w:rPr>
          <w:rFonts w:ascii="Tahoma" w:hAnsi="Tahoma" w:cs="Tahoma"/>
        </w:rPr>
      </w:pPr>
      <w:r>
        <w:rPr>
          <w:rFonts w:ascii="Tahoma" w:hAnsi="Tahoma"/>
        </w:rPr>
        <w:t>The underlying asset of the Contracts, the terms and conditions and the parameters of which are defined in this Specification and in the List of Parameters of the cash-settled Euro Currency Pair Futures Contracts, shall be the exchange rate of Euro to the relevant foreign currency (hereinafter the "Quoted Currency").</w:t>
      </w:r>
    </w:p>
    <w:p w14:paraId="700988D0" w14:textId="77777777" w:rsidR="00EF20DE" w:rsidRPr="00366516" w:rsidRDefault="00EF20DE" w:rsidP="00A666A4">
      <w:pPr>
        <w:pStyle w:val="a0"/>
        <w:numPr>
          <w:ilvl w:val="0"/>
          <w:numId w:val="0"/>
        </w:numPr>
        <w:tabs>
          <w:tab w:val="num" w:pos="709"/>
          <w:tab w:val="num" w:pos="1440"/>
        </w:tabs>
        <w:spacing w:before="120" w:after="0"/>
        <w:rPr>
          <w:rFonts w:ascii="Tahoma" w:hAnsi="Tahoma" w:cs="Tahoma"/>
        </w:rPr>
      </w:pPr>
      <w:r>
        <w:rPr>
          <w:rFonts w:ascii="Tahoma" w:hAnsi="Tahoma"/>
        </w:rPr>
        <w:t>Terms and definitions not expressly defined in the Specification shall be understood in accordance with the laws of the Russian Federation, the Trading Rules and the Clearing Rules.</w:t>
      </w:r>
    </w:p>
    <w:p w14:paraId="38D298A3" w14:textId="77777777" w:rsidR="00F32CF7" w:rsidRPr="00ED0909" w:rsidRDefault="00F32CF7" w:rsidP="00F32CF7">
      <w:pPr>
        <w:pStyle w:val="a"/>
        <w:spacing w:before="240" w:after="0"/>
        <w:rPr>
          <w:rFonts w:ascii="Tahoma" w:hAnsi="Tahoma" w:cs="Tahoma"/>
        </w:rPr>
      </w:pPr>
      <w:r>
        <w:rPr>
          <w:rFonts w:ascii="Tahoma" w:hAnsi="Tahoma"/>
        </w:rPr>
        <w:t>Execution of the Contract</w:t>
      </w:r>
    </w:p>
    <w:p w14:paraId="02366F79" w14:textId="77777777" w:rsidR="00F32CF7" w:rsidRPr="00ED0909" w:rsidRDefault="00F32CF7" w:rsidP="004E3E72">
      <w:pPr>
        <w:pStyle w:val="a0"/>
        <w:spacing w:before="120" w:after="0"/>
        <w:rPr>
          <w:rFonts w:ascii="Tahoma" w:hAnsi="Tahoma" w:cs="Tahoma"/>
        </w:rPr>
      </w:pPr>
      <w:bookmarkStart w:id="0" w:name="_Ref231897687"/>
      <w:r>
        <w:rPr>
          <w:rFonts w:ascii="Tahoma" w:hAnsi="Tahoma"/>
        </w:rPr>
        <w:t>The opportunity to conclude the Contract in the process of trading shall be granted by the Moscow Exchange resolution that shall specify:</w:t>
      </w:r>
      <w:bookmarkEnd w:id="0"/>
    </w:p>
    <w:p w14:paraId="7D5F28A7" w14:textId="77777777" w:rsidR="00F32CF7" w:rsidRPr="00ED0909" w:rsidRDefault="00F32CF7" w:rsidP="00B4788C">
      <w:pPr>
        <w:pStyle w:val="Pointmark"/>
        <w:spacing w:before="120" w:after="0"/>
        <w:ind w:left="1134" w:hanging="283"/>
        <w:rPr>
          <w:rFonts w:ascii="Tahoma" w:hAnsi="Tahoma" w:cs="Tahoma"/>
        </w:rPr>
      </w:pPr>
      <w:r>
        <w:rPr>
          <w:rFonts w:ascii="Tahoma" w:hAnsi="Tahoma"/>
        </w:rPr>
        <w:t>Contract code (designation);</w:t>
      </w:r>
    </w:p>
    <w:p w14:paraId="46A79B9C" w14:textId="77777777" w:rsidR="00862FE2" w:rsidRPr="00ED0909" w:rsidRDefault="00862FE2" w:rsidP="00B4788C">
      <w:pPr>
        <w:pStyle w:val="Pointmark"/>
        <w:spacing w:after="0"/>
        <w:ind w:left="1134" w:hanging="283"/>
        <w:rPr>
          <w:rFonts w:ascii="Tahoma" w:hAnsi="Tahoma" w:cs="Tahoma"/>
        </w:rPr>
      </w:pPr>
      <w:r>
        <w:rPr>
          <w:rFonts w:ascii="Tahoma" w:hAnsi="Tahoma"/>
        </w:rPr>
        <w:t>First trading day during which the Contract may trade (hereinafter the First Trading Day);</w:t>
      </w:r>
    </w:p>
    <w:p w14:paraId="270993B4" w14:textId="77777777" w:rsidR="0039398F" w:rsidRPr="00ED0909" w:rsidRDefault="0039398F" w:rsidP="00B4788C">
      <w:pPr>
        <w:pStyle w:val="Pointmark"/>
        <w:spacing w:after="0"/>
        <w:ind w:left="1134" w:hanging="283"/>
        <w:rPr>
          <w:rFonts w:ascii="Tahoma" w:hAnsi="Tahoma" w:cs="Tahoma"/>
        </w:rPr>
      </w:pPr>
      <w:r>
        <w:rPr>
          <w:rFonts w:ascii="Tahoma" w:hAnsi="Tahoma"/>
        </w:rPr>
        <w:t>The time from which the Contract may be executed (hereinafter the Start of Trading);</w:t>
      </w:r>
    </w:p>
    <w:p w14:paraId="357426AD" w14:textId="77777777" w:rsidR="00B4788C" w:rsidRPr="00751B5F" w:rsidRDefault="00B4788C" w:rsidP="00B4788C">
      <w:pPr>
        <w:pStyle w:val="Pointmark"/>
        <w:ind w:left="1134" w:hanging="283"/>
      </w:pPr>
      <w:r>
        <w:t xml:space="preserve">The last Trading day for the Contract (the “Last Trading Day”). </w:t>
      </w:r>
    </w:p>
    <w:p w14:paraId="484EDEBC" w14:textId="77777777" w:rsidR="005E6BB7" w:rsidRPr="008F1B04" w:rsidRDefault="005E6BB7" w:rsidP="005E6BB7">
      <w:pPr>
        <w:pStyle w:val="a0"/>
        <w:spacing w:before="240"/>
        <w:rPr>
          <w:rFonts w:ascii="Tahoma" w:hAnsi="Tahoma" w:cs="Tahoma"/>
        </w:rPr>
      </w:pPr>
      <w:r>
        <w:rPr>
          <w:rFonts w:ascii="Tahoma" w:hAnsi="Tahoma"/>
        </w:rPr>
        <w:t>The Contract code (designation) is formed as follows:</w:t>
      </w:r>
    </w:p>
    <w:p w14:paraId="14C3B1D5" w14:textId="77777777" w:rsidR="005E6BB7" w:rsidRPr="00B0775B" w:rsidRDefault="005E6BB7" w:rsidP="005E6BB7">
      <w:pPr>
        <w:pStyle w:val="a9"/>
        <w:spacing w:before="120" w:after="0"/>
        <w:ind w:left="851"/>
        <w:rPr>
          <w:rFonts w:ascii="Tahoma" w:hAnsi="Tahoma" w:cs="Tahoma"/>
        </w:rPr>
      </w:pPr>
      <w:r>
        <w:rPr>
          <w:rFonts w:ascii="Tahoma" w:hAnsi="Tahoma"/>
        </w:rPr>
        <w:t>XXXX (underlying asset code) - &lt;expiration settlement month&gt;.&lt;expiration settlement year&gt;.</w:t>
      </w:r>
    </w:p>
    <w:p w14:paraId="328A028F" w14:textId="77777777" w:rsidR="005E6BB7" w:rsidRPr="004E3E72" w:rsidRDefault="005E6BB7" w:rsidP="005E6BB7">
      <w:pPr>
        <w:pStyle w:val="a9"/>
        <w:spacing w:before="120" w:after="0"/>
        <w:ind w:left="851"/>
        <w:rPr>
          <w:rFonts w:ascii="Tahoma" w:hAnsi="Tahoma" w:cs="Tahoma"/>
        </w:rPr>
      </w:pPr>
      <w:r>
        <w:rPr>
          <w:rFonts w:ascii="Tahoma" w:hAnsi="Tahoma"/>
        </w:rPr>
        <w:t>The settlement month and settlement year specified in the Contract's code (designation) (hereinafter, “Contract’s settlement month” and “Contract’s settlement year”, respectively) is stated in Arabic numerals and is used in determining the termination of the last trade date and the final settlement date of the Contract.</w:t>
      </w:r>
    </w:p>
    <w:p w14:paraId="7390FB0B" w14:textId="77777777" w:rsidR="00F32CF7" w:rsidRPr="004E3E72" w:rsidRDefault="00F32CF7" w:rsidP="00012C33">
      <w:pPr>
        <w:pStyle w:val="a0"/>
        <w:spacing w:before="120" w:after="0"/>
        <w:rPr>
          <w:rFonts w:ascii="Tahoma" w:hAnsi="Tahoma" w:cs="Tahoma"/>
        </w:rPr>
      </w:pPr>
      <w:r>
        <w:rPr>
          <w:rFonts w:ascii="Tahoma" w:hAnsi="Tahoma"/>
        </w:rPr>
        <w:lastRenderedPageBreak/>
        <w:t>When orders are submitted and contracts are made the Contract price shall be quoted in foreign currency per 1 (one) Euro.</w:t>
      </w:r>
    </w:p>
    <w:p w14:paraId="1BFBBFB2" w14:textId="225A466A" w:rsidR="00012C33" w:rsidRPr="004E3E72" w:rsidRDefault="00D627D0" w:rsidP="00012C33">
      <w:pPr>
        <w:pStyle w:val="a0"/>
        <w:spacing w:before="120"/>
        <w:rPr>
          <w:rFonts w:ascii="Tahoma" w:hAnsi="Tahoma" w:cs="Tahoma"/>
        </w:rPr>
      </w:pPr>
      <w:r>
        <w:rPr>
          <w:rFonts w:ascii="Tahoma" w:hAnsi="Tahoma"/>
        </w:rPr>
        <w:t xml:space="preserve">The tick value </w:t>
      </w:r>
      <w:r w:rsidRPr="00D627D0">
        <w:rPr>
          <w:rFonts w:ascii="Tahoma" w:hAnsi="Tahoma"/>
        </w:rPr>
        <w:t>is calculated in R</w:t>
      </w:r>
      <w:r>
        <w:rPr>
          <w:rFonts w:ascii="Tahoma" w:hAnsi="Tahoma"/>
          <w:lang w:val="en-US"/>
        </w:rPr>
        <w:t>UB</w:t>
      </w:r>
      <w:r w:rsidRPr="00D627D0">
        <w:rPr>
          <w:rFonts w:ascii="Tahoma" w:hAnsi="Tahoma"/>
        </w:rPr>
        <w:t xml:space="preserve"> using the exchange rate of the quoted currency to the Russian ruble, determined in accordance with the Methodology for calculating indicative exchange rates approved by the Exchange and published on the Exchange's website on the Internet, taking into account the restrictions on fluctuations in the exchange rate of the quoted currency, established by the decision of the Clearing Center and published on the Exchange's website on the Internet Internet (if such a restriction is established).</w:t>
      </w:r>
    </w:p>
    <w:p w14:paraId="694DA6D3" w14:textId="77777777" w:rsidR="00F32CF7" w:rsidRPr="00C15CEE" w:rsidRDefault="000F633F" w:rsidP="009E02CF">
      <w:pPr>
        <w:pStyle w:val="a0"/>
        <w:spacing w:before="120"/>
        <w:rPr>
          <w:rFonts w:ascii="Tahoma" w:hAnsi="Tahoma" w:cs="Tahoma"/>
        </w:rPr>
      </w:pPr>
      <w:bookmarkStart w:id="1" w:name="_Ref249525019"/>
      <w:bookmarkStart w:id="2" w:name="_Ref231714566"/>
      <w:r>
        <w:rPr>
          <w:rFonts w:ascii="Tahoma" w:hAnsi="Tahoma"/>
        </w:rPr>
        <w:t>The Last Trading Day for the Contract is the 3rd (third) Thursday of the settlement month and settlement year of the Contract unless otherwise specified in the List of Parameters of the Cash-Settled Euro Currency Pair Futures Contracts or, where such 3 (third) Thursday is a non-trading day, the last trading day for the Contract is the trading day immediately preceding the 3rd (third) Thursday of the settlement month and settlement year of the Contract.</w:t>
      </w:r>
      <w:bookmarkEnd w:id="1"/>
      <w:r>
        <w:rPr>
          <w:rFonts w:ascii="Tahoma" w:hAnsi="Tahoma"/>
        </w:rPr>
        <w:t xml:space="preserve"> </w:t>
      </w:r>
      <w:bookmarkEnd w:id="2"/>
    </w:p>
    <w:p w14:paraId="6305ECA1" w14:textId="77777777" w:rsidR="000F633F" w:rsidRPr="006D7F01" w:rsidRDefault="000F633F" w:rsidP="00012C33">
      <w:pPr>
        <w:pStyle w:val="a0"/>
        <w:numPr>
          <w:ilvl w:val="0"/>
          <w:numId w:val="0"/>
        </w:numPr>
        <w:spacing w:before="120" w:after="0"/>
        <w:ind w:left="851"/>
        <w:rPr>
          <w:rFonts w:ascii="Tahoma" w:hAnsi="Tahoma" w:cs="Tahoma"/>
        </w:rPr>
      </w:pPr>
      <w:r>
        <w:rPr>
          <w:rFonts w:ascii="Tahoma" w:hAnsi="Tahoma"/>
        </w:rPr>
        <w:t>The Exchange shall be entitled, upon agreement with the Clearing Centre, to set another date for the Last Trading Day for the Contract, different from the date determined in accordance with this clause.</w:t>
      </w:r>
    </w:p>
    <w:p w14:paraId="7553BF9E" w14:textId="77777777" w:rsidR="000F633F" w:rsidRPr="006237FF" w:rsidRDefault="000F633F" w:rsidP="00012C33">
      <w:pPr>
        <w:pStyle w:val="a0"/>
        <w:spacing w:before="120"/>
        <w:rPr>
          <w:rFonts w:ascii="Tahoma" w:hAnsi="Tahoma" w:cs="Tahoma"/>
        </w:rPr>
      </w:pPr>
      <w:r>
        <w:rPr>
          <w:rFonts w:ascii="Tahoma" w:hAnsi="Tahoma"/>
        </w:rPr>
        <w:t>The settlement day for the Contract is its Last Trading Day, except to the extent mentioned in sections 5.1 and 5.2 below.</w:t>
      </w:r>
    </w:p>
    <w:p w14:paraId="28EAF627" w14:textId="77777777" w:rsidR="00F32CF7" w:rsidRPr="006237FF" w:rsidRDefault="00F32CF7" w:rsidP="00F32CF7">
      <w:pPr>
        <w:pStyle w:val="a"/>
        <w:spacing w:before="240" w:after="0"/>
        <w:rPr>
          <w:rFonts w:ascii="Tahoma" w:hAnsi="Tahoma" w:cs="Tahoma"/>
        </w:rPr>
      </w:pPr>
      <w:r>
        <w:rPr>
          <w:rFonts w:ascii="Tahoma" w:hAnsi="Tahoma"/>
        </w:rPr>
        <w:t>Obligations under the Contract</w:t>
      </w:r>
    </w:p>
    <w:p w14:paraId="58F2036B" w14:textId="77777777" w:rsidR="00CA542B" w:rsidRPr="006237FF" w:rsidRDefault="00CA542B" w:rsidP="009E02CF">
      <w:pPr>
        <w:pStyle w:val="a0"/>
        <w:spacing w:before="120" w:after="0"/>
        <w:rPr>
          <w:rFonts w:ascii="Tahoma" w:hAnsi="Tahoma" w:cs="Tahoma"/>
        </w:rPr>
      </w:pPr>
      <w:r>
        <w:rPr>
          <w:rFonts w:ascii="Tahoma" w:hAnsi="Tahoma"/>
        </w:rPr>
        <w:t>Variation Margin obligation.</w:t>
      </w:r>
    </w:p>
    <w:p w14:paraId="577A0420" w14:textId="77777777" w:rsidR="001E63B0" w:rsidRPr="006237FF" w:rsidRDefault="001E63B0" w:rsidP="009E02CF">
      <w:pPr>
        <w:pStyle w:val="1"/>
        <w:spacing w:before="120"/>
        <w:rPr>
          <w:rFonts w:ascii="Tahoma" w:hAnsi="Tahoma" w:cs="Tahoma"/>
        </w:rPr>
      </w:pPr>
      <w:r>
        <w:rPr>
          <w:rFonts w:ascii="Tahoma" w:hAnsi="Tahoma"/>
        </w:rPr>
        <w:t xml:space="preserve">The Parties to the Contract must pay each other variation margin in the form of cash, in the amount depending on the changes in the value of the underlying asset. </w:t>
      </w:r>
    </w:p>
    <w:p w14:paraId="7EFD1ACF" w14:textId="77777777" w:rsidR="001E63B0" w:rsidRPr="006237FF" w:rsidRDefault="001E63B0" w:rsidP="008506A8">
      <w:pPr>
        <w:pStyle w:val="1"/>
        <w:spacing w:before="120"/>
        <w:rPr>
          <w:rFonts w:ascii="Tahoma" w:hAnsi="Tahoma" w:cs="Tahoma"/>
        </w:rPr>
      </w:pPr>
      <w:r>
        <w:rPr>
          <w:rFonts w:ascii="Tahoma" w:hAnsi="Tahoma"/>
        </w:rPr>
        <w:t xml:space="preserve">Variation margin will be calculated and must be paid during the life of the Contract. </w:t>
      </w:r>
    </w:p>
    <w:p w14:paraId="4EFA7993" w14:textId="77777777" w:rsidR="001E63B0" w:rsidRPr="006237FF" w:rsidRDefault="001E63B0" w:rsidP="008506A8">
      <w:pPr>
        <w:pStyle w:val="1"/>
        <w:spacing w:before="120"/>
        <w:rPr>
          <w:rFonts w:ascii="Tahoma" w:hAnsi="Tahoma" w:cs="Tahoma"/>
        </w:rPr>
      </w:pPr>
      <w:bookmarkStart w:id="3" w:name="_Ref156961941"/>
      <w:r>
        <w:rPr>
          <w:rFonts w:ascii="Tahoma" w:hAnsi="Tahoma"/>
        </w:rPr>
        <w:t>Variation margin for the Contract is calculated according to the following formulas:</w:t>
      </w:r>
      <w:bookmarkEnd w:id="3"/>
    </w:p>
    <w:p w14:paraId="7A16D856" w14:textId="77777777" w:rsidR="001E63B0" w:rsidRPr="006237FF" w:rsidRDefault="001E63B0" w:rsidP="008506A8">
      <w:pPr>
        <w:pStyle w:val="1"/>
        <w:numPr>
          <w:ilvl w:val="3"/>
          <w:numId w:val="1"/>
        </w:numPr>
        <w:tabs>
          <w:tab w:val="clear" w:pos="3240"/>
          <w:tab w:val="num" w:pos="2127"/>
        </w:tabs>
        <w:spacing w:before="120" w:after="0"/>
        <w:ind w:left="2127" w:hanging="709"/>
        <w:rPr>
          <w:rFonts w:ascii="Tahoma" w:hAnsi="Tahoma" w:cs="Tahoma"/>
        </w:rPr>
      </w:pPr>
      <w:bookmarkStart w:id="4" w:name="_Ref249432111"/>
      <w:r>
        <w:rPr>
          <w:rFonts w:ascii="Tahoma" w:hAnsi="Tahoma"/>
        </w:rPr>
        <w:t>During the intraday clearing session:</w:t>
      </w:r>
      <w:bookmarkEnd w:id="4"/>
    </w:p>
    <w:p w14:paraId="59765693" w14:textId="77777777" w:rsidR="001E63B0" w:rsidRPr="006237FF" w:rsidRDefault="001E63B0" w:rsidP="008506A8">
      <w:pPr>
        <w:pStyle w:val="a9"/>
        <w:numPr>
          <w:ilvl w:val="0"/>
          <w:numId w:val="4"/>
        </w:numPr>
        <w:tabs>
          <w:tab w:val="clear" w:pos="9000"/>
          <w:tab w:val="left" w:pos="1843"/>
        </w:tabs>
        <w:spacing w:before="120" w:after="0"/>
        <w:ind w:left="1843" w:hanging="436"/>
        <w:rPr>
          <w:rFonts w:ascii="Tahoma" w:hAnsi="Tahoma" w:cs="Tahoma"/>
        </w:rPr>
      </w:pPr>
      <w:r>
        <w:rPr>
          <w:rFonts w:ascii="Tahoma" w:hAnsi="Tahoma"/>
        </w:rPr>
        <w:t>If the variation margin has not been calculated before:</w:t>
      </w:r>
    </w:p>
    <w:p w14:paraId="2BE41EA5" w14:textId="77777777" w:rsidR="001E63B0" w:rsidRPr="00591F3F" w:rsidRDefault="001E63B0" w:rsidP="00CA542B">
      <w:pPr>
        <w:pStyle w:val="a9"/>
        <w:spacing w:before="120" w:after="0"/>
        <w:ind w:left="1843"/>
        <w:rPr>
          <w:rFonts w:ascii="Tahoma" w:hAnsi="Tahoma" w:cs="Tahoma"/>
          <w:b/>
        </w:rPr>
      </w:pPr>
      <w:r>
        <w:rPr>
          <w:rFonts w:ascii="Tahoma" w:hAnsi="Tahoma"/>
          <w:b/>
        </w:rPr>
        <w:t>VM</w:t>
      </w:r>
      <w:r>
        <w:rPr>
          <w:rFonts w:ascii="Tahoma" w:hAnsi="Tahoma"/>
          <w:b/>
          <w:vertAlign w:val="subscript"/>
        </w:rPr>
        <w:t>1</w:t>
      </w:r>
      <w:r>
        <w:rPr>
          <w:rFonts w:ascii="Tahoma" w:hAnsi="Tahoma"/>
          <w:b/>
        </w:rPr>
        <w:t xml:space="preserve"> = Round (SP</w:t>
      </w:r>
      <w:r>
        <w:rPr>
          <w:rFonts w:ascii="Tahoma" w:hAnsi="Tahoma"/>
          <w:b/>
          <w:vertAlign w:val="subscript"/>
        </w:rPr>
        <w:t>1</w:t>
      </w:r>
      <w:r>
        <w:rPr>
          <w:rFonts w:ascii="Tahoma" w:hAnsi="Tahoma"/>
          <w:b/>
        </w:rPr>
        <w:t>*Round (W</w:t>
      </w:r>
      <w:r>
        <w:rPr>
          <w:rFonts w:ascii="Tahoma" w:hAnsi="Tahoma"/>
          <w:b/>
          <w:vertAlign w:val="subscript"/>
        </w:rPr>
        <w:t>1</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1</w:t>
      </w:r>
      <w:r>
        <w:rPr>
          <w:rFonts w:ascii="Tahoma" w:hAnsi="Tahoma"/>
          <w:b/>
        </w:rPr>
        <w:t xml:space="preserve">/R; 5); 2)   </w:t>
      </w:r>
    </w:p>
    <w:p w14:paraId="6978603A" w14:textId="77777777" w:rsidR="001E63B0" w:rsidRPr="00FB2334" w:rsidRDefault="001E63B0" w:rsidP="008506A8">
      <w:pPr>
        <w:pStyle w:val="a9"/>
        <w:spacing w:before="120" w:after="0"/>
        <w:ind w:left="1843"/>
        <w:rPr>
          <w:rFonts w:ascii="Tahoma" w:hAnsi="Tahoma" w:cs="Tahoma"/>
        </w:rPr>
      </w:pPr>
      <w:r>
        <w:rPr>
          <w:rFonts w:ascii="Tahoma" w:hAnsi="Tahoma"/>
        </w:rPr>
        <w:t>where:</w:t>
      </w:r>
    </w:p>
    <w:p w14:paraId="4A108B6E" w14:textId="77777777" w:rsidR="001E63B0" w:rsidRPr="00366516" w:rsidRDefault="001E63B0" w:rsidP="008506A8">
      <w:pPr>
        <w:pStyle w:val="a9"/>
        <w:spacing w:after="0"/>
        <w:ind w:left="1843"/>
        <w:rPr>
          <w:rFonts w:ascii="Tahoma" w:hAnsi="Tahoma" w:cs="Tahoma"/>
        </w:rPr>
      </w:pPr>
      <w:r>
        <w:rPr>
          <w:rFonts w:ascii="Tahoma" w:hAnsi="Tahoma"/>
        </w:rPr>
        <w:t>VМ1 – variation margin for the current trading day’s intraday settlement period, calculated during the intraday clearing session,</w:t>
      </w:r>
    </w:p>
    <w:p w14:paraId="77C1C630" w14:textId="77777777" w:rsidR="001E63B0" w:rsidRPr="00EC71AD" w:rsidRDefault="001E63B0" w:rsidP="008506A8">
      <w:pPr>
        <w:pStyle w:val="a9"/>
        <w:spacing w:after="0"/>
        <w:ind w:left="1843"/>
        <w:rPr>
          <w:rFonts w:ascii="Tahoma" w:hAnsi="Tahoma" w:cs="Tahoma"/>
        </w:rPr>
      </w:pPr>
      <w:r>
        <w:rPr>
          <w:rFonts w:ascii="Tahoma" w:hAnsi="Tahoma"/>
        </w:rPr>
        <w:t>Round – mathematical rounding to the specified precision,</w:t>
      </w:r>
    </w:p>
    <w:p w14:paraId="5FDD075D" w14:textId="77777777" w:rsidR="001E63B0" w:rsidRPr="00ED0909" w:rsidRDefault="001E63B0" w:rsidP="008506A8">
      <w:pPr>
        <w:pStyle w:val="a9"/>
        <w:spacing w:after="0"/>
        <w:ind w:left="1843"/>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3D70523A" w14:textId="77777777" w:rsidR="001E63B0" w:rsidRPr="00ED0909" w:rsidRDefault="001E63B0" w:rsidP="008506A8">
      <w:pPr>
        <w:pStyle w:val="a9"/>
        <w:spacing w:after="0"/>
        <w:ind w:left="1843"/>
        <w:rPr>
          <w:rFonts w:ascii="Tahoma" w:hAnsi="Tahoma" w:cs="Tahoma"/>
        </w:rPr>
      </w:pPr>
      <w:r>
        <w:rPr>
          <w:rFonts w:ascii="Tahoma" w:hAnsi="Tahoma"/>
        </w:rPr>
        <w:t>SP</w:t>
      </w:r>
      <w:r>
        <w:rPr>
          <w:rFonts w:ascii="Tahoma" w:hAnsi="Tahoma"/>
          <w:vertAlign w:val="subscript"/>
        </w:rPr>
        <w:t>1</w:t>
      </w:r>
      <w:r>
        <w:rPr>
          <w:rFonts w:ascii="Tahoma" w:hAnsi="Tahoma"/>
        </w:rPr>
        <w:t xml:space="preserve"> – daily (last) settlement price of the Contract,</w:t>
      </w:r>
    </w:p>
    <w:p w14:paraId="190F53F0" w14:textId="77777777" w:rsidR="001E63B0" w:rsidRPr="00ED0909" w:rsidRDefault="001E63B0" w:rsidP="008506A8">
      <w:pPr>
        <w:pStyle w:val="a9"/>
        <w:spacing w:after="0"/>
        <w:ind w:left="1843"/>
        <w:rPr>
          <w:rFonts w:ascii="Tahoma" w:hAnsi="Tahoma" w:cs="Tahoma"/>
        </w:rPr>
      </w:pPr>
      <w:r>
        <w:rPr>
          <w:rFonts w:ascii="Tahoma" w:hAnsi="Tahoma"/>
        </w:rPr>
        <w:t>W</w:t>
      </w:r>
      <w:r>
        <w:rPr>
          <w:rFonts w:ascii="Tahoma" w:hAnsi="Tahoma"/>
          <w:vertAlign w:val="subscript"/>
        </w:rPr>
        <w:t>1</w:t>
      </w:r>
      <w:r>
        <w:rPr>
          <w:rFonts w:ascii="Tahoma" w:hAnsi="Tahoma"/>
        </w:rPr>
        <w:t xml:space="preserve"> – tick value,</w:t>
      </w:r>
    </w:p>
    <w:p w14:paraId="7C13E1FF" w14:textId="77777777" w:rsidR="001E63B0" w:rsidRPr="00770948" w:rsidRDefault="001E63B0" w:rsidP="008506A8">
      <w:pPr>
        <w:pStyle w:val="1"/>
        <w:numPr>
          <w:ilvl w:val="0"/>
          <w:numId w:val="0"/>
        </w:numPr>
        <w:spacing w:after="0"/>
        <w:ind w:left="1843"/>
        <w:rPr>
          <w:rFonts w:ascii="Tahoma" w:hAnsi="Tahoma" w:cs="Tahoma"/>
        </w:rPr>
      </w:pPr>
      <w:r>
        <w:rPr>
          <w:rFonts w:ascii="Tahoma" w:hAnsi="Tahoma"/>
        </w:rPr>
        <w:t>R - the tick.</w:t>
      </w:r>
    </w:p>
    <w:p w14:paraId="21D1DC3D" w14:textId="77777777" w:rsidR="001E63B0" w:rsidRPr="00534C22" w:rsidRDefault="001E63B0" w:rsidP="008506A8">
      <w:pPr>
        <w:pStyle w:val="a9"/>
        <w:numPr>
          <w:ilvl w:val="0"/>
          <w:numId w:val="4"/>
        </w:numPr>
        <w:tabs>
          <w:tab w:val="clear" w:pos="9000"/>
          <w:tab w:val="left" w:pos="1843"/>
        </w:tabs>
        <w:spacing w:before="120" w:after="0"/>
        <w:ind w:left="1843" w:hanging="436"/>
        <w:rPr>
          <w:rFonts w:ascii="Tahoma" w:hAnsi="Tahoma" w:cs="Tahoma"/>
        </w:rPr>
      </w:pPr>
      <w:r>
        <w:rPr>
          <w:rFonts w:ascii="Tahoma" w:hAnsi="Tahoma"/>
        </w:rPr>
        <w:t>If the variation margin has been calculated before:</w:t>
      </w:r>
    </w:p>
    <w:p w14:paraId="0AFAD985" w14:textId="77777777" w:rsidR="001E63B0" w:rsidRPr="00C15CEE" w:rsidRDefault="001E63B0" w:rsidP="00BB1575">
      <w:pPr>
        <w:pStyle w:val="a9"/>
        <w:spacing w:before="120" w:after="0"/>
        <w:ind w:left="1843"/>
        <w:rPr>
          <w:rFonts w:ascii="Tahoma" w:hAnsi="Tahoma" w:cs="Tahoma"/>
        </w:rPr>
      </w:pPr>
      <w:r>
        <w:rPr>
          <w:rFonts w:ascii="Tahoma" w:hAnsi="Tahoma"/>
          <w:b/>
        </w:rPr>
        <w:t>VM</w:t>
      </w:r>
      <w:r>
        <w:rPr>
          <w:rFonts w:ascii="Tahoma" w:hAnsi="Tahoma"/>
          <w:b/>
          <w:vertAlign w:val="subscript"/>
        </w:rPr>
        <w:t>1</w:t>
      </w:r>
      <w:r>
        <w:rPr>
          <w:rFonts w:ascii="Tahoma" w:hAnsi="Tahoma"/>
          <w:b/>
        </w:rPr>
        <w:t xml:space="preserve"> = Round (SP</w:t>
      </w:r>
      <w:r>
        <w:rPr>
          <w:rFonts w:ascii="Tahoma" w:hAnsi="Tahoma"/>
          <w:b/>
          <w:vertAlign w:val="subscript"/>
        </w:rPr>
        <w:t>1</w:t>
      </w:r>
      <w:r>
        <w:rPr>
          <w:rFonts w:ascii="Tahoma" w:hAnsi="Tahoma"/>
          <w:b/>
        </w:rPr>
        <w:t>*Round (W</w:t>
      </w:r>
      <w:r>
        <w:rPr>
          <w:rFonts w:ascii="Tahoma" w:hAnsi="Tahoma"/>
          <w:b/>
          <w:vertAlign w:val="subscript"/>
        </w:rPr>
        <w:t>1</w:t>
      </w:r>
      <w:r>
        <w:rPr>
          <w:rFonts w:ascii="Tahoma" w:hAnsi="Tahoma"/>
          <w:b/>
        </w:rPr>
        <w:t>/R;5);2) – Round (SPп*Round (W</w:t>
      </w:r>
      <w:r>
        <w:rPr>
          <w:rFonts w:ascii="Tahoma" w:hAnsi="Tahoma"/>
          <w:b/>
          <w:vertAlign w:val="subscript"/>
        </w:rPr>
        <w:t>1</w:t>
      </w:r>
      <w:r>
        <w:rPr>
          <w:rFonts w:ascii="Tahoma" w:hAnsi="Tahoma"/>
          <w:b/>
        </w:rPr>
        <w:t xml:space="preserve">/R;5);2) </w:t>
      </w:r>
      <w:r>
        <w:rPr>
          <w:rFonts w:ascii="Tahoma" w:hAnsi="Tahoma"/>
        </w:rPr>
        <w:t>where:</w:t>
      </w:r>
    </w:p>
    <w:p w14:paraId="5477701F" w14:textId="77777777" w:rsidR="001E63B0" w:rsidRPr="006D7F01" w:rsidRDefault="001E63B0" w:rsidP="008506A8">
      <w:pPr>
        <w:pStyle w:val="a9"/>
        <w:spacing w:before="120" w:after="0"/>
        <w:ind w:left="1843"/>
        <w:rPr>
          <w:rFonts w:ascii="Tahoma" w:hAnsi="Tahoma" w:cs="Tahoma"/>
        </w:rPr>
      </w:pPr>
      <w:r>
        <w:rPr>
          <w:rFonts w:ascii="Tahoma" w:hAnsi="Tahoma"/>
        </w:rPr>
        <w:t>VМ1 – variation margin for the current trading day’s intraday settlement period, calculated during the intraday clearing session,</w:t>
      </w:r>
    </w:p>
    <w:p w14:paraId="051546EF" w14:textId="77777777" w:rsidR="001E63B0" w:rsidRPr="00540526" w:rsidRDefault="001E63B0" w:rsidP="008506A8">
      <w:pPr>
        <w:pStyle w:val="a9"/>
        <w:spacing w:after="0"/>
        <w:ind w:left="1843"/>
        <w:rPr>
          <w:rFonts w:ascii="Tahoma" w:hAnsi="Tahoma" w:cs="Tahoma"/>
        </w:rPr>
      </w:pPr>
      <w:r>
        <w:rPr>
          <w:rFonts w:ascii="Tahoma" w:hAnsi="Tahoma"/>
        </w:rPr>
        <w:t xml:space="preserve">Round – mathematical rounding to the specified precision, </w:t>
      </w:r>
    </w:p>
    <w:p w14:paraId="1C4EE0FE" w14:textId="77777777" w:rsidR="001E63B0" w:rsidRPr="006237FF" w:rsidRDefault="001E63B0" w:rsidP="008506A8">
      <w:pPr>
        <w:pStyle w:val="a9"/>
        <w:spacing w:after="0"/>
        <w:ind w:left="1843"/>
        <w:rPr>
          <w:rFonts w:ascii="Tahoma" w:hAnsi="Tahoma" w:cs="Tahoma"/>
        </w:rPr>
      </w:pPr>
      <w:r>
        <w:rPr>
          <w:rFonts w:ascii="Tahoma" w:hAnsi="Tahoma"/>
        </w:rPr>
        <w:t>SP</w:t>
      </w:r>
      <w:r>
        <w:rPr>
          <w:rFonts w:ascii="Tahoma" w:hAnsi="Tahoma"/>
          <w:vertAlign w:val="subscript"/>
        </w:rPr>
        <w:t>1</w:t>
      </w:r>
      <w:r>
        <w:rPr>
          <w:rFonts w:ascii="Tahoma" w:hAnsi="Tahoma"/>
        </w:rPr>
        <w:t xml:space="preserve"> – daily (last) settlement price of the Contract,</w:t>
      </w:r>
    </w:p>
    <w:p w14:paraId="191A4385" w14:textId="77777777" w:rsidR="001E63B0" w:rsidRPr="006237FF" w:rsidRDefault="001E63B0" w:rsidP="008506A8">
      <w:pPr>
        <w:pStyle w:val="a9"/>
        <w:spacing w:after="0"/>
        <w:ind w:left="1843"/>
        <w:rPr>
          <w:rFonts w:ascii="Tahoma" w:hAnsi="Tahoma" w:cs="Tahoma"/>
        </w:rPr>
      </w:pPr>
      <w:r>
        <w:rPr>
          <w:rFonts w:ascii="Tahoma" w:hAnsi="Tahoma"/>
        </w:rPr>
        <w:t>SPp – settlement price of the Contract calculated during the previous trading day’s evening clearing session,</w:t>
      </w:r>
    </w:p>
    <w:p w14:paraId="1F9D1797" w14:textId="77777777" w:rsidR="001E63B0" w:rsidRPr="006237FF" w:rsidRDefault="001E63B0" w:rsidP="008506A8">
      <w:pPr>
        <w:pStyle w:val="a9"/>
        <w:spacing w:after="0"/>
        <w:ind w:left="1843"/>
        <w:rPr>
          <w:rFonts w:ascii="Tahoma" w:hAnsi="Tahoma" w:cs="Tahoma"/>
        </w:rPr>
      </w:pPr>
      <w:r>
        <w:rPr>
          <w:rFonts w:ascii="Tahoma" w:hAnsi="Tahoma"/>
        </w:rPr>
        <w:t>W</w:t>
      </w:r>
      <w:r>
        <w:rPr>
          <w:rFonts w:ascii="Tahoma" w:hAnsi="Tahoma"/>
          <w:vertAlign w:val="subscript"/>
        </w:rPr>
        <w:t>1</w:t>
      </w:r>
      <w:r>
        <w:rPr>
          <w:rFonts w:ascii="Tahoma" w:hAnsi="Tahoma"/>
        </w:rPr>
        <w:t xml:space="preserve"> – tick value,</w:t>
      </w:r>
    </w:p>
    <w:p w14:paraId="689EC043" w14:textId="77777777" w:rsidR="001E63B0" w:rsidRPr="006237FF" w:rsidRDefault="001E63B0" w:rsidP="008506A8">
      <w:pPr>
        <w:pStyle w:val="1"/>
        <w:numPr>
          <w:ilvl w:val="0"/>
          <w:numId w:val="0"/>
        </w:numPr>
        <w:spacing w:after="0"/>
        <w:ind w:left="1843"/>
        <w:rPr>
          <w:rFonts w:ascii="Tahoma" w:hAnsi="Tahoma" w:cs="Tahoma"/>
        </w:rPr>
      </w:pPr>
      <w:r>
        <w:rPr>
          <w:rFonts w:ascii="Tahoma" w:hAnsi="Tahoma"/>
        </w:rPr>
        <w:t>R - the tick.</w:t>
      </w:r>
    </w:p>
    <w:p w14:paraId="2D42C453" w14:textId="40089EDD" w:rsidR="00012C33" w:rsidRPr="006237FF" w:rsidRDefault="00012C33" w:rsidP="00012C33">
      <w:pPr>
        <w:pStyle w:val="1"/>
        <w:numPr>
          <w:ilvl w:val="0"/>
          <w:numId w:val="0"/>
        </w:numPr>
        <w:spacing w:before="120" w:after="0"/>
        <w:ind w:left="1418"/>
        <w:rPr>
          <w:rFonts w:ascii="Tahoma" w:hAnsi="Tahoma" w:cs="Tahoma"/>
        </w:rPr>
      </w:pPr>
      <w:r>
        <w:rPr>
          <w:rFonts w:ascii="Tahoma" w:hAnsi="Tahoma"/>
        </w:rPr>
        <w:t xml:space="preserve">In calculation of the variation margin in the intraday clearing session on the current trading day, the tick value is calculated based on </w:t>
      </w:r>
      <w:r w:rsidR="00BF4AA3" w:rsidRPr="00BF4AA3">
        <w:rPr>
          <w:rFonts w:ascii="Tahoma" w:hAnsi="Tahoma"/>
        </w:rPr>
        <w:t>the exchange rate of the quoted currency to the Russian ruble,</w:t>
      </w:r>
      <w:r w:rsidR="00BF4AA3">
        <w:rPr>
          <w:rFonts w:ascii="Tahoma" w:hAnsi="Tahoma"/>
        </w:rPr>
        <w:t xml:space="preserve"> </w:t>
      </w:r>
      <w:r>
        <w:rPr>
          <w:rFonts w:ascii="Tahoma" w:hAnsi="Tahoma"/>
        </w:rPr>
        <w:t>as at the time set by the Exchange and published on its website.</w:t>
      </w:r>
    </w:p>
    <w:p w14:paraId="757272E6" w14:textId="77777777" w:rsidR="001E63B0" w:rsidRPr="006237FF" w:rsidRDefault="001E63B0" w:rsidP="008506A8">
      <w:pPr>
        <w:pStyle w:val="1"/>
        <w:numPr>
          <w:ilvl w:val="3"/>
          <w:numId w:val="1"/>
        </w:numPr>
        <w:tabs>
          <w:tab w:val="clear" w:pos="3240"/>
          <w:tab w:val="num" w:pos="2127"/>
        </w:tabs>
        <w:spacing w:before="120" w:after="0"/>
        <w:ind w:left="2127"/>
        <w:rPr>
          <w:rFonts w:ascii="Tahoma" w:hAnsi="Tahoma" w:cs="Tahoma"/>
        </w:rPr>
      </w:pPr>
      <w:r>
        <w:rPr>
          <w:rFonts w:ascii="Tahoma" w:hAnsi="Tahoma"/>
        </w:rPr>
        <w:lastRenderedPageBreak/>
        <w:t>During the evening clearing session:</w:t>
      </w:r>
    </w:p>
    <w:p w14:paraId="42AEDE16" w14:textId="77777777" w:rsidR="001E63B0" w:rsidRPr="006237FF" w:rsidRDefault="001E63B0" w:rsidP="008506A8">
      <w:pPr>
        <w:pStyle w:val="a9"/>
        <w:numPr>
          <w:ilvl w:val="0"/>
          <w:numId w:val="5"/>
        </w:numPr>
        <w:tabs>
          <w:tab w:val="clear" w:pos="9000"/>
          <w:tab w:val="left" w:pos="1843"/>
        </w:tabs>
        <w:spacing w:before="120" w:after="0"/>
        <w:ind w:left="1843" w:hanging="436"/>
        <w:rPr>
          <w:rFonts w:ascii="Tahoma" w:hAnsi="Tahoma" w:cs="Tahoma"/>
        </w:rPr>
      </w:pPr>
      <w:r>
        <w:rPr>
          <w:rFonts w:ascii="Tahoma" w:hAnsi="Tahoma"/>
        </w:rPr>
        <w:t>If the variation margin has not been calculated before:</w:t>
      </w:r>
    </w:p>
    <w:p w14:paraId="498AC7A3" w14:textId="77777777" w:rsidR="001E63B0" w:rsidRPr="006237FF" w:rsidRDefault="001E63B0" w:rsidP="00BB1575">
      <w:pPr>
        <w:pStyle w:val="a9"/>
        <w:spacing w:before="120" w:after="0"/>
        <w:ind w:left="1843"/>
        <w:rPr>
          <w:rFonts w:ascii="Tahoma" w:hAnsi="Tahoma" w:cs="Tahoma"/>
          <w:b/>
        </w:rPr>
      </w:pPr>
      <w:r>
        <w:rPr>
          <w:rFonts w:ascii="Tahoma" w:hAnsi="Tahoma"/>
          <w:b/>
        </w:rPr>
        <w:t>VM</w:t>
      </w:r>
      <w:r>
        <w:rPr>
          <w:rFonts w:ascii="Tahoma" w:hAnsi="Tahoma"/>
          <w:b/>
          <w:vertAlign w:val="subscript"/>
        </w:rPr>
        <w:t>2</w:t>
      </w:r>
      <w:r>
        <w:rPr>
          <w:rFonts w:ascii="Tahoma" w:hAnsi="Tahoma"/>
          <w:b/>
        </w:rPr>
        <w:t xml:space="preserve">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2</w:t>
      </w:r>
      <w:r>
        <w:rPr>
          <w:rFonts w:ascii="Tahoma" w:hAnsi="Tahoma"/>
          <w:b/>
        </w:rPr>
        <w:t xml:space="preserve">/R; 5); 2) </w:t>
      </w:r>
    </w:p>
    <w:p w14:paraId="6C19834A" w14:textId="77777777" w:rsidR="001E63B0" w:rsidRPr="006237FF" w:rsidRDefault="001E63B0" w:rsidP="008506A8">
      <w:pPr>
        <w:pStyle w:val="a9"/>
        <w:spacing w:before="120" w:after="0"/>
        <w:ind w:left="1843"/>
        <w:rPr>
          <w:rFonts w:ascii="Tahoma" w:hAnsi="Tahoma" w:cs="Tahoma"/>
        </w:rPr>
      </w:pPr>
      <w:r>
        <w:rPr>
          <w:rFonts w:ascii="Tahoma" w:hAnsi="Tahoma"/>
        </w:rPr>
        <w:t>where:</w:t>
      </w:r>
    </w:p>
    <w:p w14:paraId="29CEAE3D" w14:textId="77777777" w:rsidR="001E63B0" w:rsidRPr="006237FF" w:rsidRDefault="001E63B0" w:rsidP="008506A8">
      <w:pPr>
        <w:pStyle w:val="a9"/>
        <w:spacing w:after="0"/>
        <w:ind w:left="1843"/>
        <w:rPr>
          <w:rFonts w:ascii="Tahoma" w:hAnsi="Tahoma" w:cs="Tahoma"/>
        </w:rPr>
      </w:pPr>
      <w:r>
        <w:rPr>
          <w:rFonts w:ascii="Tahoma" w:hAnsi="Tahoma"/>
        </w:rPr>
        <w:t>VМ</w:t>
      </w:r>
      <w:r>
        <w:rPr>
          <w:rFonts w:ascii="Tahoma" w:hAnsi="Tahoma"/>
          <w:vertAlign w:val="subscript"/>
        </w:rPr>
        <w:t>2</w:t>
      </w:r>
      <w:r>
        <w:rPr>
          <w:rFonts w:ascii="Tahoma" w:hAnsi="Tahoma"/>
        </w:rPr>
        <w:t xml:space="preserve"> – variation margin for the Contract as calculated in the evening clearing session for the current trading day’s evening settlement period,</w:t>
      </w:r>
    </w:p>
    <w:p w14:paraId="78FF137A" w14:textId="77777777" w:rsidR="001E63B0" w:rsidRPr="006237FF" w:rsidRDefault="001E63B0" w:rsidP="008506A8">
      <w:pPr>
        <w:pStyle w:val="a9"/>
        <w:spacing w:after="0"/>
        <w:ind w:left="1843"/>
        <w:rPr>
          <w:rFonts w:ascii="Tahoma" w:hAnsi="Tahoma" w:cs="Tahoma"/>
        </w:rPr>
      </w:pPr>
      <w:r>
        <w:rPr>
          <w:rFonts w:ascii="Tahoma" w:hAnsi="Tahoma"/>
        </w:rPr>
        <w:t>Round – mathematical rounding to the specified precision,</w:t>
      </w:r>
    </w:p>
    <w:p w14:paraId="6C9B2DCC" w14:textId="77777777" w:rsidR="001E63B0" w:rsidRPr="006237FF" w:rsidRDefault="001E63B0" w:rsidP="008506A8">
      <w:pPr>
        <w:pStyle w:val="a9"/>
        <w:spacing w:after="0"/>
        <w:ind w:left="1843"/>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1838DC54" w14:textId="77777777" w:rsidR="001E63B0" w:rsidRPr="006237FF" w:rsidRDefault="001E63B0" w:rsidP="008506A8">
      <w:pPr>
        <w:pStyle w:val="a9"/>
        <w:spacing w:after="0"/>
        <w:ind w:left="1843"/>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586947AC" w14:textId="77777777" w:rsidR="001E63B0" w:rsidRPr="006237FF" w:rsidRDefault="001E63B0" w:rsidP="008506A8">
      <w:pPr>
        <w:pStyle w:val="a9"/>
        <w:spacing w:after="0"/>
        <w:ind w:left="1843"/>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59EF846C" w14:textId="77777777" w:rsidR="001E63B0" w:rsidRPr="006237FF" w:rsidRDefault="001E63B0" w:rsidP="008506A8">
      <w:pPr>
        <w:pStyle w:val="a9"/>
        <w:spacing w:after="0"/>
        <w:ind w:left="1843"/>
        <w:rPr>
          <w:rFonts w:ascii="Tahoma" w:hAnsi="Tahoma" w:cs="Tahoma"/>
        </w:rPr>
      </w:pPr>
      <w:r>
        <w:rPr>
          <w:rFonts w:ascii="Tahoma" w:hAnsi="Tahoma"/>
        </w:rPr>
        <w:t>R - the tick.</w:t>
      </w:r>
    </w:p>
    <w:p w14:paraId="54B81580" w14:textId="77777777" w:rsidR="001E63B0" w:rsidRPr="006237FF" w:rsidRDefault="001E63B0" w:rsidP="008506A8">
      <w:pPr>
        <w:pStyle w:val="a9"/>
        <w:numPr>
          <w:ilvl w:val="0"/>
          <w:numId w:val="6"/>
        </w:numPr>
        <w:tabs>
          <w:tab w:val="clear" w:pos="9000"/>
          <w:tab w:val="left" w:pos="1843"/>
        </w:tabs>
        <w:spacing w:before="120" w:after="0"/>
        <w:ind w:left="1843" w:hanging="436"/>
        <w:rPr>
          <w:rFonts w:ascii="Tahoma" w:hAnsi="Tahoma" w:cs="Tahoma"/>
        </w:rPr>
      </w:pPr>
      <w:r>
        <w:rPr>
          <w:rFonts w:ascii="Tahoma" w:hAnsi="Tahoma"/>
        </w:rPr>
        <w:t>If the variation margin for the Contract has been calculated in the intraday clearing session on the current trading day:</w:t>
      </w:r>
    </w:p>
    <w:p w14:paraId="351DA96A" w14:textId="77777777" w:rsidR="001E63B0" w:rsidRPr="006237FF" w:rsidRDefault="001E63B0" w:rsidP="00BB1575">
      <w:pPr>
        <w:pStyle w:val="a9"/>
        <w:spacing w:before="120" w:after="0"/>
        <w:ind w:left="1843"/>
        <w:rPr>
          <w:rFonts w:ascii="Tahoma" w:hAnsi="Tahoma" w:cs="Tahoma"/>
          <w:b/>
        </w:rPr>
      </w:pPr>
      <w:r>
        <w:rPr>
          <w:rFonts w:ascii="Tahoma" w:hAnsi="Tahoma"/>
          <w:b/>
        </w:rPr>
        <w:t>VМ</w:t>
      </w:r>
      <w:r>
        <w:rPr>
          <w:rFonts w:ascii="Tahoma" w:hAnsi="Tahoma"/>
          <w:b/>
          <w:vertAlign w:val="subscript"/>
        </w:rPr>
        <w:t>2</w:t>
      </w:r>
      <w:r>
        <w:rPr>
          <w:rFonts w:ascii="Tahoma" w:hAnsi="Tahoma"/>
          <w:b/>
        </w:rPr>
        <w:t xml:space="preserve"> = VМ – VМ</w:t>
      </w:r>
      <w:r>
        <w:rPr>
          <w:rFonts w:ascii="Tahoma" w:hAnsi="Tahoma"/>
          <w:b/>
          <w:vertAlign w:val="subscript"/>
        </w:rPr>
        <w:t>1</w:t>
      </w:r>
      <w:r>
        <w:rPr>
          <w:rFonts w:ascii="Tahoma" w:hAnsi="Tahoma"/>
          <w:b/>
        </w:rPr>
        <w:t xml:space="preserve">        </w:t>
      </w:r>
    </w:p>
    <w:p w14:paraId="4DF92026" w14:textId="77777777" w:rsidR="001E63B0" w:rsidRPr="006237FF" w:rsidRDefault="001E63B0" w:rsidP="008506A8">
      <w:pPr>
        <w:pStyle w:val="a9"/>
        <w:spacing w:before="120" w:after="0"/>
        <w:ind w:left="1843"/>
        <w:rPr>
          <w:rFonts w:ascii="Tahoma" w:hAnsi="Tahoma" w:cs="Tahoma"/>
        </w:rPr>
      </w:pPr>
      <w:r>
        <w:rPr>
          <w:rFonts w:ascii="Tahoma" w:hAnsi="Tahoma"/>
        </w:rPr>
        <w:t>where:</w:t>
      </w:r>
    </w:p>
    <w:p w14:paraId="69532712" w14:textId="77777777" w:rsidR="001E63B0" w:rsidRPr="006237FF" w:rsidRDefault="001E63B0" w:rsidP="008506A8">
      <w:pPr>
        <w:pStyle w:val="a9"/>
        <w:spacing w:before="120" w:after="0"/>
        <w:ind w:left="1843"/>
        <w:rPr>
          <w:rFonts w:ascii="Tahoma" w:hAnsi="Tahoma" w:cs="Tahoma"/>
        </w:rPr>
      </w:pPr>
      <w:r>
        <w:rPr>
          <w:rFonts w:ascii="Tahoma" w:hAnsi="Tahoma"/>
        </w:rPr>
        <w:t>VМ</w:t>
      </w:r>
      <w:r>
        <w:rPr>
          <w:rFonts w:ascii="Tahoma" w:hAnsi="Tahoma"/>
          <w:vertAlign w:val="subscript"/>
        </w:rPr>
        <w:t>2</w:t>
      </w:r>
      <w:r>
        <w:rPr>
          <w:rFonts w:ascii="Tahoma" w:hAnsi="Tahoma"/>
        </w:rPr>
        <w:t xml:space="preserve"> – variation margin for the Contract as calculated in the evening clearing session for the current trading day’s evening settlement period,</w:t>
      </w:r>
    </w:p>
    <w:p w14:paraId="360ED281" w14:textId="77777777" w:rsidR="001E63B0" w:rsidRPr="006237FF" w:rsidRDefault="001E63B0" w:rsidP="008506A8">
      <w:pPr>
        <w:pStyle w:val="a9"/>
        <w:spacing w:before="120" w:after="0"/>
        <w:ind w:left="1843"/>
        <w:rPr>
          <w:rFonts w:ascii="Tahoma" w:hAnsi="Tahoma" w:cs="Tahoma"/>
        </w:rPr>
      </w:pPr>
      <w:r>
        <w:rPr>
          <w:rFonts w:ascii="Tahoma" w:hAnsi="Tahoma"/>
        </w:rPr>
        <w:t>VM – variation margin for the Contract as calculated in the evening clearing session for the current trading day;</w:t>
      </w:r>
    </w:p>
    <w:p w14:paraId="71AE6717" w14:textId="77777777" w:rsidR="001E63B0" w:rsidRPr="006237FF" w:rsidRDefault="001E63B0" w:rsidP="008506A8">
      <w:pPr>
        <w:pStyle w:val="a9"/>
        <w:spacing w:before="120" w:after="0"/>
        <w:ind w:left="1843"/>
        <w:rPr>
          <w:rFonts w:ascii="Tahoma" w:hAnsi="Tahoma" w:cs="Tahoma"/>
        </w:rPr>
      </w:pPr>
      <w:r>
        <w:rPr>
          <w:rFonts w:ascii="Tahoma" w:hAnsi="Tahoma"/>
        </w:rPr>
        <w:t>VM</w:t>
      </w:r>
      <w:r>
        <w:rPr>
          <w:rFonts w:ascii="Tahoma" w:hAnsi="Tahoma"/>
          <w:vertAlign w:val="subscript"/>
        </w:rPr>
        <w:t>1</w:t>
      </w:r>
      <w:r>
        <w:rPr>
          <w:rFonts w:ascii="Tahoma" w:hAnsi="Tahoma"/>
        </w:rPr>
        <w:t xml:space="preserve"> – variation margin for the Contract as calculated in the intraday clearing session on the the current trading day as per Section 2.1.5.1 above.</w:t>
      </w:r>
    </w:p>
    <w:p w14:paraId="4AB5E174" w14:textId="77777777" w:rsidR="001E63B0" w:rsidRPr="006237FF" w:rsidRDefault="001E63B0" w:rsidP="00BB1575">
      <w:pPr>
        <w:pStyle w:val="a9"/>
        <w:spacing w:before="120" w:after="0"/>
        <w:ind w:left="1843"/>
        <w:rPr>
          <w:rFonts w:ascii="Tahoma" w:hAnsi="Tahoma" w:cs="Tahoma"/>
        </w:rPr>
      </w:pPr>
      <w:r>
        <w:rPr>
          <w:rFonts w:ascii="Tahoma" w:hAnsi="Tahoma"/>
        </w:rPr>
        <w:t>VM is determined according to the following formulas:</w:t>
      </w:r>
    </w:p>
    <w:p w14:paraId="3E9701F9" w14:textId="77777777" w:rsidR="001E63B0" w:rsidRPr="006237FF" w:rsidRDefault="001E63B0" w:rsidP="008506A8">
      <w:pPr>
        <w:pStyle w:val="a9"/>
        <w:numPr>
          <w:ilvl w:val="0"/>
          <w:numId w:val="7"/>
        </w:numPr>
        <w:tabs>
          <w:tab w:val="clear" w:pos="9000"/>
          <w:tab w:val="left" w:pos="2268"/>
        </w:tabs>
        <w:spacing w:before="120" w:after="0"/>
        <w:ind w:left="2268" w:hanging="283"/>
        <w:rPr>
          <w:rFonts w:ascii="Tahoma" w:hAnsi="Tahoma" w:cs="Tahoma"/>
        </w:rPr>
      </w:pPr>
      <w:r>
        <w:rPr>
          <w:rFonts w:ascii="Tahoma" w:hAnsi="Tahoma"/>
        </w:rPr>
        <w:t>If the variation margin has not been calculated for the previous trading day in the evening clearing session:</w:t>
      </w:r>
    </w:p>
    <w:p w14:paraId="42337756" w14:textId="77777777" w:rsidR="001E63B0" w:rsidRPr="006237FF" w:rsidRDefault="001E63B0" w:rsidP="00BB1575">
      <w:pPr>
        <w:pStyle w:val="a9"/>
        <w:spacing w:before="120" w:after="0"/>
        <w:ind w:left="2268"/>
        <w:rPr>
          <w:rFonts w:ascii="Tahoma" w:hAnsi="Tahoma" w:cs="Tahoma"/>
          <w:b/>
        </w:rPr>
      </w:pPr>
      <w:r>
        <w:rPr>
          <w:rFonts w:ascii="Tahoma" w:hAnsi="Tahoma"/>
          <w:b/>
        </w:rPr>
        <w:t>VM</w:t>
      </w:r>
      <w:r>
        <w:rPr>
          <w:rFonts w:ascii="Tahoma" w:hAnsi="Tahoma"/>
          <w:b/>
          <w:vertAlign w:val="subscript"/>
        </w:rPr>
        <w:t>2</w:t>
      </w:r>
      <w:r>
        <w:rPr>
          <w:rFonts w:ascii="Tahoma" w:hAnsi="Tahoma"/>
          <w:b/>
        </w:rPr>
        <w:t xml:space="preserve">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2</w:t>
      </w:r>
      <w:r>
        <w:rPr>
          <w:rFonts w:ascii="Tahoma" w:hAnsi="Tahoma"/>
          <w:b/>
        </w:rPr>
        <w:t>/R; 5); 2)</w:t>
      </w:r>
    </w:p>
    <w:p w14:paraId="4B75FBD4" w14:textId="77777777" w:rsidR="001E63B0" w:rsidRPr="006237FF" w:rsidRDefault="001E63B0" w:rsidP="008506A8">
      <w:pPr>
        <w:pStyle w:val="a9"/>
        <w:spacing w:before="120" w:after="0"/>
        <w:ind w:left="2268"/>
        <w:rPr>
          <w:rFonts w:ascii="Tahoma" w:hAnsi="Tahoma" w:cs="Tahoma"/>
        </w:rPr>
      </w:pPr>
      <w:r>
        <w:rPr>
          <w:rFonts w:ascii="Tahoma" w:hAnsi="Tahoma"/>
        </w:rPr>
        <w:t>where:</w:t>
      </w:r>
    </w:p>
    <w:p w14:paraId="084AC8D7" w14:textId="77777777" w:rsidR="001E63B0" w:rsidRPr="006237FF" w:rsidRDefault="001E63B0" w:rsidP="008506A8">
      <w:pPr>
        <w:pStyle w:val="a9"/>
        <w:spacing w:before="120" w:after="0"/>
        <w:ind w:left="2268"/>
        <w:rPr>
          <w:rFonts w:ascii="Tahoma" w:hAnsi="Tahoma" w:cs="Tahoma"/>
        </w:rPr>
      </w:pPr>
      <w:r>
        <w:rPr>
          <w:rFonts w:ascii="Tahoma" w:hAnsi="Tahoma"/>
        </w:rPr>
        <w:t xml:space="preserve">Round – mathematical rounding to the specified precision, </w:t>
      </w:r>
    </w:p>
    <w:p w14:paraId="380784E5" w14:textId="77777777" w:rsidR="001E63B0" w:rsidRPr="006237FF" w:rsidRDefault="001E63B0" w:rsidP="008506A8">
      <w:pPr>
        <w:pStyle w:val="a9"/>
        <w:spacing w:after="0"/>
        <w:ind w:left="2268"/>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13822627" w14:textId="77777777" w:rsidR="001E63B0" w:rsidRPr="006237FF" w:rsidRDefault="001E63B0" w:rsidP="008506A8">
      <w:pPr>
        <w:pStyle w:val="a9"/>
        <w:spacing w:after="0"/>
        <w:ind w:left="2268"/>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02FE5B4C" w14:textId="77777777" w:rsidR="001E63B0" w:rsidRPr="006237FF" w:rsidRDefault="001E63B0" w:rsidP="008506A8">
      <w:pPr>
        <w:pStyle w:val="a9"/>
        <w:spacing w:after="0"/>
        <w:ind w:left="2268"/>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73011DC4" w14:textId="77777777" w:rsidR="001E63B0" w:rsidRPr="006237FF" w:rsidRDefault="001E63B0" w:rsidP="008506A8">
      <w:pPr>
        <w:pStyle w:val="a9"/>
        <w:spacing w:after="0"/>
        <w:ind w:left="2268"/>
        <w:rPr>
          <w:rFonts w:ascii="Tahoma" w:hAnsi="Tahoma" w:cs="Tahoma"/>
        </w:rPr>
      </w:pPr>
      <w:r>
        <w:rPr>
          <w:rFonts w:ascii="Tahoma" w:hAnsi="Tahoma"/>
        </w:rPr>
        <w:t>R - the tick.</w:t>
      </w:r>
    </w:p>
    <w:p w14:paraId="0CDFDA06" w14:textId="77777777" w:rsidR="001E63B0" w:rsidRPr="006237FF" w:rsidRDefault="001E63B0" w:rsidP="008506A8">
      <w:pPr>
        <w:pStyle w:val="a9"/>
        <w:numPr>
          <w:ilvl w:val="0"/>
          <w:numId w:val="7"/>
        </w:numPr>
        <w:tabs>
          <w:tab w:val="clear" w:pos="9000"/>
          <w:tab w:val="left" w:pos="2268"/>
        </w:tabs>
        <w:spacing w:before="120" w:after="0"/>
        <w:ind w:left="2268" w:hanging="283"/>
        <w:rPr>
          <w:rFonts w:ascii="Tahoma" w:hAnsi="Tahoma" w:cs="Tahoma"/>
        </w:rPr>
      </w:pPr>
      <w:r>
        <w:rPr>
          <w:rFonts w:ascii="Tahoma" w:hAnsi="Tahoma"/>
        </w:rPr>
        <w:t>If the variation margin has been calculated for the previous trading day in the evening clearing session:</w:t>
      </w:r>
    </w:p>
    <w:p w14:paraId="02BBDF4A" w14:textId="77777777" w:rsidR="001E63B0" w:rsidRPr="006237FF" w:rsidRDefault="001E63B0" w:rsidP="00BB1575">
      <w:pPr>
        <w:pStyle w:val="a9"/>
        <w:spacing w:before="120" w:after="0"/>
        <w:ind w:left="2268"/>
        <w:rPr>
          <w:rFonts w:ascii="Tahoma" w:hAnsi="Tahoma" w:cs="Tahoma"/>
          <w:b/>
        </w:rPr>
      </w:pPr>
      <w:r>
        <w:rPr>
          <w:rFonts w:ascii="Tahoma" w:hAnsi="Tahoma"/>
          <w:b/>
        </w:rPr>
        <w:t>VM</w:t>
      </w:r>
      <w:r>
        <w:rPr>
          <w:rFonts w:ascii="Tahoma" w:hAnsi="Tahoma"/>
          <w:b/>
          <w:vertAlign w:val="subscript"/>
        </w:rPr>
        <w:t>2</w:t>
      </w:r>
      <w:r>
        <w:rPr>
          <w:rFonts w:ascii="Tahoma" w:hAnsi="Tahoma"/>
          <w:b/>
        </w:rPr>
        <w:t xml:space="preserve">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2</w:t>
      </w:r>
      <w:r>
        <w:rPr>
          <w:rFonts w:ascii="Tahoma" w:hAnsi="Tahoma"/>
          <w:b/>
        </w:rPr>
        <w:t>/R; 5); 2)</w:t>
      </w:r>
    </w:p>
    <w:p w14:paraId="7C71DBD1" w14:textId="77777777" w:rsidR="001E63B0" w:rsidRPr="006237FF" w:rsidRDefault="001E63B0" w:rsidP="008506A8">
      <w:pPr>
        <w:pStyle w:val="a9"/>
        <w:spacing w:before="120" w:after="0"/>
        <w:ind w:left="2268"/>
        <w:rPr>
          <w:rFonts w:ascii="Tahoma" w:hAnsi="Tahoma" w:cs="Tahoma"/>
        </w:rPr>
      </w:pPr>
      <w:r>
        <w:rPr>
          <w:rFonts w:ascii="Tahoma" w:hAnsi="Tahoma"/>
        </w:rPr>
        <w:t>where:</w:t>
      </w:r>
    </w:p>
    <w:p w14:paraId="370ADB23" w14:textId="77777777" w:rsidR="001E63B0" w:rsidRPr="006237FF" w:rsidRDefault="001E63B0" w:rsidP="008506A8">
      <w:pPr>
        <w:pStyle w:val="a9"/>
        <w:spacing w:before="120" w:after="0"/>
        <w:ind w:left="2268"/>
        <w:rPr>
          <w:rFonts w:ascii="Tahoma" w:hAnsi="Tahoma" w:cs="Tahoma"/>
        </w:rPr>
      </w:pPr>
      <w:r>
        <w:rPr>
          <w:rFonts w:ascii="Tahoma" w:hAnsi="Tahoma"/>
        </w:rPr>
        <w:t xml:space="preserve">Round – mathematical rounding to the specified precision, </w:t>
      </w:r>
    </w:p>
    <w:p w14:paraId="3685A203" w14:textId="77777777" w:rsidR="001E63B0" w:rsidRPr="006237FF" w:rsidRDefault="001E63B0" w:rsidP="008506A8">
      <w:pPr>
        <w:pStyle w:val="a9"/>
        <w:spacing w:after="0"/>
        <w:ind w:left="2268"/>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3FA50DD4" w14:textId="77777777" w:rsidR="001E63B0" w:rsidRPr="006237FF" w:rsidRDefault="001E63B0" w:rsidP="008506A8">
      <w:pPr>
        <w:pStyle w:val="a9"/>
        <w:spacing w:after="0"/>
        <w:ind w:left="2268"/>
        <w:rPr>
          <w:rFonts w:ascii="Tahoma" w:hAnsi="Tahoma" w:cs="Tahoma"/>
        </w:rPr>
      </w:pPr>
      <w:r>
        <w:rPr>
          <w:rFonts w:ascii="Tahoma" w:hAnsi="Tahoma"/>
        </w:rPr>
        <w:t>SPp – settlement price of the Contract calculated during the previous trading day’s evening clearing session,</w:t>
      </w:r>
    </w:p>
    <w:p w14:paraId="3A105575" w14:textId="77777777" w:rsidR="001E63B0" w:rsidRPr="006237FF" w:rsidRDefault="001E63B0" w:rsidP="008506A8">
      <w:pPr>
        <w:pStyle w:val="a9"/>
        <w:spacing w:after="0"/>
        <w:ind w:left="2268"/>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1FAB425F" w14:textId="77777777" w:rsidR="001E63B0" w:rsidRPr="006237FF" w:rsidRDefault="001E63B0" w:rsidP="008506A8">
      <w:pPr>
        <w:pStyle w:val="a9"/>
        <w:spacing w:after="0"/>
        <w:ind w:left="2268"/>
        <w:rPr>
          <w:rFonts w:ascii="Tahoma" w:hAnsi="Tahoma" w:cs="Tahoma"/>
        </w:rPr>
      </w:pPr>
      <w:r>
        <w:rPr>
          <w:rFonts w:ascii="Tahoma" w:hAnsi="Tahoma"/>
        </w:rPr>
        <w:t>R - the tick.</w:t>
      </w:r>
    </w:p>
    <w:p w14:paraId="1666E6B3" w14:textId="466B3413" w:rsidR="00BF4AA3" w:rsidRDefault="00012C33" w:rsidP="00012C33">
      <w:pPr>
        <w:pStyle w:val="a0"/>
        <w:numPr>
          <w:ilvl w:val="0"/>
          <w:numId w:val="0"/>
        </w:numPr>
        <w:spacing w:before="120" w:after="0"/>
        <w:ind w:left="1440"/>
        <w:rPr>
          <w:rFonts w:ascii="Tahoma" w:hAnsi="Tahoma"/>
        </w:rPr>
      </w:pPr>
      <w:r>
        <w:rPr>
          <w:rFonts w:ascii="Tahoma" w:hAnsi="Tahoma"/>
        </w:rPr>
        <w:t xml:space="preserve">In calculation of the variation margin in the evening clearing session on the current trading day, the tick value is calculated based </w:t>
      </w:r>
      <w:r w:rsidR="00BF4AA3">
        <w:rPr>
          <w:rFonts w:ascii="Tahoma" w:hAnsi="Tahoma"/>
        </w:rPr>
        <w:t xml:space="preserve">on </w:t>
      </w:r>
      <w:r w:rsidR="00BF4AA3" w:rsidRPr="00BF4AA3">
        <w:rPr>
          <w:rFonts w:ascii="Tahoma" w:hAnsi="Tahoma"/>
        </w:rPr>
        <w:t>the exchange rate of the quoted currency to the Russian ruble,</w:t>
      </w:r>
      <w:r w:rsidR="00BF4AA3">
        <w:rPr>
          <w:rFonts w:ascii="Tahoma" w:hAnsi="Tahoma"/>
        </w:rPr>
        <w:t xml:space="preserve"> </w:t>
      </w:r>
      <w:r>
        <w:rPr>
          <w:rFonts w:ascii="Tahoma" w:hAnsi="Tahoma"/>
        </w:rPr>
        <w:t>as at the time set by the Exchange and published on its website.</w:t>
      </w:r>
      <w:r w:rsidR="00BF4AA3">
        <w:rPr>
          <w:rFonts w:ascii="Tahoma" w:hAnsi="Tahoma"/>
        </w:rPr>
        <w:t xml:space="preserve"> </w:t>
      </w:r>
    </w:p>
    <w:p w14:paraId="01190465" w14:textId="0EBB4189" w:rsidR="001D7F7C" w:rsidRPr="00534C22" w:rsidRDefault="00F32CF7" w:rsidP="00BF4AA3">
      <w:pPr>
        <w:pStyle w:val="1"/>
        <w:rPr>
          <w:rFonts w:cs="Tahoma"/>
        </w:rPr>
      </w:pPr>
      <w:r>
        <w:t>The obligation to pay the variation margin calculated as per the formulas indicated in section 2.1.</w:t>
      </w:r>
      <w:r w:rsidR="009C2B74">
        <w:rPr>
          <w:lang w:val="ru-RU"/>
        </w:rPr>
        <w:t>3</w:t>
      </w:r>
      <w:r>
        <w:t xml:space="preserve"> above, is performed in accordance with the procedure and within the time limits set forth in the Clearing Rules. In particular,  </w:t>
      </w:r>
    </w:p>
    <w:p w14:paraId="37CA39AF" w14:textId="77777777" w:rsidR="001D7F7C" w:rsidRPr="00C15CEE" w:rsidRDefault="00F32CF7" w:rsidP="00BB1575">
      <w:pPr>
        <w:pStyle w:val="a0"/>
        <w:numPr>
          <w:ilvl w:val="0"/>
          <w:numId w:val="8"/>
        </w:numPr>
        <w:spacing w:before="120" w:after="0"/>
        <w:ind w:left="1843" w:hanging="425"/>
        <w:rPr>
          <w:rFonts w:ascii="Tahoma" w:hAnsi="Tahoma" w:cs="Tahoma"/>
        </w:rPr>
      </w:pPr>
      <w:r>
        <w:rPr>
          <w:rFonts w:ascii="Tahoma" w:hAnsi="Tahoma"/>
        </w:rPr>
        <w:lastRenderedPageBreak/>
        <w:t>if the variation margin is positive, the obligation to pay the variation margin arises for the Seller;</w:t>
      </w:r>
    </w:p>
    <w:p w14:paraId="6413C1BE" w14:textId="77777777" w:rsidR="00F32CF7" w:rsidRPr="006237FF" w:rsidRDefault="00F32CF7" w:rsidP="008506A8">
      <w:pPr>
        <w:pStyle w:val="a0"/>
        <w:numPr>
          <w:ilvl w:val="0"/>
          <w:numId w:val="8"/>
        </w:numPr>
        <w:spacing w:before="120" w:after="0"/>
        <w:ind w:left="1843" w:hanging="425"/>
        <w:rPr>
          <w:rFonts w:ascii="Tahoma" w:hAnsi="Tahoma" w:cs="Tahoma"/>
        </w:rPr>
      </w:pPr>
      <w:r>
        <w:rPr>
          <w:rFonts w:ascii="Tahoma" w:hAnsi="Tahoma"/>
        </w:rPr>
        <w:t>if the variation margin is negative, the Buyer is obliged to pay the absolute value of the variation margin.</w:t>
      </w:r>
    </w:p>
    <w:p w14:paraId="64FC9327" w14:textId="77777777" w:rsidR="00F32CF7" w:rsidRPr="006237FF" w:rsidRDefault="00F32CF7" w:rsidP="009E02CF">
      <w:pPr>
        <w:pStyle w:val="1"/>
        <w:numPr>
          <w:ilvl w:val="2"/>
          <w:numId w:val="10"/>
        </w:numPr>
        <w:spacing w:before="120" w:after="0"/>
        <w:rPr>
          <w:rFonts w:ascii="Tahoma" w:hAnsi="Tahoma" w:cs="Tahoma"/>
        </w:rPr>
      </w:pPr>
      <w:r>
        <w:rPr>
          <w:rFonts w:ascii="Tahoma" w:hAnsi="Tahoma"/>
        </w:rPr>
        <w:t>The settlement price of the Contract is set by the Exchange under the procedure and within the time frames set out in the Trading Rules and Specification.</w:t>
      </w:r>
    </w:p>
    <w:p w14:paraId="48A6260B" w14:textId="77777777" w:rsidR="00CA542B" w:rsidRPr="006237FF" w:rsidRDefault="00CA542B" w:rsidP="009E02CF">
      <w:pPr>
        <w:pStyle w:val="a0"/>
        <w:spacing w:before="120"/>
        <w:rPr>
          <w:rFonts w:ascii="Tahoma" w:hAnsi="Tahoma" w:cs="Tahoma"/>
        </w:rPr>
      </w:pPr>
      <w:bookmarkStart w:id="5" w:name="_Ref231715400"/>
      <w:bookmarkStart w:id="6" w:name="_Ref231130227"/>
      <w:bookmarkStart w:id="7" w:name="_Ref231278074"/>
      <w:r>
        <w:rPr>
          <w:rFonts w:ascii="Tahoma" w:hAnsi="Tahoma"/>
        </w:rPr>
        <w:t>Expiration settlement obligation</w:t>
      </w:r>
    </w:p>
    <w:p w14:paraId="290E5CE6" w14:textId="77777777" w:rsidR="00CA542B" w:rsidRPr="006237FF" w:rsidRDefault="00CA542B" w:rsidP="009E02CF">
      <w:pPr>
        <w:pStyle w:val="1"/>
        <w:spacing w:before="120"/>
        <w:rPr>
          <w:rFonts w:ascii="Tahoma" w:hAnsi="Tahoma" w:cs="Tahoma"/>
        </w:rPr>
      </w:pPr>
      <w:r>
        <w:rPr>
          <w:rFonts w:ascii="Tahoma" w:hAnsi="Tahoma"/>
        </w:rPr>
        <w:t>The obligation to pay the variation margin as determined during the evening clearing session on the settlement date for the Contract, is the Expiration Settlement Obligation.</w:t>
      </w:r>
    </w:p>
    <w:p w14:paraId="270EA26C" w14:textId="77777777" w:rsidR="00F32CF7" w:rsidRPr="00534C22" w:rsidRDefault="00F32CF7" w:rsidP="009E02CF">
      <w:pPr>
        <w:pStyle w:val="1"/>
        <w:spacing w:before="120"/>
        <w:rPr>
          <w:rFonts w:ascii="Tahoma" w:hAnsi="Tahoma" w:cs="Tahoma"/>
        </w:rPr>
      </w:pPr>
      <w:r>
        <w:rPr>
          <w:rFonts w:ascii="Tahoma" w:hAnsi="Tahoma"/>
        </w:rPr>
        <w:t xml:space="preserve">For the purpose of determining the Expiration Settlement Obligation, the daily Settlement Price shall be deemed to be equal to the value of the Euro exchange rate as expressed in the relevant foreign currency per 1 (one) Euro as published by the Information Source </w:t>
      </w:r>
      <w:bookmarkEnd w:id="5"/>
      <w:bookmarkEnd w:id="6"/>
      <w:r>
        <w:rPr>
          <w:rFonts w:ascii="Tahoma" w:hAnsi="Tahoma"/>
        </w:rPr>
        <w:t xml:space="preserve"> on the expiration settlement date of the Contract.</w:t>
      </w:r>
    </w:p>
    <w:p w14:paraId="7779CBEB" w14:textId="77777777" w:rsidR="009D3F2B" w:rsidRPr="006237FF" w:rsidRDefault="00831321" w:rsidP="00F1738F">
      <w:pPr>
        <w:pStyle w:val="1"/>
        <w:rPr>
          <w:rFonts w:ascii="Tahoma" w:hAnsi="Tahoma" w:cs="Tahoma"/>
        </w:rPr>
      </w:pPr>
      <w:r>
        <w:rPr>
          <w:rFonts w:ascii="Tahoma" w:hAnsi="Tahoma"/>
        </w:rPr>
        <w:t xml:space="preserve">If the Contract settlement day is declared a non-business (non-trading) day by the government authority of the state of quoted currency and the Euro exchange rate has not been published by the Information Source on that day at the proper time, the value of the Euro exchange rate determined and published by the Information source at the time of publication of rate on the business (trading) day immediately preceding the expiration settlement day shall be taken as the expiration settlement price of the Contract. </w:t>
      </w:r>
    </w:p>
    <w:bookmarkEnd w:id="7"/>
    <w:p w14:paraId="45BCAFC8" w14:textId="77777777" w:rsidR="00F32CF7" w:rsidRPr="00FB2334" w:rsidRDefault="00F32CF7" w:rsidP="00F32CF7">
      <w:pPr>
        <w:pStyle w:val="a"/>
        <w:spacing w:before="240" w:after="0"/>
        <w:rPr>
          <w:rFonts w:ascii="Tahoma" w:hAnsi="Tahoma" w:cs="Tahoma"/>
        </w:rPr>
      </w:pPr>
      <w:r>
        <w:rPr>
          <w:rFonts w:ascii="Tahoma" w:hAnsi="Tahoma"/>
        </w:rPr>
        <w:t>Grounds and procedure for termination of obligations under the Contract</w:t>
      </w:r>
    </w:p>
    <w:p w14:paraId="72B06C9C" w14:textId="77777777" w:rsidR="00F32CF7" w:rsidRPr="00366516" w:rsidRDefault="00F32CF7" w:rsidP="00F32CF7">
      <w:pPr>
        <w:pStyle w:val="a0"/>
        <w:spacing w:before="240" w:after="0"/>
        <w:rPr>
          <w:rFonts w:ascii="Tahoma" w:hAnsi="Tahoma" w:cs="Tahoma"/>
        </w:rPr>
      </w:pPr>
      <w:r>
        <w:rPr>
          <w:rFonts w:ascii="Tahoma" w:hAnsi="Tahoma"/>
        </w:rPr>
        <w:t>Obligations under the Contract are terminated in full upon due performance thereof.</w:t>
      </w:r>
    </w:p>
    <w:p w14:paraId="75439E85" w14:textId="77777777" w:rsidR="00F32CF7" w:rsidRPr="00ED0909" w:rsidRDefault="00F32CF7" w:rsidP="00F32CF7">
      <w:pPr>
        <w:pStyle w:val="a0"/>
        <w:spacing w:before="120" w:after="0"/>
        <w:rPr>
          <w:rFonts w:ascii="Tahoma" w:hAnsi="Tahoma" w:cs="Tahoma"/>
        </w:rPr>
      </w:pPr>
      <w:r>
        <w:t>A party's obligations under the Contract shall be terminated in full as a result of that party incurring off-setting obligations under the Contract with the same code (designation), i.e. the Seller incurring obligations of the Buyer or the Buyer incurring obligations of the Seller, in the manner and within the time limits stipulated in the Clearing Rules.</w:t>
      </w:r>
    </w:p>
    <w:p w14:paraId="3E254C47" w14:textId="77777777" w:rsidR="00F32CF7" w:rsidRPr="00ED0909" w:rsidRDefault="00F32CF7" w:rsidP="00F32CF7">
      <w:pPr>
        <w:pStyle w:val="a0"/>
        <w:spacing w:before="120" w:after="0"/>
        <w:rPr>
          <w:rFonts w:ascii="Tahoma" w:hAnsi="Tahoma" w:cs="Tahoma"/>
        </w:rPr>
      </w:pPr>
      <w:r>
        <w:rPr>
          <w:rFonts w:ascii="Tahoma" w:hAnsi="Tahoma"/>
        </w:rPr>
        <w:t>Obligations under the Contract may be terminated on other grounds provided for in the Clearing Rules, in accordance with the procedures set forth thereof.</w:t>
      </w:r>
    </w:p>
    <w:p w14:paraId="37EC124A" w14:textId="77777777" w:rsidR="00F32CF7" w:rsidRPr="00770948" w:rsidRDefault="00F32CF7" w:rsidP="00F32CF7">
      <w:pPr>
        <w:pStyle w:val="a"/>
        <w:spacing w:before="240" w:after="0"/>
        <w:rPr>
          <w:rFonts w:ascii="Tahoma" w:hAnsi="Tahoma" w:cs="Tahoma"/>
        </w:rPr>
      </w:pPr>
      <w:r>
        <w:rPr>
          <w:rFonts w:ascii="Tahoma" w:hAnsi="Tahoma"/>
        </w:rPr>
        <w:t>Liability of the parties for failure to perform the obligations under the Contract</w:t>
      </w:r>
    </w:p>
    <w:p w14:paraId="76867A32" w14:textId="77777777" w:rsidR="00F32CF7" w:rsidRPr="00EB6DC2" w:rsidRDefault="00F32CF7" w:rsidP="00F32CF7">
      <w:pPr>
        <w:pStyle w:val="a0"/>
        <w:spacing w:before="240" w:after="0"/>
        <w:rPr>
          <w:rFonts w:ascii="Tahoma" w:hAnsi="Tahoma" w:cs="Tahoma"/>
        </w:rPr>
      </w:pPr>
      <w:r>
        <w:rPr>
          <w:rFonts w:ascii="Tahoma" w:hAnsi="Tahoma"/>
        </w:rPr>
        <w:t>The parties shall be liable for non-performance or improper performance of obligations under the Contract in accordance with the legislation of the Russian Federation, the Clearing Rules, the Trading Rules and the Admission Rules.</w:t>
      </w:r>
    </w:p>
    <w:p w14:paraId="200ABDC9" w14:textId="77777777" w:rsidR="00F32CF7" w:rsidRPr="00C15CEE" w:rsidRDefault="00F32CF7" w:rsidP="00F32CF7">
      <w:pPr>
        <w:pStyle w:val="a"/>
        <w:spacing w:before="240" w:after="0"/>
        <w:rPr>
          <w:rFonts w:ascii="Tahoma" w:hAnsi="Tahoma" w:cs="Tahoma"/>
        </w:rPr>
      </w:pPr>
      <w:r>
        <w:rPr>
          <w:rFonts w:ascii="Tahoma" w:hAnsi="Tahoma"/>
        </w:rPr>
        <w:t>Special provisions</w:t>
      </w:r>
    </w:p>
    <w:p w14:paraId="571F97F8" w14:textId="77777777" w:rsidR="00F32CF7" w:rsidRPr="006237FF" w:rsidRDefault="00F32CF7" w:rsidP="00F32CF7">
      <w:pPr>
        <w:pStyle w:val="a0"/>
        <w:spacing w:before="120" w:after="0"/>
        <w:rPr>
          <w:rFonts w:ascii="Tahoma" w:hAnsi="Tahoma" w:cs="Tahoma"/>
        </w:rPr>
      </w:pPr>
      <w:bookmarkStart w:id="8" w:name="_Ref214193958"/>
      <w:r>
        <w:rPr>
          <w:rFonts w:ascii="Tahoma" w:hAnsi="Tahoma"/>
        </w:rPr>
        <w:t>In case it is impossible to obtain information from the Information Source regarding the Euro exchange rate including in case of suspension/termination of determination and publication by the Information Source of the Euro exchange rate values, the Exchange shall have the right, upon agreement with the Clearing Centre, to take one or several of the following decisions:</w:t>
      </w:r>
      <w:bookmarkEnd w:id="8"/>
    </w:p>
    <w:p w14:paraId="7215D7A9" w14:textId="77777777" w:rsidR="0081055A" w:rsidRPr="006237FF" w:rsidRDefault="0081055A" w:rsidP="0081055A">
      <w:pPr>
        <w:pStyle w:val="1"/>
        <w:spacing w:before="240"/>
        <w:rPr>
          <w:rFonts w:ascii="Tahoma" w:hAnsi="Tahoma" w:cs="Tahoma"/>
        </w:rPr>
      </w:pPr>
      <w:r>
        <w:rPr>
          <w:rFonts w:ascii="Tahoma" w:hAnsi="Tahoma"/>
        </w:rPr>
        <w:t xml:space="preserve">change the last trading date for the Contract, </w:t>
      </w:r>
    </w:p>
    <w:p w14:paraId="4AFF750A" w14:textId="77777777" w:rsidR="0081055A" w:rsidRPr="006237FF" w:rsidRDefault="0081055A" w:rsidP="0081055A">
      <w:pPr>
        <w:pStyle w:val="1"/>
        <w:rPr>
          <w:rFonts w:ascii="Tahoma" w:hAnsi="Tahoma" w:cs="Tahoma"/>
        </w:rPr>
      </w:pPr>
      <w:r>
        <w:rPr>
          <w:rFonts w:ascii="Tahoma" w:hAnsi="Tahoma"/>
        </w:rPr>
        <w:t xml:space="preserve">change the final settlement date for the Contract, </w:t>
      </w:r>
    </w:p>
    <w:p w14:paraId="4539EA35" w14:textId="77777777" w:rsidR="0081055A" w:rsidRPr="006237FF" w:rsidRDefault="0081055A" w:rsidP="0081055A">
      <w:pPr>
        <w:pStyle w:val="1"/>
        <w:rPr>
          <w:rFonts w:ascii="Tahoma" w:hAnsi="Tahoma" w:cs="Tahoma"/>
        </w:rPr>
      </w:pPr>
      <w:r>
        <w:rPr>
          <w:rFonts w:ascii="Tahoma" w:hAnsi="Tahoma"/>
        </w:rPr>
        <w:t xml:space="preserve">change the daily (final) settlement price, and/or amend the calculation method for the variation margin and/or rules pertaining to its payment, </w:t>
      </w:r>
    </w:p>
    <w:p w14:paraId="59DACA78" w14:textId="6D8091A2" w:rsidR="00F32CF7" w:rsidRPr="006237FF" w:rsidRDefault="00F32CF7" w:rsidP="0081055A">
      <w:pPr>
        <w:pStyle w:val="1"/>
        <w:rPr>
          <w:rFonts w:ascii="Tahoma" w:hAnsi="Tahoma" w:cs="Tahoma"/>
        </w:rPr>
      </w:pPr>
      <w:r>
        <w:rPr>
          <w:rFonts w:ascii="Tahoma" w:hAnsi="Tahoma"/>
        </w:rPr>
        <w:t>Take other decision provided for in the Trading Rules.</w:t>
      </w:r>
    </w:p>
    <w:p w14:paraId="399647EB" w14:textId="77777777" w:rsidR="00B65543" w:rsidRPr="006237FF" w:rsidRDefault="00B65543" w:rsidP="00B65543">
      <w:pPr>
        <w:pStyle w:val="a0"/>
        <w:spacing w:before="240" w:after="0"/>
        <w:rPr>
          <w:rFonts w:ascii="Tahoma" w:hAnsi="Tahoma" w:cs="Tahoma"/>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5551D28B" w14:textId="77777777" w:rsidR="00F32CF7" w:rsidRPr="006237FF" w:rsidRDefault="00B65543" w:rsidP="00B65543">
      <w:pPr>
        <w:pStyle w:val="a0"/>
        <w:spacing w:before="240" w:after="0"/>
        <w:rPr>
          <w:rFonts w:ascii="Tahoma" w:hAnsi="Tahoma" w:cs="Tahoma"/>
        </w:rPr>
      </w:pPr>
      <w:r>
        <w:rPr>
          <w:rFonts w:ascii="Tahoma" w:hAnsi="Tahoma"/>
        </w:rPr>
        <w:t xml:space="preserve">Information on the decision(s) taken by the Exchange under sections 5.1 and/or 5.2 above shall be communicated to the Trading Members by its publication on the Exchange website not less </w:t>
      </w:r>
      <w:r>
        <w:rPr>
          <w:rFonts w:ascii="Tahoma" w:hAnsi="Tahoma"/>
        </w:rPr>
        <w:lastRenderedPageBreak/>
        <w:t xml:space="preserve">than 3 (three) Trading Days prior to the effective date of the respective decision(s). In case the grounds for decisions provided by clauses 5.1 and/or 5.2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  </w:t>
      </w:r>
    </w:p>
    <w:p w14:paraId="3F0705F9" w14:textId="29D4B36F" w:rsidR="00F32CF7" w:rsidRPr="00787793" w:rsidRDefault="00460FDC" w:rsidP="00F32CF7">
      <w:pPr>
        <w:pStyle w:val="a0"/>
        <w:spacing w:before="120" w:after="0"/>
        <w:rPr>
          <w:rFonts w:ascii="Tahoma" w:hAnsi="Tahoma" w:cs="Tahoma"/>
        </w:rPr>
      </w:pPr>
      <w:r>
        <w:rPr>
          <w:rFonts w:ascii="Tahoma" w:hAnsi="Tahoma"/>
        </w:rPr>
        <w:t>Unless otherwise provided by a decision of the Exchange, from the entry into force of the decision(s) made by the Exchange in accordance with clauses 5.1 and/or 5.2 of the Specification, the terms of existing obligations under previously concluded Contracts shall be deemed to have been amended accordingly.</w:t>
      </w:r>
    </w:p>
    <w:p w14:paraId="5FF47EBE" w14:textId="6296181F" w:rsidR="00787793" w:rsidRDefault="00787793" w:rsidP="00787793">
      <w:pPr>
        <w:pStyle w:val="a"/>
        <w:numPr>
          <w:ilvl w:val="0"/>
          <w:numId w:val="0"/>
        </w:numPr>
        <w:ind w:left="284" w:hanging="284"/>
      </w:pPr>
    </w:p>
    <w:p w14:paraId="33285B98" w14:textId="77777777" w:rsidR="00787793" w:rsidRPr="006237FF" w:rsidRDefault="00787793" w:rsidP="00787793">
      <w:pPr>
        <w:pStyle w:val="a"/>
        <w:numPr>
          <w:ilvl w:val="0"/>
          <w:numId w:val="0"/>
        </w:numPr>
        <w:ind w:left="284" w:hanging="284"/>
      </w:pPr>
    </w:p>
    <w:p w14:paraId="0B7CF561" w14:textId="77777777" w:rsidR="00F32CF7" w:rsidRPr="006237FF" w:rsidRDefault="00F32CF7" w:rsidP="00F32CF7">
      <w:pPr>
        <w:pStyle w:val="a"/>
        <w:spacing w:before="240" w:after="0"/>
        <w:rPr>
          <w:rFonts w:ascii="Tahoma" w:hAnsi="Tahoma" w:cs="Tahoma"/>
        </w:rPr>
      </w:pPr>
      <w:r>
        <w:rPr>
          <w:rFonts w:ascii="Tahoma" w:hAnsi="Tahoma"/>
        </w:rPr>
        <w:t>Amendments and Supplements to the Specification</w:t>
      </w:r>
    </w:p>
    <w:p w14:paraId="53DE4E7F" w14:textId="77777777" w:rsidR="00F32CF7" w:rsidRPr="006237FF" w:rsidRDefault="00F32CF7" w:rsidP="00F32CF7">
      <w:pPr>
        <w:pStyle w:val="a0"/>
        <w:spacing w:before="240" w:after="0"/>
        <w:rPr>
          <w:rFonts w:ascii="Tahoma" w:hAnsi="Tahoma" w:cs="Tahoma"/>
        </w:rPr>
      </w:pPr>
      <w:r>
        <w:rPr>
          <w:rFonts w:ascii="Tahoma" w:hAnsi="Tahoma"/>
        </w:rPr>
        <w:t>The Exchange is entitled to introduce amendments and supplements hereto as agreed with the Clearing Center.</w:t>
      </w:r>
    </w:p>
    <w:p w14:paraId="12764A30" w14:textId="77777777" w:rsidR="00F32CF7" w:rsidRPr="006237FF" w:rsidRDefault="00F32CF7" w:rsidP="00D823A0">
      <w:pPr>
        <w:pStyle w:val="a0"/>
        <w:spacing w:before="120" w:after="0"/>
        <w:rPr>
          <w:rFonts w:ascii="Tahoma" w:hAnsi="Tahoma" w:cs="Tahoma"/>
        </w:rPr>
      </w:pPr>
      <w:r>
        <w:rPr>
          <w:rFonts w:ascii="Tahoma" w:hAnsi="Tahoma"/>
        </w:rPr>
        <w:t>Amendments and supplements hereto go into force at the moment the Exchange puts into effect the updated Specification, containing such amendments and supplements.</w:t>
      </w:r>
    </w:p>
    <w:p w14:paraId="5F08C410" w14:textId="6836F5ED" w:rsidR="00D823A0" w:rsidRPr="00B96631" w:rsidRDefault="00F32CF7" w:rsidP="000F47C8">
      <w:pPr>
        <w:pStyle w:val="a0"/>
        <w:spacing w:before="120" w:after="0"/>
        <w:rPr>
          <w:rFonts w:ascii="Tahoma" w:hAnsi="Tahoma" w:cs="Tahoma"/>
        </w:rPr>
      </w:pPr>
      <w:r>
        <w:rPr>
          <w:rFonts w:ascii="Tahoma" w:hAnsi="Tahoma"/>
        </w:rPr>
        <w:t>The Specification as amended and supplemented from time to tome is published on the Exchange website at least 3 (three) business days before it takes effect, which serves as notice to trading members.</w:t>
      </w:r>
    </w:p>
    <w:p w14:paraId="1F856C20" w14:textId="42E32109" w:rsidR="00B96631" w:rsidRPr="00B96631" w:rsidRDefault="00B96631" w:rsidP="000F47C8">
      <w:pPr>
        <w:pStyle w:val="a0"/>
        <w:spacing w:before="120" w:after="0"/>
        <w:rPr>
          <w:rFonts w:ascii="Tahoma" w:hAnsi="Tahoma" w:cs="Tahoma"/>
        </w:rPr>
      </w:pPr>
      <w:r>
        <w:rPr>
          <w:rFonts w:ascii="Tahoma" w:hAnsi="Tahoma"/>
          <w:lang w:val="en-US"/>
        </w:rPr>
        <w:t xml:space="preserve">Unless </w:t>
      </w:r>
      <w:r w:rsidRPr="00B96631">
        <w:rPr>
          <w:rFonts w:ascii="Tahoma" w:hAnsi="Tahoma"/>
          <w:lang w:val="en-US"/>
        </w:rPr>
        <w:t>otherwise provided by the Exchange's decision, from the moment of entry into force of amendments and additions to the Specification, the terms of existing obligations under previously concluded Contracts are considered to have been changed taking into account such amendments and additions</w:t>
      </w:r>
    </w:p>
    <w:p w14:paraId="04E9C197" w14:textId="16ADA864" w:rsidR="00EC521C" w:rsidRDefault="00EC521C" w:rsidP="00EC521C">
      <w:pPr>
        <w:rPr>
          <w:rFonts w:ascii="Tahoma" w:hAnsi="Tahoma" w:cs="Tahoma"/>
          <w:sz w:val="20"/>
          <w:szCs w:val="20"/>
        </w:rPr>
      </w:pPr>
    </w:p>
    <w:p w14:paraId="1F21CBD0" w14:textId="6E94A8FA" w:rsidR="00B06E2B" w:rsidRDefault="00B06E2B" w:rsidP="00EC521C">
      <w:pPr>
        <w:rPr>
          <w:rFonts w:ascii="Tahoma" w:hAnsi="Tahoma" w:cs="Tahoma"/>
          <w:sz w:val="20"/>
          <w:szCs w:val="20"/>
        </w:rPr>
      </w:pPr>
    </w:p>
    <w:p w14:paraId="5823646C" w14:textId="60D068C3" w:rsidR="00B06E2B" w:rsidRDefault="00B06E2B" w:rsidP="00EC521C">
      <w:pPr>
        <w:rPr>
          <w:rFonts w:ascii="Tahoma" w:hAnsi="Tahoma" w:cs="Tahoma"/>
          <w:sz w:val="20"/>
          <w:szCs w:val="20"/>
        </w:rPr>
      </w:pPr>
    </w:p>
    <w:p w14:paraId="364FDF66" w14:textId="313A2EBD" w:rsidR="00B06E2B" w:rsidRDefault="00B06E2B" w:rsidP="00EC521C">
      <w:pPr>
        <w:rPr>
          <w:rFonts w:ascii="Tahoma" w:hAnsi="Tahoma" w:cs="Tahoma"/>
          <w:sz w:val="20"/>
          <w:szCs w:val="20"/>
        </w:rPr>
      </w:pPr>
    </w:p>
    <w:p w14:paraId="201FC49B" w14:textId="7DC62DC5" w:rsidR="00B06E2B" w:rsidRDefault="00B06E2B" w:rsidP="00EC521C">
      <w:pPr>
        <w:rPr>
          <w:rFonts w:ascii="Tahoma" w:hAnsi="Tahoma" w:cs="Tahoma"/>
          <w:sz w:val="20"/>
          <w:szCs w:val="20"/>
        </w:rPr>
      </w:pPr>
    </w:p>
    <w:p w14:paraId="36D6D900" w14:textId="6B4FA758" w:rsidR="00B06E2B" w:rsidRDefault="00B06E2B" w:rsidP="00EC521C">
      <w:pPr>
        <w:rPr>
          <w:rFonts w:ascii="Tahoma" w:hAnsi="Tahoma" w:cs="Tahoma"/>
          <w:sz w:val="20"/>
          <w:szCs w:val="20"/>
        </w:rPr>
      </w:pPr>
    </w:p>
    <w:p w14:paraId="69D3CCB5" w14:textId="7D6131C3" w:rsidR="00B06E2B" w:rsidRDefault="00B06E2B" w:rsidP="00EC521C">
      <w:pPr>
        <w:rPr>
          <w:rFonts w:ascii="Tahoma" w:hAnsi="Tahoma" w:cs="Tahoma"/>
          <w:sz w:val="20"/>
          <w:szCs w:val="20"/>
        </w:rPr>
      </w:pPr>
    </w:p>
    <w:p w14:paraId="14BF0944" w14:textId="7FD34041" w:rsidR="00B06E2B" w:rsidRDefault="00B06E2B" w:rsidP="00EC521C">
      <w:pPr>
        <w:rPr>
          <w:rFonts w:ascii="Tahoma" w:hAnsi="Tahoma" w:cs="Tahoma"/>
          <w:sz w:val="20"/>
          <w:szCs w:val="20"/>
        </w:rPr>
      </w:pPr>
    </w:p>
    <w:p w14:paraId="6654F38C" w14:textId="64103E77" w:rsidR="00B06E2B" w:rsidRDefault="00B06E2B" w:rsidP="00EC521C">
      <w:pPr>
        <w:rPr>
          <w:rFonts w:ascii="Tahoma" w:hAnsi="Tahoma" w:cs="Tahoma"/>
          <w:sz w:val="20"/>
          <w:szCs w:val="20"/>
        </w:rPr>
      </w:pPr>
    </w:p>
    <w:p w14:paraId="5E3937B1" w14:textId="541A60AF" w:rsidR="00B06E2B" w:rsidRDefault="00B06E2B" w:rsidP="00EC521C">
      <w:pPr>
        <w:rPr>
          <w:rFonts w:ascii="Tahoma" w:hAnsi="Tahoma" w:cs="Tahoma"/>
          <w:sz w:val="20"/>
          <w:szCs w:val="20"/>
        </w:rPr>
      </w:pPr>
    </w:p>
    <w:p w14:paraId="12FBFC2F" w14:textId="68064C0C" w:rsidR="00B06E2B" w:rsidRDefault="00B06E2B" w:rsidP="00EC521C">
      <w:pPr>
        <w:rPr>
          <w:rFonts w:ascii="Tahoma" w:hAnsi="Tahoma" w:cs="Tahoma"/>
          <w:sz w:val="20"/>
          <w:szCs w:val="20"/>
        </w:rPr>
      </w:pPr>
    </w:p>
    <w:p w14:paraId="54A0524F" w14:textId="25827465" w:rsidR="00B06E2B" w:rsidRDefault="00B06E2B" w:rsidP="00EC521C">
      <w:pPr>
        <w:rPr>
          <w:rFonts w:ascii="Tahoma" w:hAnsi="Tahoma" w:cs="Tahoma"/>
          <w:sz w:val="20"/>
          <w:szCs w:val="20"/>
        </w:rPr>
      </w:pPr>
    </w:p>
    <w:p w14:paraId="18B81C69" w14:textId="6A26BA30" w:rsidR="00B06E2B" w:rsidRDefault="00B06E2B" w:rsidP="00EC521C">
      <w:pPr>
        <w:rPr>
          <w:rFonts w:ascii="Tahoma" w:hAnsi="Tahoma" w:cs="Tahoma"/>
          <w:sz w:val="20"/>
          <w:szCs w:val="20"/>
        </w:rPr>
      </w:pPr>
    </w:p>
    <w:p w14:paraId="6AC1BFAB" w14:textId="25E2E31B" w:rsidR="00B06E2B" w:rsidRDefault="00B06E2B" w:rsidP="00EC521C">
      <w:pPr>
        <w:rPr>
          <w:rFonts w:ascii="Tahoma" w:hAnsi="Tahoma" w:cs="Tahoma"/>
          <w:sz w:val="20"/>
          <w:szCs w:val="20"/>
        </w:rPr>
      </w:pPr>
    </w:p>
    <w:p w14:paraId="0C2F5070" w14:textId="0E2D930F" w:rsidR="00B06E2B" w:rsidRDefault="00B06E2B" w:rsidP="00EC521C">
      <w:pPr>
        <w:rPr>
          <w:rFonts w:ascii="Tahoma" w:hAnsi="Tahoma" w:cs="Tahoma"/>
          <w:sz w:val="20"/>
          <w:szCs w:val="20"/>
        </w:rPr>
      </w:pPr>
    </w:p>
    <w:p w14:paraId="056F6D09" w14:textId="1EB6A9CB" w:rsidR="00B06E2B" w:rsidRDefault="00B06E2B" w:rsidP="00EC521C">
      <w:pPr>
        <w:rPr>
          <w:rFonts w:ascii="Tahoma" w:hAnsi="Tahoma" w:cs="Tahoma"/>
          <w:sz w:val="20"/>
          <w:szCs w:val="20"/>
        </w:rPr>
      </w:pPr>
    </w:p>
    <w:p w14:paraId="609C9B13" w14:textId="72F608EF" w:rsidR="00B06E2B" w:rsidRDefault="00B06E2B" w:rsidP="00EC521C">
      <w:pPr>
        <w:rPr>
          <w:rFonts w:ascii="Tahoma" w:hAnsi="Tahoma" w:cs="Tahoma"/>
          <w:sz w:val="20"/>
          <w:szCs w:val="20"/>
        </w:rPr>
      </w:pPr>
    </w:p>
    <w:p w14:paraId="63C19B47" w14:textId="156EE6B6" w:rsidR="00B06E2B" w:rsidRDefault="00B06E2B" w:rsidP="00EC521C">
      <w:pPr>
        <w:rPr>
          <w:rFonts w:ascii="Tahoma" w:hAnsi="Tahoma" w:cs="Tahoma"/>
          <w:sz w:val="20"/>
          <w:szCs w:val="20"/>
        </w:rPr>
      </w:pPr>
    </w:p>
    <w:p w14:paraId="5A958784" w14:textId="357CC405" w:rsidR="00B06E2B" w:rsidRDefault="00B06E2B" w:rsidP="00EC521C">
      <w:pPr>
        <w:rPr>
          <w:rFonts w:ascii="Tahoma" w:hAnsi="Tahoma" w:cs="Tahoma"/>
          <w:sz w:val="20"/>
          <w:szCs w:val="20"/>
        </w:rPr>
      </w:pPr>
    </w:p>
    <w:p w14:paraId="0E78D155" w14:textId="4C03515E" w:rsidR="00B06E2B" w:rsidRDefault="00B06E2B" w:rsidP="00EC521C">
      <w:pPr>
        <w:rPr>
          <w:rFonts w:ascii="Tahoma" w:hAnsi="Tahoma" w:cs="Tahoma"/>
          <w:sz w:val="20"/>
          <w:szCs w:val="20"/>
        </w:rPr>
      </w:pPr>
    </w:p>
    <w:p w14:paraId="3655526C" w14:textId="0247D9D2" w:rsidR="00B06E2B" w:rsidRDefault="00B06E2B" w:rsidP="00EC521C">
      <w:pPr>
        <w:rPr>
          <w:rFonts w:ascii="Tahoma" w:hAnsi="Tahoma" w:cs="Tahoma"/>
          <w:sz w:val="20"/>
          <w:szCs w:val="20"/>
        </w:rPr>
      </w:pPr>
    </w:p>
    <w:p w14:paraId="197C05F0" w14:textId="45FC87F4" w:rsidR="00B06E2B" w:rsidRDefault="00B06E2B" w:rsidP="00EC521C">
      <w:pPr>
        <w:rPr>
          <w:rFonts w:ascii="Tahoma" w:hAnsi="Tahoma" w:cs="Tahoma"/>
          <w:sz w:val="20"/>
          <w:szCs w:val="20"/>
        </w:rPr>
      </w:pPr>
    </w:p>
    <w:p w14:paraId="03F87C3A" w14:textId="6EC275B7" w:rsidR="00B06E2B" w:rsidRDefault="00B06E2B" w:rsidP="00EC521C">
      <w:pPr>
        <w:rPr>
          <w:rFonts w:ascii="Tahoma" w:hAnsi="Tahoma" w:cs="Tahoma"/>
          <w:sz w:val="20"/>
          <w:szCs w:val="20"/>
        </w:rPr>
      </w:pPr>
    </w:p>
    <w:p w14:paraId="352AD39C" w14:textId="4704D154" w:rsidR="00B06E2B" w:rsidRDefault="00B06E2B" w:rsidP="00EC521C">
      <w:pPr>
        <w:rPr>
          <w:rFonts w:ascii="Tahoma" w:hAnsi="Tahoma" w:cs="Tahoma"/>
          <w:sz w:val="20"/>
          <w:szCs w:val="20"/>
        </w:rPr>
      </w:pPr>
    </w:p>
    <w:p w14:paraId="1EDF4C33" w14:textId="777AFB58" w:rsidR="00B06E2B" w:rsidRDefault="00B06E2B" w:rsidP="00EC521C">
      <w:pPr>
        <w:rPr>
          <w:rFonts w:ascii="Tahoma" w:hAnsi="Tahoma" w:cs="Tahoma"/>
          <w:sz w:val="20"/>
          <w:szCs w:val="20"/>
        </w:rPr>
      </w:pPr>
    </w:p>
    <w:p w14:paraId="44094F5C" w14:textId="343667F2" w:rsidR="00B06E2B" w:rsidRDefault="00B06E2B" w:rsidP="00EC521C">
      <w:pPr>
        <w:rPr>
          <w:rFonts w:ascii="Tahoma" w:hAnsi="Tahoma" w:cs="Tahoma"/>
          <w:sz w:val="20"/>
          <w:szCs w:val="20"/>
        </w:rPr>
      </w:pPr>
    </w:p>
    <w:p w14:paraId="263E7B7E" w14:textId="46145CAD" w:rsidR="00B06E2B" w:rsidRDefault="00B06E2B" w:rsidP="00EC521C">
      <w:pPr>
        <w:rPr>
          <w:rFonts w:ascii="Tahoma" w:hAnsi="Tahoma" w:cs="Tahoma"/>
          <w:sz w:val="20"/>
          <w:szCs w:val="20"/>
        </w:rPr>
      </w:pPr>
    </w:p>
    <w:p w14:paraId="163432C4" w14:textId="6B8C3B7A" w:rsidR="00B06E2B" w:rsidRDefault="00B06E2B" w:rsidP="00EC521C">
      <w:pPr>
        <w:rPr>
          <w:rFonts w:ascii="Tahoma" w:hAnsi="Tahoma" w:cs="Tahoma"/>
          <w:sz w:val="20"/>
          <w:szCs w:val="20"/>
        </w:rPr>
      </w:pPr>
    </w:p>
    <w:p w14:paraId="7DD2B2F3" w14:textId="17280965" w:rsidR="00B06E2B" w:rsidRDefault="00B06E2B" w:rsidP="00EC521C">
      <w:pPr>
        <w:rPr>
          <w:rFonts w:ascii="Tahoma" w:hAnsi="Tahoma" w:cs="Tahoma"/>
          <w:sz w:val="20"/>
          <w:szCs w:val="20"/>
        </w:rPr>
      </w:pPr>
    </w:p>
    <w:p w14:paraId="75FD1791" w14:textId="097E1881" w:rsidR="00B06E2B" w:rsidRDefault="00B06E2B" w:rsidP="00EC521C">
      <w:pPr>
        <w:rPr>
          <w:rFonts w:ascii="Tahoma" w:hAnsi="Tahoma" w:cs="Tahoma"/>
          <w:sz w:val="20"/>
          <w:szCs w:val="20"/>
        </w:rPr>
      </w:pPr>
    </w:p>
    <w:p w14:paraId="457EC609" w14:textId="2B801173" w:rsidR="00B06E2B" w:rsidRDefault="00B06E2B" w:rsidP="00EC521C">
      <w:pPr>
        <w:rPr>
          <w:rFonts w:ascii="Tahoma" w:hAnsi="Tahoma" w:cs="Tahoma"/>
          <w:sz w:val="20"/>
          <w:szCs w:val="20"/>
        </w:rPr>
      </w:pPr>
    </w:p>
    <w:p w14:paraId="16C11B4E" w14:textId="77777777" w:rsidR="00B06E2B" w:rsidRDefault="00B06E2B" w:rsidP="00B06E2B">
      <w:pPr>
        <w:pStyle w:val="paragraph"/>
        <w:shd w:val="clear" w:color="auto" w:fill="FFFFFF"/>
        <w:spacing w:before="0" w:beforeAutospacing="0" w:after="0" w:afterAutospacing="0"/>
        <w:ind w:left="9630" w:right="-90"/>
        <w:textAlignment w:val="baseline"/>
        <w:rPr>
          <w:rStyle w:val="normaltextrun"/>
          <w:rFonts w:ascii="Tahoma" w:hAnsi="Tahoma"/>
          <w:b/>
          <w:color w:val="000000"/>
          <w:sz w:val="20"/>
        </w:rPr>
        <w:sectPr w:rsidR="00B06E2B" w:rsidSect="00495A06">
          <w:headerReference w:type="default" r:id="rId8"/>
          <w:footerReference w:type="default" r:id="rId9"/>
          <w:pgSz w:w="11906" w:h="16838"/>
          <w:pgMar w:top="1134" w:right="851" w:bottom="1134" w:left="1701" w:header="709" w:footer="709" w:gutter="0"/>
          <w:cols w:space="708"/>
          <w:docGrid w:linePitch="360"/>
        </w:sectPr>
      </w:pPr>
    </w:p>
    <w:p w14:paraId="1724387E" w14:textId="77777777" w:rsidR="00891804" w:rsidRPr="00343A99" w:rsidRDefault="00891804" w:rsidP="00891804">
      <w:pPr>
        <w:tabs>
          <w:tab w:val="left" w:pos="4962"/>
        </w:tabs>
        <w:ind w:right="-81" w:firstLine="10632"/>
        <w:jc w:val="right"/>
        <w:rPr>
          <w:rFonts w:ascii="Tahoma" w:hAnsi="Tahoma" w:cs="Tahoma"/>
          <w:b/>
          <w:sz w:val="22"/>
          <w:szCs w:val="22"/>
          <w:lang w:val="en-US" w:eastAsia="x-none"/>
        </w:rPr>
      </w:pPr>
      <w:r w:rsidRPr="00343A99">
        <w:rPr>
          <w:rFonts w:ascii="Tahoma" w:hAnsi="Tahoma" w:cs="Tahoma"/>
          <w:b/>
          <w:sz w:val="22"/>
          <w:szCs w:val="22"/>
          <w:lang w:val="en-US" w:eastAsia="x-none"/>
        </w:rPr>
        <w:lastRenderedPageBreak/>
        <w:t>Appendix No. 1 to the Specification</w:t>
      </w:r>
    </w:p>
    <w:p w14:paraId="7837DDAC" w14:textId="0E9F5164" w:rsidR="00891804" w:rsidRPr="00891804" w:rsidRDefault="00C40F4D" w:rsidP="00891804">
      <w:pPr>
        <w:tabs>
          <w:tab w:val="left" w:pos="4962"/>
        </w:tabs>
        <w:ind w:left="10773" w:right="-81"/>
        <w:rPr>
          <w:rFonts w:ascii="Tahoma" w:hAnsi="Tahoma" w:cs="Tahoma"/>
          <w:b/>
          <w:sz w:val="22"/>
          <w:szCs w:val="22"/>
          <w:lang w:val="en-US" w:eastAsia="x-none"/>
        </w:rPr>
      </w:pPr>
      <w:r>
        <w:rPr>
          <w:rFonts w:ascii="Tahoma" w:hAnsi="Tahoma" w:cs="Tahoma"/>
          <w:b/>
          <w:sz w:val="22"/>
          <w:szCs w:val="22"/>
          <w:lang w:val="en-US" w:eastAsia="x-none"/>
        </w:rPr>
        <w:t>f</w:t>
      </w:r>
      <w:r w:rsidR="00891804">
        <w:rPr>
          <w:rFonts w:ascii="Tahoma" w:hAnsi="Tahoma" w:cs="Tahoma"/>
          <w:b/>
          <w:sz w:val="22"/>
          <w:szCs w:val="22"/>
          <w:lang w:val="en-US" w:eastAsia="x-none"/>
        </w:rPr>
        <w:t>or Futures contract on</w:t>
      </w:r>
    </w:p>
    <w:p w14:paraId="57A07479" w14:textId="6EB44090" w:rsidR="00891804" w:rsidRPr="00343A99" w:rsidRDefault="00891804" w:rsidP="00891804">
      <w:pPr>
        <w:tabs>
          <w:tab w:val="left" w:pos="4962"/>
        </w:tabs>
        <w:ind w:left="10773" w:right="-81"/>
        <w:rPr>
          <w:rFonts w:ascii="Tahoma" w:hAnsi="Tahoma" w:cs="Tahoma"/>
          <w:b/>
          <w:sz w:val="22"/>
          <w:szCs w:val="22"/>
          <w:lang w:val="en-US" w:eastAsia="x-none"/>
        </w:rPr>
      </w:pPr>
      <w:r w:rsidRPr="00891804">
        <w:rPr>
          <w:rFonts w:ascii="Tahoma" w:hAnsi="Tahoma" w:cs="Tahoma"/>
          <w:b/>
          <w:sz w:val="22"/>
          <w:szCs w:val="22"/>
          <w:lang w:val="en-US" w:eastAsia="x-none"/>
        </w:rPr>
        <w:t>Euro Currency Pairs</w:t>
      </w:r>
    </w:p>
    <w:p w14:paraId="3CD68C7B" w14:textId="77777777" w:rsidR="00B06E2B" w:rsidRDefault="00B06E2B" w:rsidP="00B06E2B">
      <w:pPr>
        <w:pStyle w:val="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eop"/>
          <w:rFonts w:ascii="Tahoma" w:hAnsi="Tahoma"/>
          <w:color w:val="000000"/>
          <w:sz w:val="20"/>
        </w:rPr>
        <w:t> </w:t>
      </w:r>
    </w:p>
    <w:p w14:paraId="0DD823B4" w14:textId="77777777" w:rsidR="00B06E2B" w:rsidRPr="00550FEF" w:rsidRDefault="00B06E2B" w:rsidP="00B06E2B">
      <w:pPr>
        <w:pStyle w:val="a5"/>
        <w:keepNext/>
        <w:widowControl w:val="0"/>
        <w:spacing w:before="0" w:after="0"/>
        <w:ind w:right="11"/>
        <w:jc w:val="center"/>
        <w:rPr>
          <w:rFonts w:ascii="Tahoma" w:hAnsi="Tahoma" w:cs="Tahoma"/>
          <w:b/>
          <w:bCs/>
        </w:rPr>
      </w:pPr>
    </w:p>
    <w:p w14:paraId="37DE5BC6" w14:textId="77777777" w:rsidR="00B06E2B" w:rsidRDefault="00B06E2B" w:rsidP="00B06E2B">
      <w:pPr>
        <w:pStyle w:val="a5"/>
        <w:keepNext/>
        <w:widowControl w:val="0"/>
        <w:spacing w:before="0" w:after="0"/>
        <w:ind w:right="11"/>
        <w:jc w:val="center"/>
        <w:rPr>
          <w:rFonts w:ascii="Tahoma" w:hAnsi="Tahoma" w:cs="Tahoma"/>
          <w:b/>
          <w:bCs/>
          <w:sz w:val="18"/>
        </w:rPr>
      </w:pPr>
    </w:p>
    <w:p w14:paraId="68739B49" w14:textId="77777777" w:rsidR="00B06E2B" w:rsidRDefault="00B06E2B" w:rsidP="00B06E2B">
      <w:pPr>
        <w:pStyle w:val="a5"/>
        <w:keepNext/>
        <w:widowControl w:val="0"/>
        <w:spacing w:before="0" w:after="0"/>
        <w:ind w:right="11"/>
        <w:jc w:val="center"/>
        <w:rPr>
          <w:rFonts w:ascii="Tahoma" w:hAnsi="Tahoma" w:cs="Tahoma"/>
          <w:b/>
          <w:bCs/>
          <w:sz w:val="18"/>
        </w:rPr>
      </w:pPr>
    </w:p>
    <w:p w14:paraId="36192FFD" w14:textId="77777777" w:rsidR="00B06E2B" w:rsidRDefault="00B06E2B" w:rsidP="00B06E2B">
      <w:pPr>
        <w:pStyle w:val="a5"/>
        <w:keepNext/>
        <w:widowControl w:val="0"/>
        <w:spacing w:before="0" w:after="0"/>
        <w:ind w:right="11"/>
        <w:jc w:val="center"/>
        <w:rPr>
          <w:rFonts w:ascii="Tahoma" w:hAnsi="Tahoma" w:cs="Tahoma"/>
          <w:b/>
          <w:bCs/>
          <w:sz w:val="18"/>
        </w:rPr>
      </w:pPr>
    </w:p>
    <w:p w14:paraId="7F52C909" w14:textId="77777777" w:rsidR="00B06E2B" w:rsidRPr="001D6B94" w:rsidRDefault="00B06E2B" w:rsidP="00B06E2B">
      <w:pPr>
        <w:pStyle w:val="a5"/>
        <w:keepNext/>
        <w:widowControl w:val="0"/>
        <w:spacing w:before="0" w:after="0"/>
        <w:ind w:right="11"/>
        <w:jc w:val="center"/>
        <w:rPr>
          <w:rFonts w:ascii="Tahoma" w:hAnsi="Tahoma" w:cs="Tahoma"/>
          <w:b/>
          <w:bCs/>
          <w:sz w:val="22"/>
          <w:szCs w:val="22"/>
        </w:rPr>
      </w:pPr>
      <w:r w:rsidRPr="001D6B94">
        <w:rPr>
          <w:rFonts w:ascii="Tahoma" w:hAnsi="Tahoma"/>
          <w:b/>
          <w:sz w:val="22"/>
          <w:szCs w:val="22"/>
        </w:rPr>
        <w:t>List of Parameters for Cash-Settled Euro Currency Pair Futures Contracts</w:t>
      </w:r>
    </w:p>
    <w:p w14:paraId="25F74D17" w14:textId="77777777" w:rsidR="00B06E2B" w:rsidRDefault="00B06E2B" w:rsidP="00B06E2B">
      <w:pPr>
        <w:pStyle w:val="a5"/>
        <w:keepNext/>
        <w:widowControl w:val="0"/>
        <w:spacing w:before="0" w:after="0"/>
        <w:ind w:right="11"/>
        <w:jc w:val="center"/>
        <w:rPr>
          <w:rFonts w:ascii="Tahoma" w:hAnsi="Tahoma" w:cs="Tahoma"/>
          <w:b/>
          <w:bCs/>
          <w:sz w:val="18"/>
        </w:rPr>
      </w:pPr>
      <w:r>
        <w:rPr>
          <w:rFonts w:ascii="Tahoma" w:hAnsi="Tahoma"/>
          <w:b/>
          <w:sz w:val="18"/>
        </w:rPr>
        <w:t xml:space="preserve"> </w:t>
      </w:r>
    </w:p>
    <w:p w14:paraId="1B5537B6" w14:textId="77777777" w:rsidR="00B06E2B" w:rsidRPr="00E4075A" w:rsidRDefault="00B06E2B" w:rsidP="00B06E2B">
      <w:pPr>
        <w:pStyle w:val="a5"/>
        <w:keepNext/>
        <w:widowControl w:val="0"/>
        <w:spacing w:before="0" w:after="0"/>
        <w:ind w:right="11"/>
        <w:jc w:val="center"/>
        <w:rPr>
          <w:rFonts w:ascii="Tahoma" w:hAnsi="Tahoma" w:cs="Tahoma"/>
          <w:b/>
          <w:bCs/>
          <w:sz w:val="18"/>
        </w:rPr>
      </w:pPr>
    </w:p>
    <w:p w14:paraId="2F46F81E" w14:textId="77777777" w:rsidR="00B06E2B" w:rsidRPr="00FC0245" w:rsidRDefault="00B06E2B" w:rsidP="00B06E2B">
      <w:pPr>
        <w:pStyle w:val="a5"/>
        <w:keepNext/>
        <w:widowControl w:val="0"/>
        <w:spacing w:before="0" w:after="0"/>
        <w:ind w:right="11"/>
        <w:jc w:val="center"/>
        <w:rPr>
          <w:rFonts w:ascii="Tahoma" w:hAnsi="Tahoma" w:cs="Tahoma"/>
          <w:b/>
          <w:bCs/>
          <w:sz w:val="22"/>
          <w:szCs w:val="22"/>
        </w:rPr>
      </w:pPr>
    </w:p>
    <w:tbl>
      <w:tblPr>
        <w:tblStyle w:val="af8"/>
        <w:tblW w:w="14039" w:type="dxa"/>
        <w:jc w:val="center"/>
        <w:tblLayout w:type="fixed"/>
        <w:tblLook w:val="04A0" w:firstRow="1" w:lastRow="0" w:firstColumn="1" w:lastColumn="0" w:noHBand="0" w:noVBand="1"/>
      </w:tblPr>
      <w:tblGrid>
        <w:gridCol w:w="416"/>
        <w:gridCol w:w="3090"/>
        <w:gridCol w:w="1123"/>
        <w:gridCol w:w="1685"/>
        <w:gridCol w:w="1264"/>
        <w:gridCol w:w="1545"/>
        <w:gridCol w:w="1545"/>
        <w:gridCol w:w="1826"/>
        <w:gridCol w:w="1545"/>
      </w:tblGrid>
      <w:tr w:rsidR="00B06E2B" w:rsidRPr="00CD2745" w14:paraId="408457C8" w14:textId="77777777" w:rsidTr="009B6476">
        <w:trPr>
          <w:trHeight w:val="1711"/>
          <w:jc w:val="center"/>
        </w:trPr>
        <w:tc>
          <w:tcPr>
            <w:tcW w:w="416" w:type="dxa"/>
            <w:vAlign w:val="center"/>
          </w:tcPr>
          <w:p w14:paraId="50A956D0" w14:textId="77777777" w:rsidR="00B06E2B" w:rsidRPr="001B0D59" w:rsidRDefault="00B06E2B" w:rsidP="009B6476">
            <w:pPr>
              <w:jc w:val="center"/>
              <w:rPr>
                <w:rFonts w:ascii="Tahoma" w:hAnsi="Tahoma" w:cs="Tahoma"/>
                <w:b/>
                <w:sz w:val="16"/>
                <w:szCs w:val="20"/>
              </w:rPr>
            </w:pPr>
            <w:r>
              <w:rPr>
                <w:rFonts w:ascii="Tahoma" w:hAnsi="Tahoma"/>
                <w:b/>
                <w:sz w:val="16"/>
              </w:rPr>
              <w:t>No.</w:t>
            </w:r>
          </w:p>
        </w:tc>
        <w:tc>
          <w:tcPr>
            <w:tcW w:w="3090" w:type="dxa"/>
            <w:vAlign w:val="center"/>
          </w:tcPr>
          <w:p w14:paraId="0B744115" w14:textId="77777777" w:rsidR="00B06E2B" w:rsidRPr="001B0D59" w:rsidRDefault="00B06E2B" w:rsidP="009B6476">
            <w:pPr>
              <w:rPr>
                <w:rFonts w:ascii="Tahoma" w:hAnsi="Tahoma" w:cs="Tahoma"/>
                <w:b/>
                <w:sz w:val="16"/>
                <w:szCs w:val="20"/>
              </w:rPr>
            </w:pPr>
            <w:r>
              <w:rPr>
                <w:rFonts w:ascii="Tahoma" w:hAnsi="Tahoma"/>
                <w:b/>
                <w:sz w:val="16"/>
              </w:rPr>
              <w:t>Name of the Contract</w:t>
            </w:r>
          </w:p>
        </w:tc>
        <w:tc>
          <w:tcPr>
            <w:tcW w:w="1123" w:type="dxa"/>
            <w:vAlign w:val="center"/>
          </w:tcPr>
          <w:p w14:paraId="05F17C1A" w14:textId="77777777" w:rsidR="00B06E2B" w:rsidRPr="001B0D59" w:rsidRDefault="00B06E2B" w:rsidP="009B6476">
            <w:pPr>
              <w:rPr>
                <w:rFonts w:ascii="Tahoma" w:hAnsi="Tahoma" w:cs="Tahoma"/>
                <w:b/>
                <w:sz w:val="16"/>
                <w:szCs w:val="20"/>
              </w:rPr>
            </w:pPr>
            <w:r>
              <w:rPr>
                <w:rFonts w:ascii="Tahoma" w:hAnsi="Tahoma"/>
                <w:b/>
                <w:sz w:val="16"/>
              </w:rPr>
              <w:t>Code of the underlying asset</w:t>
            </w:r>
          </w:p>
        </w:tc>
        <w:tc>
          <w:tcPr>
            <w:tcW w:w="1685" w:type="dxa"/>
            <w:vAlign w:val="center"/>
          </w:tcPr>
          <w:p w14:paraId="1C32B123" w14:textId="77777777" w:rsidR="00B06E2B" w:rsidRPr="001B0D59" w:rsidRDefault="00B06E2B" w:rsidP="009B6476">
            <w:pPr>
              <w:rPr>
                <w:rFonts w:ascii="Tahoma" w:hAnsi="Tahoma" w:cs="Tahoma"/>
                <w:b/>
                <w:sz w:val="16"/>
                <w:szCs w:val="20"/>
              </w:rPr>
            </w:pPr>
            <w:r>
              <w:rPr>
                <w:rFonts w:ascii="Tahoma" w:hAnsi="Tahoma"/>
                <w:b/>
                <w:sz w:val="16"/>
              </w:rPr>
              <w:t>Underlying asset</w:t>
            </w:r>
          </w:p>
        </w:tc>
        <w:tc>
          <w:tcPr>
            <w:tcW w:w="1264" w:type="dxa"/>
            <w:vAlign w:val="center"/>
          </w:tcPr>
          <w:p w14:paraId="5FC24E53" w14:textId="77777777" w:rsidR="00B06E2B" w:rsidRPr="001B0D59" w:rsidRDefault="00B06E2B" w:rsidP="009B6476">
            <w:pPr>
              <w:rPr>
                <w:rFonts w:ascii="Tahoma" w:hAnsi="Tahoma" w:cs="Tahoma"/>
                <w:b/>
                <w:sz w:val="16"/>
                <w:szCs w:val="20"/>
              </w:rPr>
            </w:pPr>
            <w:r>
              <w:rPr>
                <w:rFonts w:ascii="Tahoma" w:hAnsi="Tahoma"/>
                <w:b/>
                <w:sz w:val="16"/>
              </w:rPr>
              <w:t>Contract lot</w:t>
            </w:r>
          </w:p>
          <w:p w14:paraId="3C43B259" w14:textId="77777777" w:rsidR="00B06E2B" w:rsidRPr="001B0D59" w:rsidRDefault="00B06E2B" w:rsidP="009B6476">
            <w:pPr>
              <w:rPr>
                <w:rFonts w:ascii="Tahoma" w:hAnsi="Tahoma" w:cs="Tahoma"/>
                <w:b/>
                <w:sz w:val="16"/>
                <w:szCs w:val="20"/>
              </w:rPr>
            </w:pPr>
          </w:p>
        </w:tc>
        <w:tc>
          <w:tcPr>
            <w:tcW w:w="1545" w:type="dxa"/>
            <w:vAlign w:val="center"/>
          </w:tcPr>
          <w:p w14:paraId="0C1DE544" w14:textId="77777777" w:rsidR="00B06E2B" w:rsidRPr="001B0D59" w:rsidRDefault="00B06E2B" w:rsidP="009B6476">
            <w:pPr>
              <w:rPr>
                <w:rFonts w:ascii="Tahoma" w:hAnsi="Tahoma" w:cs="Tahoma"/>
                <w:b/>
                <w:sz w:val="16"/>
                <w:szCs w:val="20"/>
              </w:rPr>
            </w:pPr>
            <w:r>
              <w:rPr>
                <w:rFonts w:ascii="Tahoma" w:hAnsi="Tahoma"/>
                <w:b/>
                <w:sz w:val="16"/>
              </w:rPr>
              <w:t>Tick</w:t>
            </w:r>
          </w:p>
        </w:tc>
        <w:tc>
          <w:tcPr>
            <w:tcW w:w="1545" w:type="dxa"/>
            <w:vAlign w:val="center"/>
          </w:tcPr>
          <w:p w14:paraId="71F10883" w14:textId="77777777" w:rsidR="00B06E2B" w:rsidRPr="001B0D59" w:rsidRDefault="00B06E2B" w:rsidP="009B6476">
            <w:pPr>
              <w:rPr>
                <w:rFonts w:ascii="Tahoma" w:hAnsi="Tahoma" w:cs="Tahoma"/>
                <w:b/>
                <w:sz w:val="16"/>
                <w:szCs w:val="20"/>
              </w:rPr>
            </w:pPr>
            <w:r>
              <w:rPr>
                <w:rFonts w:ascii="Tahoma" w:hAnsi="Tahoma"/>
                <w:b/>
                <w:sz w:val="16"/>
              </w:rPr>
              <w:t>Tick value</w:t>
            </w:r>
          </w:p>
        </w:tc>
        <w:tc>
          <w:tcPr>
            <w:tcW w:w="1826" w:type="dxa"/>
            <w:vAlign w:val="center"/>
          </w:tcPr>
          <w:p w14:paraId="46E08D3D" w14:textId="77777777" w:rsidR="00B06E2B" w:rsidRPr="00C10593" w:rsidRDefault="00B06E2B" w:rsidP="009B6476">
            <w:pPr>
              <w:rPr>
                <w:rFonts w:ascii="Tahoma" w:hAnsi="Tahoma" w:cs="Tahoma"/>
                <w:b/>
                <w:sz w:val="16"/>
                <w:szCs w:val="20"/>
              </w:rPr>
            </w:pPr>
            <w:r>
              <w:rPr>
                <w:rFonts w:ascii="Tahoma" w:hAnsi="Tahoma"/>
                <w:b/>
                <w:sz w:val="16"/>
              </w:rPr>
              <w:t>Source of information on the Euro exchange rate against foreign currency</w:t>
            </w:r>
            <w:r>
              <w:rPr>
                <w:rStyle w:val="af1"/>
                <w:rFonts w:ascii="Tahoma" w:hAnsi="Tahoma" w:cs="Tahoma"/>
                <w:b/>
                <w:sz w:val="16"/>
                <w:szCs w:val="20"/>
              </w:rPr>
              <w:footnoteReference w:id="2"/>
            </w:r>
          </w:p>
          <w:p w14:paraId="2F973C8C" w14:textId="77777777" w:rsidR="00B06E2B" w:rsidRPr="00C10593" w:rsidRDefault="00B06E2B" w:rsidP="009B6476">
            <w:pPr>
              <w:rPr>
                <w:rFonts w:ascii="Tahoma" w:hAnsi="Tahoma" w:cs="Tahoma"/>
                <w:b/>
                <w:sz w:val="16"/>
                <w:szCs w:val="20"/>
              </w:rPr>
            </w:pPr>
          </w:p>
        </w:tc>
        <w:tc>
          <w:tcPr>
            <w:tcW w:w="1545" w:type="dxa"/>
            <w:vAlign w:val="center"/>
          </w:tcPr>
          <w:p w14:paraId="57FA831A" w14:textId="77777777" w:rsidR="00B06E2B" w:rsidRPr="001B0D59" w:rsidRDefault="00B06E2B" w:rsidP="009B6476">
            <w:pPr>
              <w:rPr>
                <w:rFonts w:ascii="Tahoma" w:hAnsi="Tahoma" w:cs="Tahoma"/>
                <w:b/>
                <w:sz w:val="16"/>
                <w:szCs w:val="20"/>
              </w:rPr>
            </w:pPr>
            <w:r>
              <w:rPr>
                <w:rFonts w:ascii="Tahoma" w:hAnsi="Tahoma"/>
                <w:b/>
                <w:sz w:val="16"/>
              </w:rPr>
              <w:t>The time of publication of the Euro exchange rate</w:t>
            </w:r>
          </w:p>
        </w:tc>
      </w:tr>
      <w:tr w:rsidR="00B06E2B" w:rsidRPr="00CD2745" w14:paraId="28FE2EEC" w14:textId="77777777" w:rsidTr="009B6476">
        <w:trPr>
          <w:trHeight w:val="555"/>
          <w:jc w:val="center"/>
        </w:trPr>
        <w:tc>
          <w:tcPr>
            <w:tcW w:w="416" w:type="dxa"/>
            <w:vAlign w:val="center"/>
          </w:tcPr>
          <w:p w14:paraId="30287D9B" w14:textId="77777777" w:rsidR="00B06E2B" w:rsidRPr="00031862" w:rsidRDefault="00B06E2B" w:rsidP="009B6476">
            <w:pPr>
              <w:ind w:right="-243"/>
              <w:rPr>
                <w:rFonts w:ascii="Tahoma" w:hAnsi="Tahoma" w:cs="Tahoma"/>
                <w:sz w:val="16"/>
                <w:szCs w:val="20"/>
              </w:rPr>
            </w:pPr>
            <w:r>
              <w:rPr>
                <w:rFonts w:ascii="Tahoma" w:hAnsi="Tahoma"/>
                <w:sz w:val="16"/>
              </w:rPr>
              <w:t>1</w:t>
            </w:r>
          </w:p>
        </w:tc>
        <w:tc>
          <w:tcPr>
            <w:tcW w:w="3090" w:type="dxa"/>
            <w:vAlign w:val="center"/>
          </w:tcPr>
          <w:p w14:paraId="1C677702" w14:textId="77777777" w:rsidR="00B06E2B" w:rsidRPr="001B0D59" w:rsidRDefault="00B06E2B" w:rsidP="009B6476">
            <w:pPr>
              <w:rPr>
                <w:rFonts w:ascii="Tahoma" w:hAnsi="Tahoma" w:cs="Tahoma"/>
                <w:sz w:val="16"/>
                <w:szCs w:val="20"/>
              </w:rPr>
            </w:pPr>
            <w:r>
              <w:rPr>
                <w:rFonts w:ascii="Tahoma" w:hAnsi="Tahoma"/>
                <w:sz w:val="16"/>
              </w:rPr>
              <w:t xml:space="preserve">EUR/GBP FX futures contract </w:t>
            </w:r>
          </w:p>
        </w:tc>
        <w:tc>
          <w:tcPr>
            <w:tcW w:w="1123" w:type="dxa"/>
            <w:vAlign w:val="center"/>
          </w:tcPr>
          <w:p w14:paraId="484D3715" w14:textId="77777777" w:rsidR="00B06E2B" w:rsidRPr="004B77C6" w:rsidRDefault="00B06E2B" w:rsidP="009B6476">
            <w:pPr>
              <w:tabs>
                <w:tab w:val="num" w:pos="1260"/>
              </w:tabs>
              <w:ind w:left="1260" w:hanging="1226"/>
              <w:jc w:val="center"/>
              <w:rPr>
                <w:rFonts w:ascii="Tahoma" w:hAnsi="Tahoma" w:cs="Tahoma"/>
                <w:sz w:val="16"/>
                <w:szCs w:val="20"/>
              </w:rPr>
            </w:pPr>
            <w:r>
              <w:rPr>
                <w:rFonts w:ascii="Tahoma" w:hAnsi="Tahoma"/>
                <w:sz w:val="16"/>
              </w:rPr>
              <w:t>EGBP</w:t>
            </w:r>
          </w:p>
        </w:tc>
        <w:tc>
          <w:tcPr>
            <w:tcW w:w="1685" w:type="dxa"/>
            <w:vAlign w:val="center"/>
          </w:tcPr>
          <w:p w14:paraId="5546F2AD" w14:textId="77777777" w:rsidR="00B06E2B" w:rsidRPr="0072736C" w:rsidRDefault="00B06E2B" w:rsidP="009B6476">
            <w:pPr>
              <w:rPr>
                <w:rFonts w:ascii="Tahoma" w:hAnsi="Tahoma" w:cs="Tahoma"/>
                <w:sz w:val="16"/>
                <w:szCs w:val="20"/>
              </w:rPr>
            </w:pPr>
            <w:r>
              <w:rPr>
                <w:rFonts w:ascii="Tahoma" w:hAnsi="Tahoma"/>
                <w:sz w:val="16"/>
              </w:rPr>
              <w:t>EUR/GBP FX rate</w:t>
            </w:r>
          </w:p>
        </w:tc>
        <w:tc>
          <w:tcPr>
            <w:tcW w:w="1264" w:type="dxa"/>
            <w:vAlign w:val="center"/>
          </w:tcPr>
          <w:p w14:paraId="1DD8ACB8" w14:textId="77777777" w:rsidR="00B06E2B" w:rsidRPr="00610AB1" w:rsidRDefault="00B06E2B" w:rsidP="009B6476">
            <w:pPr>
              <w:jc w:val="center"/>
              <w:rPr>
                <w:rFonts w:ascii="Tahoma" w:hAnsi="Tahoma" w:cs="Tahoma"/>
                <w:sz w:val="16"/>
                <w:szCs w:val="16"/>
              </w:rPr>
            </w:pPr>
            <w:r>
              <w:rPr>
                <w:rFonts w:ascii="Tahoma" w:hAnsi="Tahoma"/>
                <w:sz w:val="16"/>
              </w:rPr>
              <w:t>EUR 1,000</w:t>
            </w:r>
          </w:p>
        </w:tc>
        <w:tc>
          <w:tcPr>
            <w:tcW w:w="1545" w:type="dxa"/>
            <w:vAlign w:val="center"/>
          </w:tcPr>
          <w:p w14:paraId="1C66C877" w14:textId="77777777" w:rsidR="00B06E2B" w:rsidRPr="004B77C6" w:rsidRDefault="00B06E2B" w:rsidP="009B6476">
            <w:pPr>
              <w:jc w:val="center"/>
              <w:rPr>
                <w:rFonts w:ascii="Tahoma" w:hAnsi="Tahoma" w:cs="Tahoma"/>
                <w:sz w:val="16"/>
                <w:szCs w:val="16"/>
              </w:rPr>
            </w:pPr>
            <w:r>
              <w:rPr>
                <w:rFonts w:ascii="Tahoma" w:hAnsi="Tahoma"/>
                <w:sz w:val="16"/>
              </w:rPr>
              <w:t>0.0001 points</w:t>
            </w:r>
          </w:p>
        </w:tc>
        <w:tc>
          <w:tcPr>
            <w:tcW w:w="1545" w:type="dxa"/>
            <w:vAlign w:val="center"/>
          </w:tcPr>
          <w:p w14:paraId="2E254ADC" w14:textId="77777777" w:rsidR="00B06E2B" w:rsidRPr="00610AB1" w:rsidRDefault="00B06E2B" w:rsidP="009B6476">
            <w:pPr>
              <w:jc w:val="center"/>
              <w:rPr>
                <w:rFonts w:ascii="Tahoma" w:hAnsi="Tahoma" w:cs="Tahoma"/>
                <w:sz w:val="16"/>
                <w:szCs w:val="16"/>
              </w:rPr>
            </w:pPr>
            <w:r>
              <w:rPr>
                <w:rFonts w:ascii="Tahoma" w:hAnsi="Tahoma"/>
                <w:sz w:val="16"/>
              </w:rPr>
              <w:t>GBP 0.1</w:t>
            </w:r>
          </w:p>
        </w:tc>
        <w:tc>
          <w:tcPr>
            <w:tcW w:w="1826" w:type="dxa"/>
            <w:vMerge w:val="restart"/>
            <w:vAlign w:val="center"/>
          </w:tcPr>
          <w:p w14:paraId="67B5944A" w14:textId="77777777" w:rsidR="00B06E2B" w:rsidRPr="00C03D3F" w:rsidRDefault="00B06E2B" w:rsidP="009B6476">
            <w:pPr>
              <w:rPr>
                <w:rFonts w:ascii="Tahoma" w:hAnsi="Tahoma" w:cs="Tahoma"/>
                <w:sz w:val="16"/>
                <w:szCs w:val="22"/>
              </w:rPr>
            </w:pPr>
            <w:r>
              <w:rPr>
                <w:rFonts w:ascii="Tahoma" w:hAnsi="Tahoma"/>
                <w:sz w:val="16"/>
              </w:rPr>
              <w:t>Thomson Reuters (WMRates)</w:t>
            </w:r>
          </w:p>
          <w:p w14:paraId="3C06C7D4" w14:textId="77777777" w:rsidR="00B06E2B" w:rsidRPr="00C03D3F" w:rsidRDefault="00B06E2B" w:rsidP="009B6476">
            <w:pPr>
              <w:rPr>
                <w:rFonts w:ascii="Tahoma" w:hAnsi="Tahoma" w:cs="Tahoma"/>
                <w:sz w:val="16"/>
                <w:szCs w:val="22"/>
                <w:lang w:val="en-US"/>
              </w:rPr>
            </w:pPr>
          </w:p>
        </w:tc>
        <w:tc>
          <w:tcPr>
            <w:tcW w:w="1545" w:type="dxa"/>
            <w:vMerge w:val="restart"/>
            <w:vAlign w:val="center"/>
          </w:tcPr>
          <w:p w14:paraId="6B2CEDE6" w14:textId="77777777" w:rsidR="00B06E2B" w:rsidRPr="00610AB1" w:rsidRDefault="00B06E2B" w:rsidP="009B6476">
            <w:pPr>
              <w:jc w:val="center"/>
              <w:rPr>
                <w:rFonts w:ascii="Tahoma" w:hAnsi="Tahoma" w:cs="Tahoma"/>
                <w:sz w:val="16"/>
                <w:szCs w:val="16"/>
              </w:rPr>
            </w:pPr>
            <w:r>
              <w:rPr>
                <w:rFonts w:ascii="Tahoma" w:hAnsi="Tahoma"/>
                <w:b/>
                <w:sz w:val="16"/>
              </w:rPr>
              <w:t>11:00</w:t>
            </w:r>
            <w:r>
              <w:rPr>
                <w:rFonts w:ascii="Tahoma" w:hAnsi="Tahoma"/>
                <w:sz w:val="16"/>
              </w:rPr>
              <w:t xml:space="preserve"> London time</w:t>
            </w:r>
          </w:p>
          <w:p w14:paraId="35AF813F" w14:textId="77777777" w:rsidR="00B06E2B" w:rsidRPr="00610AB1" w:rsidRDefault="00B06E2B" w:rsidP="009B6476">
            <w:pPr>
              <w:jc w:val="center"/>
              <w:rPr>
                <w:rFonts w:ascii="Tahoma" w:hAnsi="Tahoma" w:cs="Tahoma"/>
                <w:sz w:val="16"/>
                <w:szCs w:val="16"/>
              </w:rPr>
            </w:pPr>
          </w:p>
        </w:tc>
      </w:tr>
      <w:tr w:rsidR="00B06E2B" w:rsidRPr="00CD2745" w14:paraId="2C4B6496" w14:textId="77777777" w:rsidTr="009B6476">
        <w:trPr>
          <w:trHeight w:val="866"/>
          <w:jc w:val="center"/>
        </w:trPr>
        <w:tc>
          <w:tcPr>
            <w:tcW w:w="416" w:type="dxa"/>
            <w:vAlign w:val="center"/>
          </w:tcPr>
          <w:p w14:paraId="3A5ACFD4" w14:textId="77777777" w:rsidR="00B06E2B" w:rsidRPr="00031862" w:rsidRDefault="00B06E2B" w:rsidP="009B6476">
            <w:pPr>
              <w:rPr>
                <w:rFonts w:ascii="Tahoma" w:hAnsi="Tahoma" w:cs="Tahoma"/>
                <w:sz w:val="16"/>
                <w:szCs w:val="20"/>
              </w:rPr>
            </w:pPr>
            <w:r>
              <w:rPr>
                <w:rFonts w:ascii="Tahoma" w:hAnsi="Tahoma"/>
                <w:sz w:val="16"/>
              </w:rPr>
              <w:t>2</w:t>
            </w:r>
          </w:p>
        </w:tc>
        <w:tc>
          <w:tcPr>
            <w:tcW w:w="3090" w:type="dxa"/>
            <w:vAlign w:val="center"/>
          </w:tcPr>
          <w:p w14:paraId="48E3C56B" w14:textId="77777777" w:rsidR="00B06E2B" w:rsidRPr="0072736C" w:rsidRDefault="00B06E2B" w:rsidP="009B6476">
            <w:pPr>
              <w:rPr>
                <w:rFonts w:ascii="Tahoma" w:hAnsi="Tahoma" w:cs="Tahoma"/>
                <w:sz w:val="16"/>
                <w:szCs w:val="20"/>
              </w:rPr>
            </w:pPr>
            <w:r>
              <w:rPr>
                <w:rFonts w:ascii="Tahoma" w:hAnsi="Tahoma"/>
                <w:sz w:val="16"/>
              </w:rPr>
              <w:t>EUR/CAD FX futures contract</w:t>
            </w:r>
          </w:p>
        </w:tc>
        <w:tc>
          <w:tcPr>
            <w:tcW w:w="1123" w:type="dxa"/>
            <w:vAlign w:val="center"/>
          </w:tcPr>
          <w:p w14:paraId="651965B2" w14:textId="77777777" w:rsidR="00B06E2B" w:rsidRPr="0072736C" w:rsidRDefault="00B06E2B" w:rsidP="009B6476">
            <w:pPr>
              <w:tabs>
                <w:tab w:val="num" w:pos="1260"/>
              </w:tabs>
              <w:ind w:left="1260" w:hanging="1226"/>
              <w:jc w:val="center"/>
              <w:rPr>
                <w:rFonts w:ascii="Tahoma" w:hAnsi="Tahoma" w:cs="Tahoma"/>
                <w:sz w:val="16"/>
                <w:szCs w:val="20"/>
              </w:rPr>
            </w:pPr>
            <w:r>
              <w:rPr>
                <w:rFonts w:ascii="Tahoma" w:hAnsi="Tahoma"/>
                <w:sz w:val="16"/>
              </w:rPr>
              <w:t>ECAD</w:t>
            </w:r>
          </w:p>
        </w:tc>
        <w:tc>
          <w:tcPr>
            <w:tcW w:w="1685" w:type="dxa"/>
            <w:vAlign w:val="center"/>
          </w:tcPr>
          <w:p w14:paraId="1A5F56FA" w14:textId="77777777" w:rsidR="00B06E2B" w:rsidRPr="001B0D59" w:rsidRDefault="00B06E2B" w:rsidP="009B6476">
            <w:pPr>
              <w:rPr>
                <w:rFonts w:ascii="Tahoma" w:hAnsi="Tahoma" w:cs="Tahoma"/>
                <w:sz w:val="16"/>
                <w:szCs w:val="20"/>
              </w:rPr>
            </w:pPr>
            <w:r>
              <w:rPr>
                <w:rFonts w:ascii="Tahoma" w:hAnsi="Tahoma"/>
                <w:sz w:val="16"/>
              </w:rPr>
              <w:t>EUR/CAD FX rate</w:t>
            </w:r>
          </w:p>
        </w:tc>
        <w:tc>
          <w:tcPr>
            <w:tcW w:w="1264" w:type="dxa"/>
            <w:vAlign w:val="center"/>
          </w:tcPr>
          <w:p w14:paraId="56986B38" w14:textId="77777777" w:rsidR="00B06E2B" w:rsidRPr="00610AB1" w:rsidRDefault="00B06E2B" w:rsidP="009B6476">
            <w:pPr>
              <w:tabs>
                <w:tab w:val="num" w:pos="1260"/>
              </w:tabs>
              <w:jc w:val="center"/>
              <w:rPr>
                <w:rFonts w:ascii="Tahoma" w:hAnsi="Tahoma" w:cs="Tahoma"/>
                <w:sz w:val="16"/>
                <w:szCs w:val="16"/>
              </w:rPr>
            </w:pPr>
            <w:r>
              <w:rPr>
                <w:rFonts w:ascii="Tahoma" w:hAnsi="Tahoma"/>
                <w:sz w:val="16"/>
              </w:rPr>
              <w:t>EUR 1,000</w:t>
            </w:r>
          </w:p>
        </w:tc>
        <w:tc>
          <w:tcPr>
            <w:tcW w:w="1545" w:type="dxa"/>
            <w:vAlign w:val="center"/>
          </w:tcPr>
          <w:p w14:paraId="3056183D" w14:textId="77777777" w:rsidR="00B06E2B" w:rsidRPr="004B77C6" w:rsidRDefault="00B06E2B" w:rsidP="009B6476">
            <w:pPr>
              <w:tabs>
                <w:tab w:val="num" w:pos="1260"/>
              </w:tabs>
              <w:jc w:val="center"/>
              <w:rPr>
                <w:rFonts w:ascii="Tahoma" w:hAnsi="Tahoma" w:cs="Tahoma"/>
                <w:sz w:val="16"/>
                <w:szCs w:val="16"/>
              </w:rPr>
            </w:pPr>
            <w:r>
              <w:rPr>
                <w:rFonts w:ascii="Tahoma" w:hAnsi="Tahoma"/>
                <w:sz w:val="16"/>
              </w:rPr>
              <w:t>0.0001 points</w:t>
            </w:r>
          </w:p>
        </w:tc>
        <w:tc>
          <w:tcPr>
            <w:tcW w:w="1545" w:type="dxa"/>
            <w:vAlign w:val="center"/>
          </w:tcPr>
          <w:p w14:paraId="71ECAE47" w14:textId="77777777" w:rsidR="00B06E2B" w:rsidRPr="0072736C" w:rsidRDefault="00B06E2B" w:rsidP="009B6476">
            <w:pPr>
              <w:tabs>
                <w:tab w:val="num" w:pos="1260"/>
              </w:tabs>
              <w:jc w:val="center"/>
              <w:rPr>
                <w:rFonts w:ascii="Tahoma" w:hAnsi="Tahoma" w:cs="Tahoma"/>
                <w:sz w:val="16"/>
                <w:szCs w:val="16"/>
              </w:rPr>
            </w:pPr>
            <w:r>
              <w:rPr>
                <w:rFonts w:ascii="Tahoma" w:hAnsi="Tahoma"/>
                <w:sz w:val="16"/>
              </w:rPr>
              <w:t>CAD 0.1</w:t>
            </w:r>
          </w:p>
        </w:tc>
        <w:tc>
          <w:tcPr>
            <w:tcW w:w="1826" w:type="dxa"/>
            <w:vMerge/>
            <w:vAlign w:val="center"/>
          </w:tcPr>
          <w:p w14:paraId="1FE6DCFF" w14:textId="77777777" w:rsidR="00B06E2B" w:rsidRPr="00C10593" w:rsidRDefault="00B06E2B" w:rsidP="009B6476">
            <w:pPr>
              <w:rPr>
                <w:rFonts w:ascii="Tahoma" w:hAnsi="Tahoma" w:cs="Tahoma"/>
                <w:sz w:val="16"/>
                <w:szCs w:val="22"/>
                <w:lang w:val="en-US"/>
              </w:rPr>
            </w:pPr>
          </w:p>
        </w:tc>
        <w:tc>
          <w:tcPr>
            <w:tcW w:w="1545" w:type="dxa"/>
            <w:vMerge/>
            <w:vAlign w:val="center"/>
          </w:tcPr>
          <w:p w14:paraId="76B8D835" w14:textId="77777777" w:rsidR="00B06E2B" w:rsidRPr="00610AB1" w:rsidRDefault="00B06E2B" w:rsidP="009B6476">
            <w:pPr>
              <w:tabs>
                <w:tab w:val="num" w:pos="1260"/>
              </w:tabs>
              <w:rPr>
                <w:rFonts w:ascii="Tahoma" w:hAnsi="Tahoma" w:cs="Tahoma"/>
                <w:sz w:val="16"/>
                <w:szCs w:val="16"/>
              </w:rPr>
            </w:pPr>
          </w:p>
        </w:tc>
      </w:tr>
      <w:tr w:rsidR="00B06E2B" w:rsidRPr="00CD2745" w14:paraId="30D19A61" w14:textId="77777777" w:rsidTr="009B6476">
        <w:trPr>
          <w:trHeight w:val="866"/>
          <w:jc w:val="center"/>
        </w:trPr>
        <w:tc>
          <w:tcPr>
            <w:tcW w:w="416" w:type="dxa"/>
            <w:vAlign w:val="center"/>
          </w:tcPr>
          <w:p w14:paraId="635EA7BB" w14:textId="77777777" w:rsidR="00B06E2B" w:rsidRDefault="00B06E2B" w:rsidP="009B6476">
            <w:pPr>
              <w:rPr>
                <w:rFonts w:ascii="Tahoma" w:hAnsi="Tahoma" w:cs="Tahoma"/>
                <w:sz w:val="16"/>
                <w:szCs w:val="20"/>
              </w:rPr>
            </w:pPr>
            <w:r>
              <w:rPr>
                <w:rFonts w:ascii="Tahoma" w:hAnsi="Tahoma"/>
                <w:sz w:val="16"/>
              </w:rPr>
              <w:t>3</w:t>
            </w:r>
          </w:p>
        </w:tc>
        <w:tc>
          <w:tcPr>
            <w:tcW w:w="3090" w:type="dxa"/>
            <w:vAlign w:val="center"/>
          </w:tcPr>
          <w:p w14:paraId="41559796" w14:textId="77777777" w:rsidR="00B06E2B" w:rsidRPr="004B77C6" w:rsidRDefault="00B06E2B" w:rsidP="009B6476">
            <w:pPr>
              <w:rPr>
                <w:rFonts w:ascii="Tahoma" w:hAnsi="Tahoma" w:cs="Tahoma"/>
                <w:sz w:val="16"/>
                <w:szCs w:val="20"/>
              </w:rPr>
            </w:pPr>
            <w:r>
              <w:rPr>
                <w:rFonts w:ascii="Tahoma" w:hAnsi="Tahoma"/>
                <w:sz w:val="16"/>
              </w:rPr>
              <w:t>EUR/JPY FX futures contract</w:t>
            </w:r>
          </w:p>
        </w:tc>
        <w:tc>
          <w:tcPr>
            <w:tcW w:w="1123" w:type="dxa"/>
            <w:vAlign w:val="center"/>
          </w:tcPr>
          <w:p w14:paraId="0BA5297E" w14:textId="77777777" w:rsidR="00B06E2B" w:rsidRDefault="00B06E2B" w:rsidP="009B6476">
            <w:pPr>
              <w:tabs>
                <w:tab w:val="num" w:pos="1260"/>
              </w:tabs>
              <w:ind w:left="1260" w:hanging="1226"/>
              <w:jc w:val="center"/>
              <w:rPr>
                <w:rFonts w:ascii="Tahoma" w:hAnsi="Tahoma" w:cs="Tahoma"/>
                <w:sz w:val="16"/>
                <w:szCs w:val="20"/>
              </w:rPr>
            </w:pPr>
            <w:r>
              <w:rPr>
                <w:rFonts w:ascii="Tahoma" w:hAnsi="Tahoma"/>
                <w:sz w:val="16"/>
              </w:rPr>
              <w:t>EJPY</w:t>
            </w:r>
          </w:p>
        </w:tc>
        <w:tc>
          <w:tcPr>
            <w:tcW w:w="1685" w:type="dxa"/>
            <w:vAlign w:val="center"/>
          </w:tcPr>
          <w:p w14:paraId="5A356BA3" w14:textId="77777777" w:rsidR="00B06E2B" w:rsidRPr="001B0D59" w:rsidRDefault="00B06E2B" w:rsidP="009B6476">
            <w:pPr>
              <w:rPr>
                <w:rFonts w:ascii="Tahoma" w:hAnsi="Tahoma" w:cs="Tahoma"/>
                <w:sz w:val="16"/>
                <w:szCs w:val="20"/>
              </w:rPr>
            </w:pPr>
            <w:r>
              <w:rPr>
                <w:rFonts w:ascii="Tahoma" w:hAnsi="Tahoma"/>
                <w:sz w:val="16"/>
              </w:rPr>
              <w:t>EUR/JPY FX rate</w:t>
            </w:r>
          </w:p>
        </w:tc>
        <w:tc>
          <w:tcPr>
            <w:tcW w:w="1264" w:type="dxa"/>
            <w:vAlign w:val="center"/>
          </w:tcPr>
          <w:p w14:paraId="4E6F3424" w14:textId="77777777" w:rsidR="00B06E2B" w:rsidRPr="004B77C6" w:rsidRDefault="00B06E2B" w:rsidP="009B6476">
            <w:pPr>
              <w:tabs>
                <w:tab w:val="num" w:pos="1260"/>
              </w:tabs>
              <w:jc w:val="center"/>
              <w:rPr>
                <w:rFonts w:ascii="Tahoma" w:hAnsi="Tahoma" w:cs="Tahoma"/>
                <w:sz w:val="16"/>
                <w:szCs w:val="16"/>
              </w:rPr>
            </w:pPr>
            <w:r>
              <w:rPr>
                <w:rFonts w:ascii="Tahoma" w:hAnsi="Tahoma"/>
                <w:sz w:val="16"/>
              </w:rPr>
              <w:t>EUR 1,000</w:t>
            </w:r>
          </w:p>
        </w:tc>
        <w:tc>
          <w:tcPr>
            <w:tcW w:w="1545" w:type="dxa"/>
            <w:vAlign w:val="center"/>
          </w:tcPr>
          <w:p w14:paraId="1B302072" w14:textId="77777777" w:rsidR="00B06E2B" w:rsidRPr="004B77C6" w:rsidRDefault="00B06E2B" w:rsidP="009B6476">
            <w:pPr>
              <w:tabs>
                <w:tab w:val="num" w:pos="1260"/>
              </w:tabs>
              <w:jc w:val="center"/>
              <w:rPr>
                <w:rFonts w:ascii="Tahoma" w:hAnsi="Tahoma" w:cs="Tahoma"/>
                <w:sz w:val="16"/>
                <w:szCs w:val="16"/>
              </w:rPr>
            </w:pPr>
            <w:r>
              <w:rPr>
                <w:rFonts w:ascii="Tahoma" w:hAnsi="Tahoma"/>
                <w:sz w:val="16"/>
              </w:rPr>
              <w:t>0.01 points</w:t>
            </w:r>
          </w:p>
        </w:tc>
        <w:tc>
          <w:tcPr>
            <w:tcW w:w="1545" w:type="dxa"/>
            <w:vAlign w:val="center"/>
          </w:tcPr>
          <w:p w14:paraId="20598750" w14:textId="77777777" w:rsidR="00B06E2B" w:rsidRPr="004B77C6" w:rsidRDefault="00B06E2B" w:rsidP="009B6476">
            <w:pPr>
              <w:tabs>
                <w:tab w:val="num" w:pos="1260"/>
              </w:tabs>
              <w:jc w:val="center"/>
              <w:rPr>
                <w:rFonts w:ascii="Tahoma" w:hAnsi="Tahoma" w:cs="Tahoma"/>
                <w:sz w:val="16"/>
                <w:szCs w:val="16"/>
              </w:rPr>
            </w:pPr>
            <w:r>
              <w:rPr>
                <w:rFonts w:ascii="Tahoma" w:hAnsi="Tahoma"/>
                <w:sz w:val="16"/>
              </w:rPr>
              <w:t>JPY 10</w:t>
            </w:r>
          </w:p>
        </w:tc>
        <w:tc>
          <w:tcPr>
            <w:tcW w:w="1826" w:type="dxa"/>
            <w:vMerge/>
            <w:vAlign w:val="center"/>
          </w:tcPr>
          <w:p w14:paraId="25A8CFFF" w14:textId="77777777" w:rsidR="00B06E2B" w:rsidRPr="004B77C6" w:rsidRDefault="00B06E2B" w:rsidP="009B6476">
            <w:pPr>
              <w:rPr>
                <w:rFonts w:ascii="Tahoma" w:hAnsi="Tahoma" w:cs="Tahoma"/>
                <w:sz w:val="16"/>
                <w:szCs w:val="22"/>
              </w:rPr>
            </w:pPr>
          </w:p>
        </w:tc>
        <w:tc>
          <w:tcPr>
            <w:tcW w:w="1545" w:type="dxa"/>
            <w:vMerge/>
            <w:vAlign w:val="center"/>
          </w:tcPr>
          <w:p w14:paraId="58402B7F" w14:textId="77777777" w:rsidR="00B06E2B" w:rsidRPr="00610AB1" w:rsidRDefault="00B06E2B" w:rsidP="009B6476">
            <w:pPr>
              <w:tabs>
                <w:tab w:val="num" w:pos="1260"/>
              </w:tabs>
              <w:rPr>
                <w:rFonts w:ascii="Tahoma" w:hAnsi="Tahoma" w:cs="Tahoma"/>
                <w:sz w:val="16"/>
                <w:szCs w:val="16"/>
              </w:rPr>
            </w:pPr>
          </w:p>
        </w:tc>
      </w:tr>
    </w:tbl>
    <w:p w14:paraId="741C3CA6" w14:textId="77777777" w:rsidR="00B06E2B" w:rsidRPr="00052787" w:rsidRDefault="00B06E2B" w:rsidP="00B06E2B">
      <w:pPr>
        <w:spacing w:before="120"/>
        <w:jc w:val="both"/>
        <w:rPr>
          <w:rFonts w:ascii="Tahoma" w:hAnsi="Tahoma" w:cs="Tahoma"/>
          <w:sz w:val="20"/>
          <w:szCs w:val="20"/>
        </w:rPr>
      </w:pPr>
    </w:p>
    <w:sectPr w:rsidR="00B06E2B" w:rsidRPr="00052787" w:rsidSect="00C40F4D">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A739" w14:textId="77777777" w:rsidR="00155155" w:rsidRDefault="00155155">
      <w:r>
        <w:separator/>
      </w:r>
    </w:p>
  </w:endnote>
  <w:endnote w:type="continuationSeparator" w:id="0">
    <w:p w14:paraId="1C67FA29" w14:textId="77777777" w:rsidR="00155155" w:rsidRDefault="0015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C675" w14:textId="77777777" w:rsidR="00F77AE5" w:rsidRPr="00CD1A82" w:rsidRDefault="00F77AE5" w:rsidP="00F63977">
    <w:pPr>
      <w:pStyle w:val="a6"/>
      <w:tabs>
        <w:tab w:val="clear" w:pos="8306"/>
        <w:tab w:val="right" w:pos="9000"/>
      </w:tabs>
      <w:ind w:right="99"/>
      <w:jc w:val="right"/>
      <w:rPr>
        <w:rFonts w:ascii="Tahoma" w:hAnsi="Tahoma" w:cs="Tahoma"/>
        <w:sz w:val="20"/>
        <w:szCs w:val="20"/>
      </w:rPr>
    </w:pPr>
    <w:r w:rsidRPr="00CD1A82">
      <w:rPr>
        <w:rStyle w:val="a7"/>
        <w:rFonts w:ascii="Tahoma" w:hAnsi="Tahoma" w:cs="Tahoma"/>
        <w:sz w:val="20"/>
      </w:rPr>
      <w:fldChar w:fldCharType="begin"/>
    </w:r>
    <w:r w:rsidRPr="00CD1A82">
      <w:rPr>
        <w:rStyle w:val="a7"/>
        <w:rFonts w:ascii="Tahoma" w:hAnsi="Tahoma" w:cs="Tahoma"/>
        <w:sz w:val="20"/>
      </w:rPr>
      <w:instrText xml:space="preserve"> PAGE </w:instrText>
    </w:r>
    <w:r w:rsidRPr="00CD1A82">
      <w:rPr>
        <w:rStyle w:val="a7"/>
        <w:rFonts w:ascii="Tahoma" w:hAnsi="Tahoma" w:cs="Tahoma"/>
        <w:sz w:val="20"/>
      </w:rPr>
      <w:fldChar w:fldCharType="separate"/>
    </w:r>
    <w:r w:rsidR="008A4725">
      <w:rPr>
        <w:rStyle w:val="a7"/>
        <w:rFonts w:ascii="Tahoma" w:hAnsi="Tahoma" w:cs="Tahoma"/>
        <w:sz w:val="20"/>
      </w:rPr>
      <w:t>1</w:t>
    </w:r>
    <w:r w:rsidRPr="00CD1A82">
      <w:rPr>
        <w:rStyle w:val="a7"/>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D69D0" w14:textId="77777777" w:rsidR="00155155" w:rsidRDefault="00155155">
      <w:r>
        <w:separator/>
      </w:r>
    </w:p>
  </w:footnote>
  <w:footnote w:type="continuationSeparator" w:id="0">
    <w:p w14:paraId="0EB1D923" w14:textId="77777777" w:rsidR="00155155" w:rsidRDefault="00155155">
      <w:r>
        <w:continuationSeparator/>
      </w:r>
    </w:p>
  </w:footnote>
  <w:footnote w:id="1">
    <w:p w14:paraId="696D4040" w14:textId="77777777" w:rsidR="004D07D5" w:rsidRPr="00160FA7" w:rsidRDefault="004D07D5" w:rsidP="004D07D5">
      <w:pPr>
        <w:pStyle w:val="af"/>
        <w:jc w:val="both"/>
        <w:rPr>
          <w:rFonts w:ascii="Tahoma" w:hAnsi="Tahoma" w:cs="Tahoma"/>
          <w:sz w:val="16"/>
          <w:szCs w:val="16"/>
        </w:rPr>
      </w:pPr>
      <w:r>
        <w:rPr>
          <w:rFonts w:ascii="Tahoma" w:hAnsi="Tahoma"/>
          <w:sz w:val="16"/>
        </w:rPr>
        <w:t xml:space="preserve">The Exchange and the Clearing Centre shall not be liable for inaccuracy, incompleteness and untimely update of the information on the Euro exchange rate determined and published by the Information Source. </w:t>
      </w:r>
    </w:p>
    <w:p w14:paraId="1F46BD3B" w14:textId="77777777" w:rsidR="004D07D5" w:rsidRDefault="004D07D5">
      <w:pPr>
        <w:pStyle w:val="af"/>
      </w:pPr>
    </w:p>
  </w:footnote>
  <w:footnote w:id="2">
    <w:p w14:paraId="7A4F9C18" w14:textId="77777777" w:rsidR="00B06E2B" w:rsidRPr="00B07985" w:rsidRDefault="00B06E2B" w:rsidP="00B06E2B">
      <w:pPr>
        <w:pStyle w:val="af"/>
        <w:rPr>
          <w:rFonts w:ascii="Tahoma" w:hAnsi="Tahoma" w:cs="Tahoma"/>
          <w:sz w:val="16"/>
          <w:szCs w:val="18"/>
        </w:rPr>
      </w:pPr>
      <w:r>
        <w:rPr>
          <w:rFonts w:ascii="Tahoma" w:hAnsi="Tahoma"/>
          <w:sz w:val="16"/>
        </w:rPr>
        <w:t>1 The Exchange and the Clearing Centre shall not be liable for inaccurate, incomplete and untimely update of the information on Euro exchange rates specified in this List of Parameters.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A08A" w14:textId="77777777" w:rsidR="000E45E9" w:rsidRPr="00BC512C" w:rsidRDefault="000E45E9" w:rsidP="00EE44CB">
    <w:pPr>
      <w:pStyle w:val="af2"/>
      <w:jc w:val="right"/>
      <w:rPr>
        <w:rFonts w:ascii="Tahoma" w:hAnsi="Tahoma" w:cs="Tahoma"/>
        <w:b/>
        <w:sz w:val="20"/>
        <w:szCs w:val="20"/>
      </w:rPr>
    </w:pPr>
    <w:r>
      <w:rPr>
        <w:rFonts w:ascii="Tahoma" w:hAnsi="Tahoma"/>
        <w:b/>
        <w:sz w:val="20"/>
      </w:rPr>
      <w:t xml:space="preserve">Futures Contract Specification </w:t>
    </w:r>
  </w:p>
  <w:p w14:paraId="46E0C5F1" w14:textId="77777777" w:rsidR="000E45E9" w:rsidRPr="003B0D53" w:rsidRDefault="000E45E9" w:rsidP="003B0D53">
    <w:pPr>
      <w:pStyle w:val="af2"/>
      <w:pBdr>
        <w:bottom w:val="single" w:sz="12" w:space="1" w:color="auto"/>
      </w:pBdr>
      <w:jc w:val="right"/>
      <w:rPr>
        <w:rFonts w:ascii="Tahoma" w:hAnsi="Tahoma" w:cs="Tahoma"/>
        <w:b/>
        <w:sz w:val="20"/>
        <w:szCs w:val="20"/>
      </w:rPr>
    </w:pPr>
    <w:r>
      <w:rPr>
        <w:rFonts w:ascii="Tahoma" w:hAnsi="Tahoma"/>
        <w:b/>
        <w:sz w:val="20"/>
      </w:rPr>
      <w:t>Euro Currency Pairs</w:t>
    </w:r>
  </w:p>
  <w:p w14:paraId="38169979" w14:textId="77777777" w:rsidR="003B0D53" w:rsidRPr="003B0D53" w:rsidRDefault="003B0D53" w:rsidP="003B0D53">
    <w:pPr>
      <w:pStyle w:val="af2"/>
      <w:jc w:val="right"/>
      <w:rPr>
        <w:rFonts w:ascii="Tahoma" w:hAnsi="Tahoma" w:cs="Tahom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C5D9B"/>
    <w:multiLevelType w:val="hybridMultilevel"/>
    <w:tmpl w:val="12B643FE"/>
    <w:lvl w:ilvl="0" w:tplc="5414121A">
      <w:start w:val="1"/>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2" w15:restartNumberingAfterBreak="0">
    <w:nsid w:val="3A116BBF"/>
    <w:multiLevelType w:val="multilevel"/>
    <w:tmpl w:val="FB50E608"/>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1418"/>
        </w:tabs>
        <w:ind w:left="1418" w:hanging="567"/>
      </w:pPr>
      <w:rPr>
        <w:rFonts w:ascii="Tahoma" w:hAnsi="Tahoma" w:cs="Tahoma"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 w15:restartNumberingAfterBreak="0">
    <w:nsid w:val="44C73A29"/>
    <w:multiLevelType w:val="hybridMultilevel"/>
    <w:tmpl w:val="D28A898A"/>
    <w:lvl w:ilvl="0" w:tplc="E41C83E0">
      <w:start w:val="2"/>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2C536A"/>
    <w:multiLevelType w:val="hybridMultilevel"/>
    <w:tmpl w:val="29946E30"/>
    <w:lvl w:ilvl="0" w:tplc="0419001B">
      <w:start w:val="1"/>
      <w:numFmt w:val="lowerRoman"/>
      <w:lvlText w:val="%1."/>
      <w:lvlJc w:val="righ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6" w15:restartNumberingAfterBreak="0">
    <w:nsid w:val="5C6A19BC"/>
    <w:multiLevelType w:val="hybridMultilevel"/>
    <w:tmpl w:val="D982E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5E2E5412"/>
    <w:multiLevelType w:val="hybridMultilevel"/>
    <w:tmpl w:val="84B0E09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EF079DB"/>
    <w:multiLevelType w:val="hybridMultilevel"/>
    <w:tmpl w:val="12B643FE"/>
    <w:lvl w:ilvl="0" w:tplc="5414121A">
      <w:start w:val="1"/>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56152E"/>
    <w:multiLevelType w:val="hybridMultilevel"/>
    <w:tmpl w:val="852A0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8"/>
  </w:num>
  <w:num w:numId="6">
    <w:abstractNumId w:val="3"/>
  </w:num>
  <w:num w:numId="7">
    <w:abstractNumId w:val="5"/>
  </w:num>
  <w:num w:numId="8">
    <w:abstractNumId w:val="6"/>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F7"/>
    <w:rsid w:val="00004B65"/>
    <w:rsid w:val="00012C33"/>
    <w:rsid w:val="00016B51"/>
    <w:rsid w:val="00023FA6"/>
    <w:rsid w:val="00036C0D"/>
    <w:rsid w:val="0003706C"/>
    <w:rsid w:val="0004054A"/>
    <w:rsid w:val="0004157C"/>
    <w:rsid w:val="00044619"/>
    <w:rsid w:val="00044A86"/>
    <w:rsid w:val="00046A4F"/>
    <w:rsid w:val="000532A6"/>
    <w:rsid w:val="00056DFE"/>
    <w:rsid w:val="00060C90"/>
    <w:rsid w:val="00061D99"/>
    <w:rsid w:val="00062346"/>
    <w:rsid w:val="000770F6"/>
    <w:rsid w:val="00085B94"/>
    <w:rsid w:val="00096286"/>
    <w:rsid w:val="00097F51"/>
    <w:rsid w:val="000B7EBD"/>
    <w:rsid w:val="000D07DC"/>
    <w:rsid w:val="000D0FEF"/>
    <w:rsid w:val="000D4674"/>
    <w:rsid w:val="000E45E9"/>
    <w:rsid w:val="000E4AB9"/>
    <w:rsid w:val="000E5C43"/>
    <w:rsid w:val="000F4779"/>
    <w:rsid w:val="000F47C8"/>
    <w:rsid w:val="000F633F"/>
    <w:rsid w:val="00103172"/>
    <w:rsid w:val="0012100F"/>
    <w:rsid w:val="00132998"/>
    <w:rsid w:val="0013656B"/>
    <w:rsid w:val="00142B47"/>
    <w:rsid w:val="001448F8"/>
    <w:rsid w:val="001452F3"/>
    <w:rsid w:val="00150383"/>
    <w:rsid w:val="00155155"/>
    <w:rsid w:val="00157581"/>
    <w:rsid w:val="00167814"/>
    <w:rsid w:val="00170706"/>
    <w:rsid w:val="00175AE4"/>
    <w:rsid w:val="001778D6"/>
    <w:rsid w:val="00180466"/>
    <w:rsid w:val="00181170"/>
    <w:rsid w:val="00184296"/>
    <w:rsid w:val="001930AB"/>
    <w:rsid w:val="0019354E"/>
    <w:rsid w:val="001A437C"/>
    <w:rsid w:val="001B4B0A"/>
    <w:rsid w:val="001C5DED"/>
    <w:rsid w:val="001D64F0"/>
    <w:rsid w:val="001D6657"/>
    <w:rsid w:val="001D7F7C"/>
    <w:rsid w:val="001E63B0"/>
    <w:rsid w:val="001E65A6"/>
    <w:rsid w:val="001E715C"/>
    <w:rsid w:val="001F1490"/>
    <w:rsid w:val="001F20F6"/>
    <w:rsid w:val="002029B2"/>
    <w:rsid w:val="00210AD6"/>
    <w:rsid w:val="00214349"/>
    <w:rsid w:val="0021769E"/>
    <w:rsid w:val="002200DE"/>
    <w:rsid w:val="00222731"/>
    <w:rsid w:val="002241A2"/>
    <w:rsid w:val="00225627"/>
    <w:rsid w:val="00226723"/>
    <w:rsid w:val="00230C53"/>
    <w:rsid w:val="002313FD"/>
    <w:rsid w:val="00235E6B"/>
    <w:rsid w:val="00237991"/>
    <w:rsid w:val="0024320C"/>
    <w:rsid w:val="00262083"/>
    <w:rsid w:val="00265C32"/>
    <w:rsid w:val="002666F7"/>
    <w:rsid w:val="00271E4A"/>
    <w:rsid w:val="0027389E"/>
    <w:rsid w:val="00277849"/>
    <w:rsid w:val="00284C54"/>
    <w:rsid w:val="0029336A"/>
    <w:rsid w:val="00294089"/>
    <w:rsid w:val="002C638A"/>
    <w:rsid w:val="002D6CBD"/>
    <w:rsid w:val="002D79B7"/>
    <w:rsid w:val="002E3627"/>
    <w:rsid w:val="002E3DFC"/>
    <w:rsid w:val="003034CA"/>
    <w:rsid w:val="00303E9A"/>
    <w:rsid w:val="00316AA9"/>
    <w:rsid w:val="003170AA"/>
    <w:rsid w:val="00322375"/>
    <w:rsid w:val="00324940"/>
    <w:rsid w:val="00330BFF"/>
    <w:rsid w:val="00333A92"/>
    <w:rsid w:val="003428E7"/>
    <w:rsid w:val="003448CA"/>
    <w:rsid w:val="003449BC"/>
    <w:rsid w:val="00346C3B"/>
    <w:rsid w:val="0035351A"/>
    <w:rsid w:val="003617BA"/>
    <w:rsid w:val="0036421B"/>
    <w:rsid w:val="00366516"/>
    <w:rsid w:val="00366DF8"/>
    <w:rsid w:val="003670B2"/>
    <w:rsid w:val="0037463C"/>
    <w:rsid w:val="003756A3"/>
    <w:rsid w:val="003836FB"/>
    <w:rsid w:val="00385A38"/>
    <w:rsid w:val="003912C3"/>
    <w:rsid w:val="003922D9"/>
    <w:rsid w:val="00392E4A"/>
    <w:rsid w:val="0039398F"/>
    <w:rsid w:val="003A0A9A"/>
    <w:rsid w:val="003A0EF1"/>
    <w:rsid w:val="003A1AA8"/>
    <w:rsid w:val="003A3B87"/>
    <w:rsid w:val="003A67DE"/>
    <w:rsid w:val="003B0D53"/>
    <w:rsid w:val="003B39BD"/>
    <w:rsid w:val="003C1EED"/>
    <w:rsid w:val="003C4F86"/>
    <w:rsid w:val="003D01F6"/>
    <w:rsid w:val="003D2689"/>
    <w:rsid w:val="003E1D77"/>
    <w:rsid w:val="003E40D5"/>
    <w:rsid w:val="003E6973"/>
    <w:rsid w:val="003E7AB1"/>
    <w:rsid w:val="003E7EED"/>
    <w:rsid w:val="00405395"/>
    <w:rsid w:val="0040677B"/>
    <w:rsid w:val="00406D17"/>
    <w:rsid w:val="00411C17"/>
    <w:rsid w:val="00415D2C"/>
    <w:rsid w:val="00415FBD"/>
    <w:rsid w:val="004338A2"/>
    <w:rsid w:val="00434CB3"/>
    <w:rsid w:val="00441066"/>
    <w:rsid w:val="00443399"/>
    <w:rsid w:val="00443776"/>
    <w:rsid w:val="004464FA"/>
    <w:rsid w:val="004604B4"/>
    <w:rsid w:val="00460FDC"/>
    <w:rsid w:val="00461537"/>
    <w:rsid w:val="004621D3"/>
    <w:rsid w:val="00471A32"/>
    <w:rsid w:val="00472B88"/>
    <w:rsid w:val="00473D9A"/>
    <w:rsid w:val="00474DD4"/>
    <w:rsid w:val="00475AB9"/>
    <w:rsid w:val="004762EC"/>
    <w:rsid w:val="00495A06"/>
    <w:rsid w:val="004B7420"/>
    <w:rsid w:val="004D07D5"/>
    <w:rsid w:val="004E3E72"/>
    <w:rsid w:val="005005EA"/>
    <w:rsid w:val="00502D40"/>
    <w:rsid w:val="0050344E"/>
    <w:rsid w:val="00512BA6"/>
    <w:rsid w:val="00516D62"/>
    <w:rsid w:val="00520820"/>
    <w:rsid w:val="00520D3F"/>
    <w:rsid w:val="00525E7E"/>
    <w:rsid w:val="00534C22"/>
    <w:rsid w:val="005366DE"/>
    <w:rsid w:val="00540526"/>
    <w:rsid w:val="005435CB"/>
    <w:rsid w:val="0054780F"/>
    <w:rsid w:val="005526E4"/>
    <w:rsid w:val="00552DF5"/>
    <w:rsid w:val="00554689"/>
    <w:rsid w:val="00560D77"/>
    <w:rsid w:val="0056573E"/>
    <w:rsid w:val="0057792E"/>
    <w:rsid w:val="00581482"/>
    <w:rsid w:val="0058221C"/>
    <w:rsid w:val="0058312C"/>
    <w:rsid w:val="00591F3F"/>
    <w:rsid w:val="005A186A"/>
    <w:rsid w:val="005A6F2C"/>
    <w:rsid w:val="005A763D"/>
    <w:rsid w:val="005B4B2A"/>
    <w:rsid w:val="005C2D49"/>
    <w:rsid w:val="005C35EC"/>
    <w:rsid w:val="005D2D96"/>
    <w:rsid w:val="005D719B"/>
    <w:rsid w:val="005E51DC"/>
    <w:rsid w:val="005E6BB7"/>
    <w:rsid w:val="005F1BBE"/>
    <w:rsid w:val="00605DF3"/>
    <w:rsid w:val="00607D37"/>
    <w:rsid w:val="006106D7"/>
    <w:rsid w:val="006144F3"/>
    <w:rsid w:val="00620377"/>
    <w:rsid w:val="006237FF"/>
    <w:rsid w:val="00641078"/>
    <w:rsid w:val="006478A4"/>
    <w:rsid w:val="00652CC5"/>
    <w:rsid w:val="00653C0D"/>
    <w:rsid w:val="00655F73"/>
    <w:rsid w:val="00662E81"/>
    <w:rsid w:val="00663682"/>
    <w:rsid w:val="00664BC5"/>
    <w:rsid w:val="00665299"/>
    <w:rsid w:val="00666B92"/>
    <w:rsid w:val="006707D0"/>
    <w:rsid w:val="00672847"/>
    <w:rsid w:val="0067462C"/>
    <w:rsid w:val="00682586"/>
    <w:rsid w:val="006970BD"/>
    <w:rsid w:val="006A6198"/>
    <w:rsid w:val="006A7E21"/>
    <w:rsid w:val="006B18F5"/>
    <w:rsid w:val="006B7909"/>
    <w:rsid w:val="006C108F"/>
    <w:rsid w:val="006C1AE4"/>
    <w:rsid w:val="006D5205"/>
    <w:rsid w:val="006D5C95"/>
    <w:rsid w:val="006D6829"/>
    <w:rsid w:val="006D7F01"/>
    <w:rsid w:val="00700F93"/>
    <w:rsid w:val="00704854"/>
    <w:rsid w:val="00710656"/>
    <w:rsid w:val="00711CAC"/>
    <w:rsid w:val="00713ED8"/>
    <w:rsid w:val="00716121"/>
    <w:rsid w:val="00730E72"/>
    <w:rsid w:val="00744CBD"/>
    <w:rsid w:val="00757E98"/>
    <w:rsid w:val="00760B4E"/>
    <w:rsid w:val="00761BA3"/>
    <w:rsid w:val="00764C38"/>
    <w:rsid w:val="00766A5D"/>
    <w:rsid w:val="00770948"/>
    <w:rsid w:val="00781E43"/>
    <w:rsid w:val="0078293B"/>
    <w:rsid w:val="00787793"/>
    <w:rsid w:val="00794A64"/>
    <w:rsid w:val="00796AB6"/>
    <w:rsid w:val="007A220E"/>
    <w:rsid w:val="007A51AF"/>
    <w:rsid w:val="007A6D92"/>
    <w:rsid w:val="007A710D"/>
    <w:rsid w:val="007A7BE1"/>
    <w:rsid w:val="007B1AE7"/>
    <w:rsid w:val="007B3E4E"/>
    <w:rsid w:val="007C16F9"/>
    <w:rsid w:val="007C220D"/>
    <w:rsid w:val="007D240D"/>
    <w:rsid w:val="007D6425"/>
    <w:rsid w:val="007E1CBB"/>
    <w:rsid w:val="007F0646"/>
    <w:rsid w:val="007F3B08"/>
    <w:rsid w:val="00800778"/>
    <w:rsid w:val="00800D7F"/>
    <w:rsid w:val="00801F8E"/>
    <w:rsid w:val="00802D3D"/>
    <w:rsid w:val="00803CAB"/>
    <w:rsid w:val="0081055A"/>
    <w:rsid w:val="00811E09"/>
    <w:rsid w:val="008126F0"/>
    <w:rsid w:val="008158FC"/>
    <w:rsid w:val="00816D7F"/>
    <w:rsid w:val="00822438"/>
    <w:rsid w:val="00823A5B"/>
    <w:rsid w:val="00827E17"/>
    <w:rsid w:val="00831321"/>
    <w:rsid w:val="00842C42"/>
    <w:rsid w:val="00843581"/>
    <w:rsid w:val="00845141"/>
    <w:rsid w:val="008506A8"/>
    <w:rsid w:val="00850E2E"/>
    <w:rsid w:val="00853FEB"/>
    <w:rsid w:val="00855ECC"/>
    <w:rsid w:val="00856FC9"/>
    <w:rsid w:val="00862FE2"/>
    <w:rsid w:val="00865BCA"/>
    <w:rsid w:val="00865C9E"/>
    <w:rsid w:val="008763B2"/>
    <w:rsid w:val="0087671D"/>
    <w:rsid w:val="00886D04"/>
    <w:rsid w:val="0089046F"/>
    <w:rsid w:val="00891804"/>
    <w:rsid w:val="00891D61"/>
    <w:rsid w:val="00893CDA"/>
    <w:rsid w:val="008974C9"/>
    <w:rsid w:val="008A4725"/>
    <w:rsid w:val="008A5196"/>
    <w:rsid w:val="008B1DE4"/>
    <w:rsid w:val="008B224C"/>
    <w:rsid w:val="008B2692"/>
    <w:rsid w:val="008D4BDC"/>
    <w:rsid w:val="008D7D69"/>
    <w:rsid w:val="008E7AAA"/>
    <w:rsid w:val="008F1B04"/>
    <w:rsid w:val="008F7742"/>
    <w:rsid w:val="009005EB"/>
    <w:rsid w:val="009135C5"/>
    <w:rsid w:val="009275CB"/>
    <w:rsid w:val="009328B4"/>
    <w:rsid w:val="00944C72"/>
    <w:rsid w:val="00951627"/>
    <w:rsid w:val="009527EE"/>
    <w:rsid w:val="0096255C"/>
    <w:rsid w:val="00964ED0"/>
    <w:rsid w:val="009726B9"/>
    <w:rsid w:val="0097692B"/>
    <w:rsid w:val="00995AAD"/>
    <w:rsid w:val="009A0ED6"/>
    <w:rsid w:val="009B0535"/>
    <w:rsid w:val="009B764E"/>
    <w:rsid w:val="009C2B74"/>
    <w:rsid w:val="009D39D2"/>
    <w:rsid w:val="009D3F2B"/>
    <w:rsid w:val="009D4A64"/>
    <w:rsid w:val="009E02CF"/>
    <w:rsid w:val="009E09D2"/>
    <w:rsid w:val="009E1D44"/>
    <w:rsid w:val="009F57E4"/>
    <w:rsid w:val="00A21046"/>
    <w:rsid w:val="00A214AB"/>
    <w:rsid w:val="00A32F1E"/>
    <w:rsid w:val="00A36B1D"/>
    <w:rsid w:val="00A43EDB"/>
    <w:rsid w:val="00A4638B"/>
    <w:rsid w:val="00A53DB2"/>
    <w:rsid w:val="00A638E7"/>
    <w:rsid w:val="00A666A4"/>
    <w:rsid w:val="00A70A24"/>
    <w:rsid w:val="00A75B58"/>
    <w:rsid w:val="00AA611E"/>
    <w:rsid w:val="00AA7DE1"/>
    <w:rsid w:val="00AB3AC1"/>
    <w:rsid w:val="00AB5878"/>
    <w:rsid w:val="00AB6D87"/>
    <w:rsid w:val="00AC0720"/>
    <w:rsid w:val="00AC7D27"/>
    <w:rsid w:val="00AD2986"/>
    <w:rsid w:val="00AD40C5"/>
    <w:rsid w:val="00AD4F6A"/>
    <w:rsid w:val="00AE0EA6"/>
    <w:rsid w:val="00AE38AE"/>
    <w:rsid w:val="00AE3DF5"/>
    <w:rsid w:val="00AF3425"/>
    <w:rsid w:val="00B05BBE"/>
    <w:rsid w:val="00B06E2B"/>
    <w:rsid w:val="00B0775B"/>
    <w:rsid w:val="00B12E55"/>
    <w:rsid w:val="00B132A9"/>
    <w:rsid w:val="00B15374"/>
    <w:rsid w:val="00B16EC4"/>
    <w:rsid w:val="00B301E5"/>
    <w:rsid w:val="00B327AB"/>
    <w:rsid w:val="00B37870"/>
    <w:rsid w:val="00B4320E"/>
    <w:rsid w:val="00B43DF9"/>
    <w:rsid w:val="00B4788C"/>
    <w:rsid w:val="00B52003"/>
    <w:rsid w:val="00B65543"/>
    <w:rsid w:val="00B65CEE"/>
    <w:rsid w:val="00B812E3"/>
    <w:rsid w:val="00B85666"/>
    <w:rsid w:val="00B90D23"/>
    <w:rsid w:val="00B9194C"/>
    <w:rsid w:val="00B94750"/>
    <w:rsid w:val="00B96631"/>
    <w:rsid w:val="00BA3FF7"/>
    <w:rsid w:val="00BA44FF"/>
    <w:rsid w:val="00BB1575"/>
    <w:rsid w:val="00BB3530"/>
    <w:rsid w:val="00BB4F2F"/>
    <w:rsid w:val="00BB7BD4"/>
    <w:rsid w:val="00BC512C"/>
    <w:rsid w:val="00BD38C9"/>
    <w:rsid w:val="00BE459E"/>
    <w:rsid w:val="00BE71A1"/>
    <w:rsid w:val="00BE7BD0"/>
    <w:rsid w:val="00BF4AA3"/>
    <w:rsid w:val="00BF7C0E"/>
    <w:rsid w:val="00C04DC3"/>
    <w:rsid w:val="00C139A4"/>
    <w:rsid w:val="00C15CEE"/>
    <w:rsid w:val="00C30926"/>
    <w:rsid w:val="00C36356"/>
    <w:rsid w:val="00C37E08"/>
    <w:rsid w:val="00C40F4D"/>
    <w:rsid w:val="00C4279B"/>
    <w:rsid w:val="00C46391"/>
    <w:rsid w:val="00C521A6"/>
    <w:rsid w:val="00C549C6"/>
    <w:rsid w:val="00C569A6"/>
    <w:rsid w:val="00C5795C"/>
    <w:rsid w:val="00C62215"/>
    <w:rsid w:val="00C6259C"/>
    <w:rsid w:val="00C67600"/>
    <w:rsid w:val="00C77E84"/>
    <w:rsid w:val="00C837C9"/>
    <w:rsid w:val="00C8504B"/>
    <w:rsid w:val="00C9292D"/>
    <w:rsid w:val="00C92F87"/>
    <w:rsid w:val="00C9778E"/>
    <w:rsid w:val="00CA4A9F"/>
    <w:rsid w:val="00CA542B"/>
    <w:rsid w:val="00CA721B"/>
    <w:rsid w:val="00CD1A82"/>
    <w:rsid w:val="00CF256B"/>
    <w:rsid w:val="00CF2A10"/>
    <w:rsid w:val="00CF682A"/>
    <w:rsid w:val="00D01F3F"/>
    <w:rsid w:val="00D025E1"/>
    <w:rsid w:val="00D0485E"/>
    <w:rsid w:val="00D04AED"/>
    <w:rsid w:val="00D10CBD"/>
    <w:rsid w:val="00D20E1A"/>
    <w:rsid w:val="00D22F4E"/>
    <w:rsid w:val="00D241D1"/>
    <w:rsid w:val="00D3152F"/>
    <w:rsid w:val="00D33E1E"/>
    <w:rsid w:val="00D36E9F"/>
    <w:rsid w:val="00D4457F"/>
    <w:rsid w:val="00D466DF"/>
    <w:rsid w:val="00D56D41"/>
    <w:rsid w:val="00D6021D"/>
    <w:rsid w:val="00D627D0"/>
    <w:rsid w:val="00D65950"/>
    <w:rsid w:val="00D71888"/>
    <w:rsid w:val="00D823A0"/>
    <w:rsid w:val="00D87145"/>
    <w:rsid w:val="00DA20B4"/>
    <w:rsid w:val="00DB240B"/>
    <w:rsid w:val="00DC1BC5"/>
    <w:rsid w:val="00DC712C"/>
    <w:rsid w:val="00DC75DD"/>
    <w:rsid w:val="00DD74D7"/>
    <w:rsid w:val="00DE1168"/>
    <w:rsid w:val="00DE2D6C"/>
    <w:rsid w:val="00DF3406"/>
    <w:rsid w:val="00DF4AE5"/>
    <w:rsid w:val="00DF4B36"/>
    <w:rsid w:val="00E13BB5"/>
    <w:rsid w:val="00E14287"/>
    <w:rsid w:val="00E16288"/>
    <w:rsid w:val="00E16FAB"/>
    <w:rsid w:val="00E213B9"/>
    <w:rsid w:val="00E409CE"/>
    <w:rsid w:val="00E554FD"/>
    <w:rsid w:val="00E6461F"/>
    <w:rsid w:val="00E72436"/>
    <w:rsid w:val="00E80D0C"/>
    <w:rsid w:val="00E811D7"/>
    <w:rsid w:val="00E96C82"/>
    <w:rsid w:val="00E976A1"/>
    <w:rsid w:val="00EB6DC2"/>
    <w:rsid w:val="00EC521C"/>
    <w:rsid w:val="00EC71AD"/>
    <w:rsid w:val="00ED003A"/>
    <w:rsid w:val="00ED0909"/>
    <w:rsid w:val="00ED4EED"/>
    <w:rsid w:val="00EE1F3A"/>
    <w:rsid w:val="00EE44CB"/>
    <w:rsid w:val="00EF20DE"/>
    <w:rsid w:val="00F03078"/>
    <w:rsid w:val="00F05BB3"/>
    <w:rsid w:val="00F06727"/>
    <w:rsid w:val="00F067F9"/>
    <w:rsid w:val="00F10FFD"/>
    <w:rsid w:val="00F11A77"/>
    <w:rsid w:val="00F15783"/>
    <w:rsid w:val="00F1738F"/>
    <w:rsid w:val="00F22D5E"/>
    <w:rsid w:val="00F25A59"/>
    <w:rsid w:val="00F2723C"/>
    <w:rsid w:val="00F32CF7"/>
    <w:rsid w:val="00F432F5"/>
    <w:rsid w:val="00F4514B"/>
    <w:rsid w:val="00F471EB"/>
    <w:rsid w:val="00F476E0"/>
    <w:rsid w:val="00F56473"/>
    <w:rsid w:val="00F57445"/>
    <w:rsid w:val="00F602CD"/>
    <w:rsid w:val="00F62ABA"/>
    <w:rsid w:val="00F63977"/>
    <w:rsid w:val="00F67BE4"/>
    <w:rsid w:val="00F77AE5"/>
    <w:rsid w:val="00F817BE"/>
    <w:rsid w:val="00F82CD8"/>
    <w:rsid w:val="00F84E11"/>
    <w:rsid w:val="00F92DDB"/>
    <w:rsid w:val="00FA0AC9"/>
    <w:rsid w:val="00FA3847"/>
    <w:rsid w:val="00FA6911"/>
    <w:rsid w:val="00FB2334"/>
    <w:rsid w:val="00FD190A"/>
    <w:rsid w:val="00FD3A0B"/>
    <w:rsid w:val="00FF4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DB32C"/>
  <w15:chartTrackingRefBased/>
  <w15:docId w15:val="{C77A9BD9-2AEF-4BD6-A2FB-3205D70E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32CF7"/>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rsid w:val="00F32CF7"/>
    <w:pPr>
      <w:autoSpaceDE w:val="0"/>
      <w:autoSpaceDN w:val="0"/>
      <w:spacing w:before="100" w:after="100"/>
    </w:pPr>
    <w:rPr>
      <w:color w:val="000000"/>
      <w:sz w:val="20"/>
      <w:szCs w:val="20"/>
    </w:rPr>
  </w:style>
  <w:style w:type="paragraph" w:styleId="a6">
    <w:name w:val="footer"/>
    <w:basedOn w:val="a1"/>
    <w:rsid w:val="00F32CF7"/>
    <w:pPr>
      <w:tabs>
        <w:tab w:val="center" w:pos="4153"/>
        <w:tab w:val="right" w:pos="8306"/>
      </w:tabs>
      <w:autoSpaceDE w:val="0"/>
      <w:autoSpaceDN w:val="0"/>
    </w:pPr>
  </w:style>
  <w:style w:type="character" w:styleId="a7">
    <w:name w:val="page number"/>
    <w:basedOn w:val="a2"/>
    <w:rsid w:val="00F32CF7"/>
  </w:style>
  <w:style w:type="paragraph" w:customStyle="1" w:styleId="a0">
    <w:name w:val="Подпункт спецификации"/>
    <w:basedOn w:val="a8"/>
    <w:rsid w:val="00F32CF7"/>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1"/>
    <w:rsid w:val="00F32CF7"/>
    <w:pPr>
      <w:numPr>
        <w:numId w:val="1"/>
      </w:numPr>
      <w:autoSpaceDE w:val="0"/>
      <w:autoSpaceDN w:val="0"/>
      <w:spacing w:before="120" w:after="120"/>
      <w:jc w:val="both"/>
    </w:pPr>
    <w:rPr>
      <w:rFonts w:ascii="Arial" w:hAnsi="Arial" w:cs="Arial"/>
      <w:b/>
      <w:sz w:val="20"/>
      <w:szCs w:val="20"/>
    </w:rPr>
  </w:style>
  <w:style w:type="paragraph" w:customStyle="1" w:styleId="a9">
    <w:name w:val="Текст таб"/>
    <w:basedOn w:val="a1"/>
    <w:rsid w:val="00F32CF7"/>
    <w:pPr>
      <w:tabs>
        <w:tab w:val="left" w:pos="9000"/>
      </w:tabs>
      <w:autoSpaceDE w:val="0"/>
      <w:autoSpaceDN w:val="0"/>
      <w:spacing w:after="60"/>
      <w:ind w:left="567"/>
      <w:jc w:val="both"/>
    </w:pPr>
    <w:rPr>
      <w:rFonts w:ascii="Arial" w:hAnsi="Arial" w:cs="Arial"/>
      <w:sz w:val="20"/>
      <w:szCs w:val="20"/>
    </w:rPr>
  </w:style>
  <w:style w:type="paragraph" w:styleId="aa">
    <w:name w:val="Plain Text"/>
    <w:basedOn w:val="a9"/>
    <w:link w:val="ab"/>
    <w:uiPriority w:val="99"/>
    <w:rsid w:val="00F32CF7"/>
    <w:pPr>
      <w:ind w:left="0"/>
    </w:pPr>
  </w:style>
  <w:style w:type="paragraph" w:customStyle="1" w:styleId="Pointmark">
    <w:name w:val="Point (mark)"/>
    <w:rsid w:val="00F32CF7"/>
    <w:pPr>
      <w:numPr>
        <w:numId w:val="2"/>
      </w:numPr>
      <w:tabs>
        <w:tab w:val="clear" w:pos="360"/>
        <w:tab w:val="num" w:pos="1134"/>
      </w:tabs>
      <w:spacing w:after="60"/>
      <w:ind w:left="567" w:firstLine="0"/>
      <w:jc w:val="both"/>
    </w:pPr>
    <w:rPr>
      <w:rFonts w:ascii="Arial" w:hAnsi="Arial" w:cs="Arial"/>
      <w:lang w:eastAsia="en-US"/>
    </w:rPr>
  </w:style>
  <w:style w:type="paragraph" w:customStyle="1" w:styleId="1">
    <w:name w:val="Подпункт спецификации 1"/>
    <w:basedOn w:val="a0"/>
    <w:rsid w:val="00F32CF7"/>
    <w:pPr>
      <w:numPr>
        <w:ilvl w:val="2"/>
      </w:numPr>
    </w:pPr>
  </w:style>
  <w:style w:type="character" w:styleId="ac">
    <w:name w:val="Hyperlink"/>
    <w:rsid w:val="00F32CF7"/>
    <w:rPr>
      <w:color w:val="0000FF"/>
      <w:u w:val="single"/>
    </w:rPr>
  </w:style>
  <w:style w:type="paragraph" w:styleId="ad">
    <w:name w:val="Body Text"/>
    <w:basedOn w:val="a1"/>
    <w:link w:val="ae"/>
    <w:rsid w:val="00F32CF7"/>
    <w:pPr>
      <w:spacing w:after="120"/>
    </w:pPr>
  </w:style>
  <w:style w:type="paragraph" w:styleId="af">
    <w:name w:val="footnote text"/>
    <w:basedOn w:val="a1"/>
    <w:link w:val="af0"/>
    <w:semiHidden/>
    <w:rsid w:val="00F32CF7"/>
    <w:rPr>
      <w:sz w:val="20"/>
      <w:szCs w:val="20"/>
    </w:rPr>
  </w:style>
  <w:style w:type="character" w:styleId="af1">
    <w:name w:val="footnote reference"/>
    <w:semiHidden/>
    <w:rsid w:val="00F32CF7"/>
    <w:rPr>
      <w:vertAlign w:val="superscript"/>
    </w:rPr>
  </w:style>
  <w:style w:type="paragraph" w:styleId="a8">
    <w:name w:val="Body Text Indent"/>
    <w:basedOn w:val="a1"/>
    <w:rsid w:val="00F32CF7"/>
    <w:pPr>
      <w:spacing w:after="120"/>
      <w:ind w:left="283"/>
    </w:pPr>
  </w:style>
  <w:style w:type="paragraph" w:styleId="af2">
    <w:name w:val="header"/>
    <w:basedOn w:val="a1"/>
    <w:link w:val="af3"/>
    <w:uiPriority w:val="99"/>
    <w:rsid w:val="009E09D2"/>
    <w:pPr>
      <w:tabs>
        <w:tab w:val="center" w:pos="4677"/>
        <w:tab w:val="right" w:pos="9355"/>
      </w:tabs>
    </w:pPr>
  </w:style>
  <w:style w:type="character" w:styleId="af4">
    <w:name w:val="annotation reference"/>
    <w:semiHidden/>
    <w:rsid w:val="009E09D2"/>
    <w:rPr>
      <w:sz w:val="16"/>
      <w:szCs w:val="16"/>
    </w:rPr>
  </w:style>
  <w:style w:type="paragraph" w:styleId="af5">
    <w:name w:val="annotation text"/>
    <w:basedOn w:val="a1"/>
    <w:semiHidden/>
    <w:rsid w:val="009E09D2"/>
    <w:rPr>
      <w:sz w:val="20"/>
      <w:szCs w:val="20"/>
    </w:rPr>
  </w:style>
  <w:style w:type="paragraph" w:styleId="af6">
    <w:name w:val="annotation subject"/>
    <w:basedOn w:val="af5"/>
    <w:next w:val="af5"/>
    <w:semiHidden/>
    <w:rsid w:val="009E09D2"/>
    <w:rPr>
      <w:b/>
      <w:bCs/>
    </w:rPr>
  </w:style>
  <w:style w:type="paragraph" w:styleId="af7">
    <w:name w:val="Balloon Text"/>
    <w:basedOn w:val="a1"/>
    <w:semiHidden/>
    <w:rsid w:val="009E09D2"/>
    <w:rPr>
      <w:rFonts w:ascii="Tahoma" w:hAnsi="Tahoma" w:cs="Tahoma"/>
      <w:sz w:val="16"/>
      <w:szCs w:val="16"/>
    </w:rPr>
  </w:style>
  <w:style w:type="character" w:customStyle="1" w:styleId="ae">
    <w:name w:val="Основной текст Знак"/>
    <w:link w:val="ad"/>
    <w:locked/>
    <w:rsid w:val="00C6259C"/>
    <w:rPr>
      <w:sz w:val="24"/>
      <w:szCs w:val="24"/>
      <w:lang w:val="en-GB" w:eastAsia="ru-RU" w:bidi="ar-SA"/>
    </w:rPr>
  </w:style>
  <w:style w:type="character" w:customStyle="1" w:styleId="af3">
    <w:name w:val="Верхний колонтитул Знак"/>
    <w:link w:val="af2"/>
    <w:uiPriority w:val="99"/>
    <w:rsid w:val="000E45E9"/>
    <w:rPr>
      <w:sz w:val="24"/>
      <w:szCs w:val="24"/>
    </w:rPr>
  </w:style>
  <w:style w:type="character" w:customStyle="1" w:styleId="ab">
    <w:name w:val="Текст Знак"/>
    <w:link w:val="aa"/>
    <w:uiPriority w:val="99"/>
    <w:rsid w:val="00EF20DE"/>
    <w:rPr>
      <w:rFonts w:ascii="Arial" w:hAnsi="Arial" w:cs="Arial"/>
      <w:lang w:val="en-GB"/>
    </w:rPr>
  </w:style>
  <w:style w:type="character" w:customStyle="1" w:styleId="af0">
    <w:name w:val="Текст сноски Знак"/>
    <w:link w:val="af"/>
    <w:semiHidden/>
    <w:rsid w:val="004D07D5"/>
  </w:style>
  <w:style w:type="table" w:styleId="af8">
    <w:name w:val="Table Grid"/>
    <w:basedOn w:val="a3"/>
    <w:rsid w:val="00B06E2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1"/>
    <w:rsid w:val="00B06E2B"/>
    <w:pPr>
      <w:spacing w:before="100" w:beforeAutospacing="1" w:after="100" w:afterAutospacing="1"/>
    </w:pPr>
  </w:style>
  <w:style w:type="character" w:customStyle="1" w:styleId="normaltextrun">
    <w:name w:val="normaltextrun"/>
    <w:basedOn w:val="a2"/>
    <w:rsid w:val="00B06E2B"/>
  </w:style>
  <w:style w:type="character" w:customStyle="1" w:styleId="eop">
    <w:name w:val="eop"/>
    <w:basedOn w:val="a2"/>
    <w:rsid w:val="00B06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26097">
      <w:bodyDiv w:val="1"/>
      <w:marLeft w:val="0"/>
      <w:marRight w:val="0"/>
      <w:marTop w:val="0"/>
      <w:marBottom w:val="0"/>
      <w:divBdr>
        <w:top w:val="none" w:sz="0" w:space="0" w:color="auto"/>
        <w:left w:val="none" w:sz="0" w:space="0" w:color="auto"/>
        <w:bottom w:val="none" w:sz="0" w:space="0" w:color="auto"/>
        <w:right w:val="none" w:sz="0" w:space="0" w:color="auto"/>
      </w:divBdr>
    </w:div>
    <w:div w:id="1737388544">
      <w:bodyDiv w:val="1"/>
      <w:marLeft w:val="0"/>
      <w:marRight w:val="0"/>
      <w:marTop w:val="0"/>
      <w:marBottom w:val="0"/>
      <w:divBdr>
        <w:top w:val="none" w:sz="0" w:space="0" w:color="auto"/>
        <w:left w:val="none" w:sz="0" w:space="0" w:color="auto"/>
        <w:bottom w:val="none" w:sz="0" w:space="0" w:color="auto"/>
        <w:right w:val="none" w:sz="0" w:space="0" w:color="auto"/>
      </w:divBdr>
    </w:div>
    <w:div w:id="1771504157">
      <w:bodyDiv w:val="1"/>
      <w:marLeft w:val="0"/>
      <w:marRight w:val="0"/>
      <w:marTop w:val="0"/>
      <w:marBottom w:val="0"/>
      <w:divBdr>
        <w:top w:val="none" w:sz="0" w:space="0" w:color="auto"/>
        <w:left w:val="none" w:sz="0" w:space="0" w:color="auto"/>
        <w:bottom w:val="none" w:sz="0" w:space="0" w:color="auto"/>
        <w:right w:val="none" w:sz="0" w:space="0" w:color="auto"/>
      </w:divBdr>
    </w:div>
    <w:div w:id="2134208561">
      <w:bodyDiv w:val="1"/>
      <w:marLeft w:val="0"/>
      <w:marRight w:val="0"/>
      <w:marTop w:val="0"/>
      <w:marBottom w:val="0"/>
      <w:divBdr>
        <w:top w:val="none" w:sz="0" w:space="0" w:color="auto"/>
        <w:left w:val="none" w:sz="0" w:space="0" w:color="auto"/>
        <w:bottom w:val="none" w:sz="0" w:space="0" w:color="auto"/>
        <w:right w:val="none" w:sz="0" w:space="0" w:color="auto"/>
      </w:divBdr>
    </w:div>
    <w:div w:id="21351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8C301-2C52-4A99-A009-3B5737AE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2241</Words>
  <Characters>11860</Characters>
  <Application>Microsoft Office Word</Application>
  <DocSecurity>0</DocSecurity>
  <Lines>98</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УТВЕРЖДЕНО</vt:lpstr>
      <vt:lpstr>УТВЕРЖДЕНО</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avetisyan_o</dc:creator>
  <cp:keywords/>
  <cp:lastModifiedBy>Бандакова Екатерина Игоревна</cp:lastModifiedBy>
  <cp:revision>4</cp:revision>
  <cp:lastPrinted>2018-08-14T07:44:00Z</cp:lastPrinted>
  <dcterms:created xsi:type="dcterms:W3CDTF">2023-01-17T08:35:00Z</dcterms:created>
  <dcterms:modified xsi:type="dcterms:W3CDTF">2023-01-30T12:39:00Z</dcterms:modified>
</cp:coreProperties>
</file>