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077BE" w14:textId="77777777" w:rsidR="00E85E83" w:rsidRPr="003042DA" w:rsidRDefault="00E85E83" w:rsidP="003C4615">
      <w:pPr>
        <w:ind w:right="-81"/>
        <w:rPr>
          <w:rFonts w:ascii="Tahoma" w:hAnsi="Tahoma" w:cs="Tahoma"/>
          <w:b/>
          <w:sz w:val="20"/>
          <w:szCs w:val="20"/>
        </w:rPr>
      </w:pPr>
      <w:r>
        <w:rPr>
          <w:rFonts w:ascii="Tahoma" w:hAnsi="Tahoma"/>
          <w:b/>
          <w:sz w:val="20"/>
        </w:rPr>
        <w:t>APPROVED</w:t>
      </w:r>
    </w:p>
    <w:p w14:paraId="4D3E85EB" w14:textId="620D9974" w:rsidR="00E85E83" w:rsidRPr="003E634C" w:rsidRDefault="00E85E83" w:rsidP="003C4615">
      <w:pPr>
        <w:pStyle w:val="af"/>
        <w:tabs>
          <w:tab w:val="left" w:pos="5387"/>
          <w:tab w:val="left" w:pos="5670"/>
        </w:tabs>
        <w:spacing w:after="0"/>
        <w:ind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72A476AA" w14:textId="0F7F29A2" w:rsidR="00E85E83" w:rsidRPr="002E491A" w:rsidRDefault="00E85E83" w:rsidP="003C4615">
      <w:pPr>
        <w:pStyle w:val="af"/>
        <w:tabs>
          <w:tab w:val="left" w:pos="4962"/>
        </w:tabs>
        <w:spacing w:after="0"/>
        <w:ind w:right="27"/>
        <w:rPr>
          <w:rFonts w:ascii="Tahoma" w:hAnsi="Tahoma" w:cs="Tahoma"/>
          <w:sz w:val="20"/>
          <w:szCs w:val="20"/>
        </w:rPr>
      </w:pPr>
      <w:r>
        <w:rPr>
          <w:rFonts w:ascii="Tahoma" w:hAnsi="Tahoma"/>
          <w:sz w:val="20"/>
        </w:rPr>
        <w:t xml:space="preserve">(Order No. </w:t>
      </w:r>
      <w:r w:rsidR="00A75E06">
        <w:rPr>
          <w:rFonts w:ascii="Tahoma" w:hAnsi="Tahoma" w:cs="Tahoma"/>
          <w:sz w:val="20"/>
          <w:szCs w:val="20"/>
        </w:rPr>
        <w:t>МБ-П-202</w:t>
      </w:r>
      <w:r w:rsidR="005D2024" w:rsidRPr="005D2024">
        <w:rPr>
          <w:rFonts w:ascii="Tahoma" w:hAnsi="Tahoma" w:cs="Tahoma"/>
          <w:sz w:val="20"/>
          <w:szCs w:val="20"/>
          <w:lang w:val="en-US"/>
        </w:rPr>
        <w:t>2</w:t>
      </w:r>
      <w:r w:rsidR="00A75E06">
        <w:rPr>
          <w:rFonts w:ascii="Tahoma" w:hAnsi="Tahoma" w:cs="Tahoma"/>
          <w:sz w:val="20"/>
          <w:szCs w:val="20"/>
        </w:rPr>
        <w:t>-</w:t>
      </w:r>
      <w:r w:rsidR="005D2024" w:rsidRPr="005D2024">
        <w:rPr>
          <w:rFonts w:ascii="Tahoma" w:hAnsi="Tahoma" w:cs="Tahoma"/>
          <w:sz w:val="20"/>
          <w:szCs w:val="20"/>
          <w:lang w:val="en-US"/>
        </w:rPr>
        <w:t>693</w:t>
      </w:r>
      <w:r w:rsidR="00A75E06">
        <w:rPr>
          <w:rFonts w:ascii="Tahoma" w:hAnsi="Tahoma" w:cs="Tahoma"/>
          <w:sz w:val="20"/>
          <w:szCs w:val="20"/>
        </w:rPr>
        <w:t xml:space="preserve"> </w:t>
      </w:r>
      <w:r w:rsidR="00A75E06">
        <w:rPr>
          <w:rFonts w:ascii="Tahoma" w:hAnsi="Tahoma"/>
          <w:sz w:val="20"/>
        </w:rPr>
        <w:t xml:space="preserve">dated </w:t>
      </w:r>
      <w:r w:rsidR="00A75E06" w:rsidRPr="00F743E4">
        <w:rPr>
          <w:rFonts w:ascii="Tahoma" w:hAnsi="Tahoma"/>
          <w:sz w:val="20"/>
          <w:lang w:val="en-US"/>
        </w:rPr>
        <w:t>2</w:t>
      </w:r>
      <w:r w:rsidR="005D2024" w:rsidRPr="005D2024">
        <w:rPr>
          <w:rFonts w:ascii="Tahoma" w:hAnsi="Tahoma"/>
          <w:sz w:val="20"/>
          <w:lang w:val="en-US"/>
        </w:rPr>
        <w:t xml:space="preserve">9 </w:t>
      </w:r>
      <w:r w:rsidR="005D2024">
        <w:rPr>
          <w:rFonts w:ascii="Tahoma" w:hAnsi="Tahoma"/>
          <w:sz w:val="20"/>
          <w:lang w:val="en-US"/>
        </w:rPr>
        <w:t>March</w:t>
      </w:r>
      <w:r w:rsidR="00A75E06">
        <w:rPr>
          <w:rFonts w:ascii="Tahoma" w:hAnsi="Tahoma"/>
          <w:sz w:val="20"/>
          <w:lang w:val="en-US"/>
        </w:rPr>
        <w:t xml:space="preserve"> </w:t>
      </w:r>
      <w:r w:rsidR="00A75E06">
        <w:rPr>
          <w:rFonts w:ascii="Tahoma" w:hAnsi="Tahoma"/>
          <w:sz w:val="20"/>
        </w:rPr>
        <w:t>202</w:t>
      </w:r>
      <w:r w:rsidR="005D2024">
        <w:rPr>
          <w:rFonts w:ascii="Tahoma" w:hAnsi="Tahoma"/>
          <w:sz w:val="20"/>
        </w:rPr>
        <w:t>2</w:t>
      </w:r>
      <w:r>
        <w:rPr>
          <w:rFonts w:ascii="Tahoma" w:hAnsi="Tahoma"/>
          <w:sz w:val="20"/>
        </w:rPr>
        <w:t>)</w:t>
      </w:r>
    </w:p>
    <w:p w14:paraId="4D984C69" w14:textId="66B832BB" w:rsidR="00E85E83" w:rsidRDefault="00E85E83" w:rsidP="00957E06">
      <w:pPr>
        <w:pStyle w:val="af"/>
        <w:spacing w:after="0"/>
        <w:ind w:left="5103" w:right="27"/>
        <w:rPr>
          <w:rFonts w:ascii="Tahoma" w:hAnsi="Tahoma" w:cs="Tahoma"/>
          <w:b/>
          <w:bCs/>
          <w:sz w:val="20"/>
          <w:szCs w:val="20"/>
        </w:rPr>
      </w:pPr>
    </w:p>
    <w:p w14:paraId="437F20ED" w14:textId="7F1EFAA3" w:rsidR="00E85E83" w:rsidRDefault="00E85E83" w:rsidP="00957E06">
      <w:pPr>
        <w:pStyle w:val="af"/>
        <w:spacing w:after="0"/>
        <w:ind w:left="5103" w:right="27"/>
        <w:rPr>
          <w:rFonts w:ascii="Tahoma" w:hAnsi="Tahoma" w:cs="Tahoma"/>
          <w:b/>
          <w:bCs/>
          <w:sz w:val="20"/>
          <w:szCs w:val="20"/>
        </w:rPr>
      </w:pPr>
    </w:p>
    <w:p w14:paraId="6282378C" w14:textId="77777777" w:rsidR="00E85E83" w:rsidRPr="00992166" w:rsidRDefault="00E85E83" w:rsidP="00957E06">
      <w:pPr>
        <w:pStyle w:val="af"/>
        <w:spacing w:after="0"/>
        <w:ind w:left="5103" w:right="27"/>
        <w:rPr>
          <w:rFonts w:ascii="Tahoma" w:hAnsi="Tahoma" w:cs="Tahoma"/>
          <w:b/>
          <w:sz w:val="20"/>
          <w:szCs w:val="20"/>
        </w:rPr>
      </w:pPr>
    </w:p>
    <w:p w14:paraId="1B68D0FC" w14:textId="77777777" w:rsidR="004B3F36" w:rsidRPr="00992166" w:rsidRDefault="004B3F36" w:rsidP="00957E06">
      <w:pPr>
        <w:pStyle w:val="af"/>
        <w:tabs>
          <w:tab w:val="left" w:pos="4962"/>
        </w:tabs>
        <w:spacing w:after="0"/>
        <w:ind w:left="5103" w:right="96"/>
        <w:rPr>
          <w:rFonts w:ascii="Tahoma" w:hAnsi="Tahoma" w:cs="Tahoma"/>
          <w:sz w:val="20"/>
          <w:szCs w:val="20"/>
        </w:rPr>
      </w:pPr>
    </w:p>
    <w:p w14:paraId="1F260740" w14:textId="77777777" w:rsidR="004B3F36" w:rsidRPr="00992166"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Sector Index Futures contract specification</w:t>
      </w:r>
    </w:p>
    <w:p w14:paraId="10F0EDF8" w14:textId="31B9BA83" w:rsidR="004B3F36" w:rsidRPr="00992166" w:rsidRDefault="004B3F36" w:rsidP="009324E3">
      <w:pPr>
        <w:pStyle w:val="11"/>
        <w:spacing w:before="0" w:after="0"/>
        <w:ind w:left="567" w:right="-6" w:hanging="567"/>
        <w:jc w:val="center"/>
        <w:rPr>
          <w:rFonts w:ascii="Tahoma" w:eastAsia="Arial Unicode MS" w:hAnsi="Tahoma" w:cs="Tahoma"/>
          <w:b/>
          <w:bCs/>
          <w:color w:val="auto"/>
        </w:rPr>
      </w:pPr>
    </w:p>
    <w:p w14:paraId="62777D8A" w14:textId="5698B232" w:rsidR="0093061F" w:rsidRPr="00992166" w:rsidRDefault="0093061F" w:rsidP="0093061F">
      <w:pPr>
        <w:pStyle w:val="aa"/>
        <w:spacing w:before="240" w:after="0"/>
        <w:ind w:right="57"/>
        <w:rPr>
          <w:rFonts w:ascii="Tahoma" w:hAnsi="Tahoma" w:cs="Tahoma"/>
        </w:rPr>
      </w:pPr>
      <w:r>
        <w:rPr>
          <w:rFonts w:ascii="Tahoma" w:hAnsi="Tahoma"/>
        </w:rPr>
        <w:t>This Specification sets out the standard terms and conditions of the Sectoral Index Futures contract (hereinafter referred to as the Specification).</w:t>
      </w:r>
    </w:p>
    <w:p w14:paraId="1D1811D5" w14:textId="212325FD" w:rsidR="0093061F"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cash-settled Sectoral Index Futures contract (hereinafter the “Contract”) as well as the procedure for such obligations to arise, be changed or terminated. </w:t>
      </w:r>
    </w:p>
    <w:p w14:paraId="3F70C962" w14:textId="5C75102F" w:rsidR="00A167D1" w:rsidRPr="003042DA" w:rsidRDefault="00A167D1" w:rsidP="00A167D1">
      <w:pPr>
        <w:pStyle w:val="aa"/>
        <w:spacing w:before="120"/>
        <w:ind w:right="57"/>
        <w:rPr>
          <w:rFonts w:ascii="Tahoma" w:hAnsi="Tahoma" w:cs="Tahoma"/>
        </w:rPr>
      </w:pPr>
      <w:r>
        <w:rPr>
          <w:rFonts w:ascii="Tahoma" w:hAnsi="Tahoma"/>
        </w:rPr>
        <w:t>Moscow Exchange (the "Exchange") approves the List of Parameters of cash-settled Sector Index Futures contracts, which contains:</w:t>
      </w:r>
    </w:p>
    <w:p w14:paraId="64EA867F" w14:textId="77777777" w:rsidR="00A167D1" w:rsidRPr="003042DA" w:rsidRDefault="00A167D1">
      <w:pPr>
        <w:pStyle w:val="aa"/>
        <w:numPr>
          <w:ilvl w:val="0"/>
          <w:numId w:val="16"/>
        </w:numPr>
        <w:tabs>
          <w:tab w:val="clear" w:pos="9000"/>
          <w:tab w:val="left" w:pos="709"/>
        </w:tabs>
        <w:spacing w:before="120" w:after="0"/>
        <w:ind w:left="714" w:right="57" w:hanging="357"/>
        <w:rPr>
          <w:rFonts w:ascii="Tahoma" w:hAnsi="Tahoma" w:cs="Tahoma"/>
        </w:rPr>
      </w:pPr>
      <w:r>
        <w:rPr>
          <w:rFonts w:ascii="Tahoma" w:hAnsi="Tahoma"/>
        </w:rPr>
        <w:t>Name of the Contract;</w:t>
      </w:r>
    </w:p>
    <w:p w14:paraId="1436A46F" w14:textId="11FABA89" w:rsidR="00A167D1" w:rsidRDefault="00A167D1" w:rsidP="00A167D1">
      <w:pPr>
        <w:pStyle w:val="aa"/>
        <w:numPr>
          <w:ilvl w:val="0"/>
          <w:numId w:val="16"/>
        </w:numPr>
        <w:tabs>
          <w:tab w:val="clear" w:pos="9000"/>
          <w:tab w:val="left" w:pos="709"/>
        </w:tabs>
        <w:spacing w:after="0"/>
        <w:ind w:left="714" w:right="57" w:hanging="357"/>
        <w:rPr>
          <w:rFonts w:ascii="Tahoma" w:hAnsi="Tahoma" w:cs="Tahoma"/>
        </w:rPr>
      </w:pPr>
      <w:r>
        <w:rPr>
          <w:rFonts w:ascii="Tahoma" w:hAnsi="Tahoma"/>
        </w:rPr>
        <w:t>Code of the underlying asset;</w:t>
      </w:r>
    </w:p>
    <w:p w14:paraId="0F4EF831" w14:textId="3652E39F" w:rsidR="00A167D1" w:rsidRDefault="00A167D1" w:rsidP="006514D5">
      <w:pPr>
        <w:pStyle w:val="aa"/>
        <w:numPr>
          <w:ilvl w:val="0"/>
          <w:numId w:val="16"/>
        </w:numPr>
        <w:tabs>
          <w:tab w:val="clear" w:pos="9000"/>
          <w:tab w:val="left" w:pos="709"/>
        </w:tabs>
        <w:spacing w:after="0"/>
        <w:ind w:left="714" w:right="57" w:hanging="357"/>
        <w:rPr>
          <w:rFonts w:ascii="Tahoma" w:hAnsi="Tahoma" w:cs="Tahoma"/>
        </w:rPr>
      </w:pPr>
      <w:r>
        <w:rPr>
          <w:rFonts w:ascii="Tahoma" w:hAnsi="Tahoma"/>
        </w:rPr>
        <w:t>Underlying asset of the Contract (index name);</w:t>
      </w:r>
    </w:p>
    <w:p w14:paraId="271D99A2" w14:textId="24F31EAF" w:rsidR="00DA22F9" w:rsidRDefault="00DA22F9" w:rsidP="006514D5">
      <w:pPr>
        <w:pStyle w:val="aa"/>
        <w:numPr>
          <w:ilvl w:val="0"/>
          <w:numId w:val="16"/>
        </w:numPr>
        <w:tabs>
          <w:tab w:val="clear" w:pos="9000"/>
          <w:tab w:val="left" w:pos="709"/>
        </w:tabs>
        <w:spacing w:after="0"/>
        <w:ind w:left="714" w:right="57" w:hanging="357"/>
        <w:rPr>
          <w:rFonts w:ascii="Tahoma" w:hAnsi="Tahoma" w:cs="Tahoma"/>
        </w:rPr>
      </w:pPr>
      <w:r>
        <w:rPr>
          <w:rFonts w:ascii="Tahoma" w:hAnsi="Tahoma"/>
        </w:rPr>
        <w:t>Contract lot;</w:t>
      </w:r>
    </w:p>
    <w:p w14:paraId="63941650" w14:textId="2BFC169B" w:rsidR="00A167D1" w:rsidRPr="008D34F1" w:rsidRDefault="00A167D1" w:rsidP="008D34F1">
      <w:pPr>
        <w:pStyle w:val="aa"/>
        <w:numPr>
          <w:ilvl w:val="0"/>
          <w:numId w:val="16"/>
        </w:numPr>
        <w:tabs>
          <w:tab w:val="clear" w:pos="9000"/>
          <w:tab w:val="left" w:pos="709"/>
        </w:tabs>
        <w:spacing w:after="0"/>
        <w:ind w:left="714" w:right="57" w:hanging="357"/>
      </w:pPr>
      <w:r>
        <w:t xml:space="preserve">Minimum price movement for the Contract </w:t>
      </w:r>
      <w:proofErr w:type="gramStart"/>
      <w:r>
        <w:t>in the course of</w:t>
      </w:r>
      <w:proofErr w:type="gramEnd"/>
      <w:r>
        <w:t xml:space="preserve"> trading on MOEX (the "price tick");</w:t>
      </w:r>
    </w:p>
    <w:p w14:paraId="4328E2D7" w14:textId="77777777" w:rsidR="00A167D1" w:rsidRPr="003042DA" w:rsidRDefault="00A167D1" w:rsidP="00A167D1">
      <w:pPr>
        <w:pStyle w:val="aa"/>
        <w:numPr>
          <w:ilvl w:val="0"/>
          <w:numId w:val="16"/>
        </w:numPr>
        <w:tabs>
          <w:tab w:val="clear" w:pos="9000"/>
          <w:tab w:val="left" w:pos="709"/>
        </w:tabs>
        <w:spacing w:after="0"/>
        <w:ind w:right="57"/>
        <w:rPr>
          <w:rFonts w:ascii="Tahoma" w:hAnsi="Tahoma" w:cs="Tahoma"/>
        </w:rPr>
      </w:pPr>
      <w:r>
        <w:rPr>
          <w:rFonts w:ascii="Tahoma" w:hAnsi="Tahoma"/>
        </w:rPr>
        <w:t>The tick value.</w:t>
      </w:r>
    </w:p>
    <w:p w14:paraId="309430E9" w14:textId="0A357B84" w:rsidR="0093061F" w:rsidRPr="00992166" w:rsidRDefault="00A469DC" w:rsidP="0093061F">
      <w:pPr>
        <w:pStyle w:val="aa"/>
        <w:spacing w:before="120" w:after="0"/>
        <w:rPr>
          <w:rFonts w:ascii="Tahoma" w:hAnsi="Tahoma" w:cs="Tahoma"/>
        </w:rPr>
      </w:pPr>
      <w:r>
        <w:rPr>
          <w:rFonts w:ascii="Tahoma" w:hAnsi="Tahoma"/>
        </w:rPr>
        <w:t>The underlying assets of the Contracts, the terms and parameters of which are defined in this Specification and in the List of Parameters, are the Sector Indices calculated by the Exchange in accordance with the approved methodology registered with the Bank of Russia (hereinafter the "Sector Indices").</w:t>
      </w:r>
    </w:p>
    <w:p w14:paraId="402521D4" w14:textId="77777777" w:rsidR="00A449F1" w:rsidRPr="00992166" w:rsidRDefault="0093061F" w:rsidP="0093061F">
      <w:pPr>
        <w:pStyle w:val="aa"/>
        <w:tabs>
          <w:tab w:val="clear" w:pos="9000"/>
          <w:tab w:val="left" w:pos="0"/>
        </w:tabs>
        <w:spacing w:before="120" w:after="0"/>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6B8F8AEB" w14:textId="77777777" w:rsidR="004B3F36" w:rsidRPr="00992166" w:rsidRDefault="004B3F36">
      <w:pPr>
        <w:pStyle w:val="a"/>
        <w:spacing w:before="240" w:after="0"/>
        <w:rPr>
          <w:rFonts w:ascii="Tahoma" w:hAnsi="Tahoma" w:cs="Tahoma"/>
        </w:rPr>
      </w:pPr>
      <w:r>
        <w:rPr>
          <w:rFonts w:ascii="Tahoma" w:hAnsi="Tahoma"/>
        </w:rPr>
        <w:t>Execution of the Contract</w:t>
      </w:r>
    </w:p>
    <w:p w14:paraId="7CD14F74" w14:textId="77777777" w:rsidR="004B3F36" w:rsidRPr="00992166" w:rsidRDefault="004B3F36" w:rsidP="008D6611">
      <w:pPr>
        <w:pStyle w:val="a0"/>
        <w:spacing w:before="120" w:after="0"/>
        <w:rPr>
          <w:rFonts w:ascii="Tahoma" w:hAnsi="Tahoma" w:cs="Tahoma"/>
        </w:rPr>
      </w:pPr>
      <w:bookmarkStart w:id="0" w:name="_Ref231897687"/>
      <w:r>
        <w:rPr>
          <w:rFonts w:ascii="Tahoma" w:hAnsi="Tahoma"/>
        </w:rPr>
        <w:t>The opportunity to conclude the Contract in the process of trading shall be granted by the Moscow Exchange resolution that shall specify:</w:t>
      </w:r>
      <w:bookmarkEnd w:id="0"/>
    </w:p>
    <w:p w14:paraId="04E21F8A" w14:textId="77777777" w:rsidR="004B3F36" w:rsidRPr="00992166" w:rsidRDefault="004B3F36" w:rsidP="008D6611">
      <w:pPr>
        <w:pStyle w:val="Pointmark"/>
        <w:tabs>
          <w:tab w:val="clear" w:pos="1134"/>
          <w:tab w:val="num" w:pos="1260"/>
        </w:tabs>
        <w:spacing w:before="120" w:after="0"/>
        <w:ind w:left="1260" w:hanging="360"/>
        <w:rPr>
          <w:rFonts w:ascii="Tahoma" w:hAnsi="Tahoma" w:cs="Tahoma"/>
        </w:rPr>
      </w:pPr>
      <w:r>
        <w:rPr>
          <w:rFonts w:ascii="Tahoma" w:hAnsi="Tahoma"/>
        </w:rPr>
        <w:t>Contract code (designation);</w:t>
      </w:r>
    </w:p>
    <w:p w14:paraId="71E09120" w14:textId="77777777" w:rsidR="004B3F36" w:rsidRPr="00992166" w:rsidRDefault="00441B1D" w:rsidP="008D6611">
      <w:pPr>
        <w:pStyle w:val="Pointmark"/>
        <w:tabs>
          <w:tab w:val="clear" w:pos="1134"/>
          <w:tab w:val="num" w:pos="1260"/>
        </w:tabs>
        <w:spacing w:after="0"/>
        <w:ind w:left="1259" w:hanging="357"/>
        <w:rPr>
          <w:rFonts w:ascii="Tahoma" w:hAnsi="Tahoma" w:cs="Tahoma"/>
        </w:rPr>
      </w:pPr>
      <w:r>
        <w:rPr>
          <w:rFonts w:ascii="Tahoma" w:hAnsi="Tahoma"/>
        </w:rPr>
        <w:t>First trading day during which the Contract may trade (hereinafter the First Trading Day);</w:t>
      </w:r>
    </w:p>
    <w:p w14:paraId="4F2C67F8" w14:textId="38D9235C" w:rsidR="00D10428" w:rsidRDefault="00D10428" w:rsidP="008D6611">
      <w:pPr>
        <w:pStyle w:val="Pointmark"/>
        <w:spacing w:after="0"/>
        <w:ind w:left="1276" w:hanging="425"/>
        <w:rPr>
          <w:rFonts w:ascii="Tahoma" w:hAnsi="Tahoma" w:cs="Tahoma"/>
        </w:rPr>
      </w:pPr>
      <w:r>
        <w:rPr>
          <w:rFonts w:ascii="Tahoma" w:hAnsi="Tahoma"/>
        </w:rPr>
        <w:t xml:space="preserve">  The time from which the Contract may be executed (hereinafter the Start of Trading);</w:t>
      </w:r>
    </w:p>
    <w:p w14:paraId="52F418D4" w14:textId="77777777" w:rsidR="005A552E" w:rsidRPr="00593E6D" w:rsidRDefault="005A552E" w:rsidP="005A552E">
      <w:pPr>
        <w:pStyle w:val="Pointmark"/>
        <w:tabs>
          <w:tab w:val="clear" w:pos="1134"/>
          <w:tab w:val="num" w:pos="1260"/>
        </w:tabs>
        <w:spacing w:after="0"/>
        <w:ind w:left="1259" w:hanging="357"/>
        <w:rPr>
          <w:rFonts w:ascii="Tahoma" w:hAnsi="Tahoma" w:cs="Tahoma"/>
        </w:rPr>
      </w:pPr>
      <w:r>
        <w:rPr>
          <w:rFonts w:ascii="Tahoma" w:hAnsi="Tahoma"/>
        </w:rPr>
        <w:t xml:space="preserve">The last Trading day for the Contract (the “Last Trading Day”). </w:t>
      </w:r>
    </w:p>
    <w:p w14:paraId="1DA78E0D" w14:textId="77777777" w:rsidR="00A449F1" w:rsidRPr="00992166" w:rsidRDefault="00A449F1" w:rsidP="00CD5828">
      <w:pPr>
        <w:pStyle w:val="a0"/>
        <w:spacing w:before="120"/>
        <w:rPr>
          <w:rFonts w:ascii="Tahoma" w:hAnsi="Tahoma" w:cs="Tahoma"/>
        </w:rPr>
      </w:pPr>
      <w:r>
        <w:rPr>
          <w:rFonts w:ascii="Tahoma" w:hAnsi="Tahoma"/>
        </w:rPr>
        <w:t>The Contract code (designation) is formed as follows:</w:t>
      </w:r>
    </w:p>
    <w:p w14:paraId="400155E6" w14:textId="4EE80A84" w:rsidR="00A449F1" w:rsidRPr="00992166" w:rsidRDefault="00A469DC" w:rsidP="00A449F1">
      <w:pPr>
        <w:pStyle w:val="a9"/>
        <w:spacing w:before="120" w:after="0"/>
        <w:ind w:left="851"/>
        <w:rPr>
          <w:rFonts w:ascii="Tahoma" w:hAnsi="Tahoma" w:cs="Tahoma"/>
        </w:rPr>
      </w:pPr>
      <w:r>
        <w:rPr>
          <w:rFonts w:ascii="Tahoma" w:hAnsi="Tahoma"/>
        </w:rPr>
        <w:t>ХХХ (underlying asset code) - &lt;expiration settlement month</w:t>
      </w:r>
      <w:proofErr w:type="gramStart"/>
      <w:r>
        <w:rPr>
          <w:rFonts w:ascii="Tahoma" w:hAnsi="Tahoma"/>
        </w:rPr>
        <w:t>&gt;.&lt;</w:t>
      </w:r>
      <w:proofErr w:type="gramEnd"/>
      <w:r>
        <w:rPr>
          <w:rFonts w:ascii="Tahoma" w:hAnsi="Tahoma"/>
        </w:rPr>
        <w:t>expiration settlement year&gt;.</w:t>
      </w:r>
    </w:p>
    <w:p w14:paraId="0E4935D8" w14:textId="77777777" w:rsidR="00A449F1" w:rsidRPr="00992166" w:rsidRDefault="00A449F1" w:rsidP="008D02B0">
      <w:pPr>
        <w:pStyle w:val="a9"/>
        <w:spacing w:before="120" w:after="0"/>
        <w:ind w:left="851"/>
        <w:rPr>
          <w:rFonts w:ascii="Tahoma" w:hAnsi="Tahoma" w:cs="Tahoma"/>
        </w:rPr>
      </w:pPr>
      <w:r>
        <w:rPr>
          <w:rFonts w:ascii="Tahoma" w:hAnsi="Tahoma"/>
        </w:rPr>
        <w:t>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w:t>
      </w:r>
    </w:p>
    <w:p w14:paraId="03CF1547" w14:textId="583A4BAA" w:rsidR="005A552E" w:rsidRDefault="005A552E" w:rsidP="0093061F">
      <w:pPr>
        <w:pStyle w:val="a0"/>
        <w:spacing w:before="120"/>
        <w:rPr>
          <w:rFonts w:ascii="Tahoma" w:hAnsi="Tahoma" w:cs="Tahoma"/>
        </w:rPr>
      </w:pPr>
      <w:r>
        <w:t>At order entry and trade execution, the price of the Contract shall be quoted in points as the value of the relevant Sector Index multiplied by the Lot.</w:t>
      </w:r>
    </w:p>
    <w:p w14:paraId="402D8DF2" w14:textId="02B20DFB" w:rsidR="0093061F" w:rsidRPr="00992166" w:rsidRDefault="0093061F" w:rsidP="0093061F">
      <w:pPr>
        <w:pStyle w:val="a0"/>
        <w:spacing w:before="120"/>
        <w:rPr>
          <w:rFonts w:ascii="Tahoma" w:hAnsi="Tahoma" w:cs="Tahoma"/>
        </w:rPr>
      </w:pPr>
      <w:r>
        <w:rPr>
          <w:rFonts w:ascii="Tahoma" w:hAnsi="Tahoma"/>
        </w:rPr>
        <w:t xml:space="preserve">The last trading day for the Contract is the 3rd (third) Thursday of the settlement month and settlement year of the Contract; where such 3 (third) Thursday is a non-trading day, the last trading day for the Contract is the trading day immediately preceding the 3rd (third) Thursday of the settlement month and settlement year of the Contract. </w:t>
      </w:r>
    </w:p>
    <w:p w14:paraId="2EAB5EFF" w14:textId="77777777" w:rsidR="0093061F" w:rsidRPr="00992166" w:rsidRDefault="0093061F" w:rsidP="0093061F">
      <w:pPr>
        <w:pStyle w:val="a0"/>
        <w:numPr>
          <w:ilvl w:val="0"/>
          <w:numId w:val="0"/>
        </w:numPr>
        <w:spacing w:before="120"/>
        <w:ind w:left="851"/>
        <w:rPr>
          <w:rFonts w:ascii="Tahoma" w:hAnsi="Tahoma" w:cs="Tahoma"/>
        </w:rPr>
      </w:pPr>
      <w:r>
        <w:rPr>
          <w:rFonts w:ascii="Tahoma" w:hAnsi="Tahoma"/>
        </w:rPr>
        <w:lastRenderedPageBreak/>
        <w:t>The Exchange shall be entitled, upon agreement with the Clearing Centre, to set another date for the Last Trading Day for the Contract, different from the date determined in accordance with this clause.</w:t>
      </w:r>
    </w:p>
    <w:p w14:paraId="7F682D8E" w14:textId="77777777" w:rsidR="0093061F" w:rsidRPr="00992166" w:rsidRDefault="0093061F" w:rsidP="0093061F">
      <w:pPr>
        <w:pStyle w:val="a0"/>
        <w:rPr>
          <w:rFonts w:ascii="Tahoma" w:hAnsi="Tahoma" w:cs="Tahoma"/>
        </w:rPr>
      </w:pPr>
      <w:r>
        <w:rPr>
          <w:rFonts w:ascii="Tahoma" w:hAnsi="Tahoma"/>
        </w:rPr>
        <w:t>The settlement day for the Contract is its last trading day, except to the extent mentioned in clauses 5.1 and 5.2 below.</w:t>
      </w:r>
    </w:p>
    <w:p w14:paraId="5AA8A761" w14:textId="77777777" w:rsidR="004B3F36" w:rsidRPr="00992166" w:rsidRDefault="004B3F36">
      <w:pPr>
        <w:pStyle w:val="a"/>
        <w:spacing w:before="240" w:after="0"/>
        <w:rPr>
          <w:rFonts w:ascii="Tahoma" w:hAnsi="Tahoma" w:cs="Tahoma"/>
        </w:rPr>
      </w:pPr>
      <w:r>
        <w:rPr>
          <w:rFonts w:ascii="Tahoma" w:hAnsi="Tahoma"/>
        </w:rPr>
        <w:t>Obligations under the Contract</w:t>
      </w:r>
    </w:p>
    <w:p w14:paraId="4D2B5848" w14:textId="77777777" w:rsidR="003F7BEC" w:rsidRPr="00592285" w:rsidRDefault="003F7BEC" w:rsidP="003F7BEC">
      <w:pPr>
        <w:numPr>
          <w:ilvl w:val="1"/>
          <w:numId w:val="0"/>
        </w:numPr>
        <w:tabs>
          <w:tab w:val="num" w:pos="567"/>
        </w:tabs>
        <w:spacing w:before="120"/>
        <w:ind w:left="567" w:hanging="567"/>
        <w:jc w:val="both"/>
        <w:rPr>
          <w:rFonts w:ascii="Tahoma" w:hAnsi="Tahoma" w:cs="Tahoma"/>
          <w:color w:val="000000"/>
          <w:sz w:val="20"/>
          <w:szCs w:val="20"/>
        </w:rPr>
      </w:pPr>
      <w:r>
        <w:rPr>
          <w:rFonts w:ascii="Tahoma" w:hAnsi="Tahoma"/>
          <w:color w:val="000000"/>
          <w:sz w:val="20"/>
        </w:rPr>
        <w:t>2.1. Variation Margin obligation.</w:t>
      </w:r>
    </w:p>
    <w:p w14:paraId="12E6A750" w14:textId="36E8527B" w:rsidR="003F7BEC" w:rsidRPr="00592285" w:rsidRDefault="003F7BEC" w:rsidP="008D34F1">
      <w:pPr>
        <w:numPr>
          <w:ilvl w:val="2"/>
          <w:numId w:val="0"/>
        </w:numPr>
        <w:tabs>
          <w:tab w:val="num" w:pos="709"/>
        </w:tabs>
        <w:spacing w:before="120" w:after="60"/>
        <w:ind w:left="1134" w:hanging="567"/>
        <w:jc w:val="both"/>
        <w:rPr>
          <w:rFonts w:ascii="Tahoma" w:hAnsi="Tahoma" w:cs="Tahoma"/>
          <w:color w:val="000000"/>
          <w:sz w:val="20"/>
          <w:szCs w:val="20"/>
        </w:rPr>
      </w:pPr>
      <w:r>
        <w:rPr>
          <w:rFonts w:ascii="Tahoma" w:hAnsi="Tahoma"/>
          <w:color w:val="000000"/>
          <w:sz w:val="20"/>
        </w:rPr>
        <w:t>2.1.1. The Parties to the Contract must pay each other variation margin in the form of cash, in the amount depending on the changes in the value of the underlying asset.</w:t>
      </w:r>
      <w:r>
        <w:rPr>
          <w:rFonts w:ascii="Tahoma" w:hAnsi="Tahoma"/>
          <w:sz w:val="20"/>
        </w:rPr>
        <w:t xml:space="preserve"> </w:t>
      </w:r>
    </w:p>
    <w:p w14:paraId="35AD63C8" w14:textId="77777777" w:rsidR="003F7BEC" w:rsidRPr="00592285" w:rsidRDefault="003F7BEC" w:rsidP="003F7BEC">
      <w:pPr>
        <w:numPr>
          <w:ilvl w:val="2"/>
          <w:numId w:val="0"/>
        </w:numPr>
        <w:tabs>
          <w:tab w:val="num" w:pos="1134"/>
        </w:tabs>
        <w:spacing w:after="60"/>
        <w:ind w:left="1134" w:hanging="567"/>
        <w:jc w:val="both"/>
        <w:rPr>
          <w:rFonts w:ascii="Tahoma" w:hAnsi="Tahoma" w:cs="Tahoma"/>
          <w:color w:val="000000"/>
          <w:sz w:val="20"/>
          <w:szCs w:val="20"/>
        </w:rPr>
      </w:pPr>
      <w:r>
        <w:rPr>
          <w:rFonts w:ascii="Tahoma" w:hAnsi="Tahoma"/>
          <w:color w:val="000000"/>
          <w:sz w:val="20"/>
        </w:rPr>
        <w:t xml:space="preserve">2.1.2. Variation margin will be calculated and must be paid during the life of the Contract. </w:t>
      </w:r>
    </w:p>
    <w:p w14:paraId="57D9C094" w14:textId="77777777" w:rsidR="003F7BEC" w:rsidRPr="00592285" w:rsidRDefault="003F7BEC" w:rsidP="003F7BEC">
      <w:pPr>
        <w:numPr>
          <w:ilvl w:val="2"/>
          <w:numId w:val="0"/>
        </w:numPr>
        <w:tabs>
          <w:tab w:val="num" w:pos="1134"/>
        </w:tabs>
        <w:spacing w:after="60"/>
        <w:ind w:left="1134" w:hanging="567"/>
        <w:jc w:val="both"/>
        <w:rPr>
          <w:rFonts w:ascii="Tahoma" w:hAnsi="Tahoma" w:cs="Tahoma"/>
          <w:color w:val="000000"/>
          <w:sz w:val="20"/>
          <w:szCs w:val="20"/>
        </w:rPr>
      </w:pPr>
      <w:r>
        <w:rPr>
          <w:rFonts w:ascii="Tahoma" w:hAnsi="Tahoma"/>
          <w:color w:val="000000"/>
          <w:sz w:val="20"/>
        </w:rPr>
        <w:t>2.1.3. Variation margin for the Contract is calculated according to the following formulas:</w:t>
      </w:r>
    </w:p>
    <w:p w14:paraId="57BDCE32" w14:textId="77777777" w:rsidR="003F7BEC" w:rsidRPr="00592285" w:rsidRDefault="003F7BEC" w:rsidP="003F7BEC">
      <w:pPr>
        <w:tabs>
          <w:tab w:val="num" w:pos="3240"/>
        </w:tabs>
        <w:spacing w:before="120"/>
        <w:ind w:left="2160" w:hanging="1026"/>
        <w:jc w:val="both"/>
        <w:rPr>
          <w:rFonts w:ascii="Tahoma" w:hAnsi="Tahoma" w:cs="Tahoma"/>
          <w:sz w:val="20"/>
          <w:szCs w:val="20"/>
        </w:rPr>
      </w:pPr>
      <w:bookmarkStart w:id="1" w:name="_Ref249432111"/>
      <w:r>
        <w:rPr>
          <w:rFonts w:ascii="Tahoma" w:hAnsi="Tahoma"/>
          <w:sz w:val="20"/>
        </w:rPr>
        <w:t>2.1.3.1. During the intraday clearing session:</w:t>
      </w:r>
      <w:bookmarkEnd w:id="1"/>
    </w:p>
    <w:p w14:paraId="279C4B9A" w14:textId="77777777" w:rsidR="003F7BEC" w:rsidRPr="00592285" w:rsidRDefault="003F7BEC" w:rsidP="003F7BEC">
      <w:pPr>
        <w:tabs>
          <w:tab w:val="left" w:pos="9000"/>
        </w:tabs>
        <w:spacing w:before="120"/>
        <w:ind w:left="1134"/>
        <w:jc w:val="both"/>
        <w:rPr>
          <w:rFonts w:ascii="Tahoma" w:hAnsi="Tahoma" w:cs="Tahoma"/>
          <w:sz w:val="20"/>
          <w:szCs w:val="20"/>
        </w:rPr>
      </w:pPr>
      <w:r>
        <w:rPr>
          <w:rFonts w:ascii="Tahoma" w:hAnsi="Tahoma"/>
          <w:sz w:val="20"/>
        </w:rPr>
        <w:t>a) If the variation margin has not been calculated before:</w:t>
      </w:r>
    </w:p>
    <w:p w14:paraId="320D1AF4" w14:textId="77777777" w:rsidR="003F7BEC" w:rsidRPr="00592285" w:rsidRDefault="003F7BEC" w:rsidP="003F7BEC">
      <w:pPr>
        <w:tabs>
          <w:tab w:val="left" w:pos="9000"/>
        </w:tabs>
        <w:spacing w:before="120"/>
        <w:ind w:left="1418"/>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3BCFCB79" w14:textId="77777777" w:rsidR="003F7BEC" w:rsidRPr="00592285" w:rsidRDefault="003F7BEC" w:rsidP="003F7BEC">
      <w:pPr>
        <w:tabs>
          <w:tab w:val="left" w:pos="9000"/>
        </w:tabs>
        <w:spacing w:before="120"/>
        <w:ind w:left="1418"/>
        <w:jc w:val="both"/>
        <w:rPr>
          <w:rFonts w:ascii="Tahoma" w:hAnsi="Tahoma" w:cs="Tahoma"/>
          <w:sz w:val="20"/>
          <w:szCs w:val="20"/>
        </w:rPr>
      </w:pPr>
      <w:r>
        <w:rPr>
          <w:rFonts w:ascii="Tahoma" w:hAnsi="Tahoma"/>
          <w:sz w:val="20"/>
        </w:rPr>
        <w:t>where:</w:t>
      </w:r>
    </w:p>
    <w:p w14:paraId="2DBDA9B7"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60249344"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763283F9"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0AFDD35B"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46A2131D"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52C41D32" w14:textId="77777777" w:rsidR="003F7BEC" w:rsidRPr="00592285" w:rsidRDefault="003F7BEC" w:rsidP="003F7BEC">
      <w:pPr>
        <w:ind w:left="1418"/>
        <w:jc w:val="both"/>
        <w:rPr>
          <w:rFonts w:ascii="Tahoma" w:hAnsi="Tahoma" w:cs="Tahoma"/>
          <w:sz w:val="20"/>
          <w:szCs w:val="20"/>
        </w:rPr>
      </w:pPr>
      <w:r>
        <w:rPr>
          <w:rFonts w:ascii="Tahoma" w:hAnsi="Tahoma"/>
          <w:sz w:val="20"/>
        </w:rPr>
        <w:t>R - the tick.</w:t>
      </w:r>
    </w:p>
    <w:p w14:paraId="48A0E2F3" w14:textId="77777777" w:rsidR="003F7BEC" w:rsidRPr="00592285" w:rsidRDefault="003F7BEC" w:rsidP="003F7BEC">
      <w:pPr>
        <w:tabs>
          <w:tab w:val="left" w:pos="9000"/>
        </w:tabs>
        <w:spacing w:before="120"/>
        <w:ind w:left="1134"/>
        <w:jc w:val="both"/>
        <w:rPr>
          <w:rFonts w:ascii="Tahoma" w:hAnsi="Tahoma" w:cs="Tahoma"/>
          <w:sz w:val="20"/>
          <w:szCs w:val="20"/>
        </w:rPr>
      </w:pPr>
      <w:r>
        <w:rPr>
          <w:rFonts w:ascii="Tahoma" w:hAnsi="Tahoma"/>
          <w:sz w:val="20"/>
        </w:rPr>
        <w:t>b) If the variation margin has been calculated before:</w:t>
      </w:r>
    </w:p>
    <w:p w14:paraId="5F2F71AC" w14:textId="77777777" w:rsidR="003F7BEC" w:rsidRPr="00592285" w:rsidRDefault="003F7BEC" w:rsidP="003F7BEC">
      <w:pPr>
        <w:tabs>
          <w:tab w:val="left" w:pos="9000"/>
        </w:tabs>
        <w:spacing w:before="120"/>
        <w:ind w:left="1418"/>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(SP</w:t>
      </w:r>
      <w:r>
        <w:rPr>
          <w:rFonts w:ascii="Tahoma" w:hAnsi="Tahoma"/>
          <w:b/>
          <w:sz w:val="20"/>
          <w:vertAlign w:val="subscript"/>
        </w:rPr>
        <w:t>P</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3A28B4D1" w14:textId="77777777" w:rsidR="003F7BEC" w:rsidRPr="002F0720" w:rsidRDefault="003F7BEC" w:rsidP="003F7BEC">
      <w:pPr>
        <w:tabs>
          <w:tab w:val="left" w:pos="9000"/>
        </w:tabs>
        <w:spacing w:before="120"/>
        <w:ind w:left="1418"/>
        <w:jc w:val="both"/>
        <w:rPr>
          <w:rFonts w:ascii="Tahoma" w:hAnsi="Tahoma" w:cs="Tahoma"/>
          <w:sz w:val="20"/>
          <w:szCs w:val="20"/>
        </w:rPr>
      </w:pPr>
      <w:r>
        <w:rPr>
          <w:rFonts w:ascii="Tahoma" w:hAnsi="Tahoma"/>
          <w:sz w:val="20"/>
        </w:rPr>
        <w:t>where:</w:t>
      </w:r>
    </w:p>
    <w:p w14:paraId="46AD8DE4"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0B29471D"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4999CA7F"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2BFA555C" w14:textId="77777777" w:rsidR="003F7BEC" w:rsidRPr="00592285" w:rsidRDefault="003F7BEC" w:rsidP="003F7BEC">
      <w:pPr>
        <w:tabs>
          <w:tab w:val="left" w:pos="9000"/>
        </w:tabs>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3DA9817D"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2AD974CC" w14:textId="77777777" w:rsidR="003F7BEC" w:rsidRPr="00592285" w:rsidRDefault="003F7BEC" w:rsidP="003F7BEC">
      <w:pPr>
        <w:ind w:left="1418"/>
        <w:jc w:val="both"/>
        <w:rPr>
          <w:rFonts w:ascii="Tahoma" w:hAnsi="Tahoma" w:cs="Tahoma"/>
          <w:sz w:val="20"/>
          <w:szCs w:val="20"/>
        </w:rPr>
      </w:pPr>
      <w:r>
        <w:rPr>
          <w:rFonts w:ascii="Tahoma" w:hAnsi="Tahoma"/>
          <w:sz w:val="20"/>
        </w:rPr>
        <w:t>R - the tick.</w:t>
      </w:r>
    </w:p>
    <w:p w14:paraId="73628E86" w14:textId="54AF209B" w:rsidR="003F7BEC" w:rsidRPr="00A612AF" w:rsidRDefault="003F7BEC" w:rsidP="003F7BEC">
      <w:pPr>
        <w:spacing w:before="120"/>
        <w:ind w:left="1134"/>
        <w:jc w:val="both"/>
        <w:rPr>
          <w:rFonts w:ascii="Tahoma" w:hAnsi="Tahoma" w:cs="Tahoma"/>
          <w:sz w:val="20"/>
          <w:szCs w:val="20"/>
        </w:rPr>
      </w:pPr>
      <w:r>
        <w:rPr>
          <w:rFonts w:ascii="Tahoma" w:hAnsi="Tahoma"/>
          <w:sz w:val="20"/>
        </w:rPr>
        <w:t>To calculate the variation margin during the intraday clearing session of the current Trading Day, the value of the tick value is specified in RUB, according to the List of Parameters of Cash-Settled Sector Index Futures Contracts published on the Exchange's website.</w:t>
      </w:r>
    </w:p>
    <w:p w14:paraId="27029169" w14:textId="77777777" w:rsidR="003F7BEC" w:rsidRPr="00592285" w:rsidRDefault="003F7BEC" w:rsidP="003F7BEC">
      <w:pPr>
        <w:tabs>
          <w:tab w:val="num" w:pos="3240"/>
        </w:tabs>
        <w:spacing w:before="120"/>
        <w:ind w:left="2160" w:hanging="1026"/>
        <w:jc w:val="both"/>
        <w:rPr>
          <w:rFonts w:ascii="Tahoma" w:hAnsi="Tahoma" w:cs="Tahoma"/>
          <w:sz w:val="20"/>
          <w:szCs w:val="20"/>
        </w:rPr>
      </w:pPr>
      <w:r>
        <w:rPr>
          <w:rFonts w:ascii="Tahoma" w:hAnsi="Tahoma"/>
          <w:sz w:val="20"/>
        </w:rPr>
        <w:t>2.1.3.2. During the evening clearing session:</w:t>
      </w:r>
    </w:p>
    <w:p w14:paraId="28911DD2" w14:textId="77777777" w:rsidR="003F7BEC" w:rsidRPr="00592285" w:rsidRDefault="003F7BEC" w:rsidP="003F7BEC">
      <w:pPr>
        <w:numPr>
          <w:ilvl w:val="0"/>
          <w:numId w:val="18"/>
        </w:numPr>
        <w:tabs>
          <w:tab w:val="left" w:pos="1418"/>
        </w:tabs>
        <w:spacing w:before="120"/>
        <w:ind w:left="1418" w:hanging="284"/>
        <w:jc w:val="both"/>
        <w:rPr>
          <w:rFonts w:ascii="Tahoma" w:hAnsi="Tahoma" w:cs="Tahoma"/>
          <w:sz w:val="20"/>
          <w:szCs w:val="20"/>
        </w:rPr>
      </w:pPr>
      <w:r>
        <w:rPr>
          <w:rFonts w:ascii="Tahoma" w:hAnsi="Tahoma"/>
          <w:sz w:val="20"/>
        </w:rPr>
        <w:t>If the variation margin has not been calculated before:</w:t>
      </w:r>
    </w:p>
    <w:p w14:paraId="6231CF5D" w14:textId="77777777" w:rsidR="003F7BEC" w:rsidRPr="00592285" w:rsidRDefault="003F7BEC" w:rsidP="003F7BEC">
      <w:pPr>
        <w:tabs>
          <w:tab w:val="left" w:pos="9000"/>
        </w:tabs>
        <w:spacing w:before="120"/>
        <w:ind w:left="1418"/>
        <w:jc w:val="both"/>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2BED06F7" w14:textId="77777777" w:rsidR="003F7BEC" w:rsidRPr="00592285" w:rsidRDefault="003F7BEC" w:rsidP="003F7BEC">
      <w:pPr>
        <w:tabs>
          <w:tab w:val="left" w:pos="9000"/>
        </w:tabs>
        <w:spacing w:before="120"/>
        <w:ind w:left="1418"/>
        <w:jc w:val="both"/>
        <w:rPr>
          <w:rFonts w:ascii="Tahoma" w:hAnsi="Tahoma" w:cs="Tahoma"/>
          <w:sz w:val="20"/>
          <w:szCs w:val="20"/>
        </w:rPr>
      </w:pPr>
      <w:r>
        <w:rPr>
          <w:rFonts w:ascii="Tahoma" w:hAnsi="Tahoma"/>
          <w:sz w:val="20"/>
        </w:rPr>
        <w:t>where:</w:t>
      </w:r>
    </w:p>
    <w:p w14:paraId="3F3105F3"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56BE1B69"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562E66B5"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D27063E"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D276637"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1B894930"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R - the tick.</w:t>
      </w:r>
    </w:p>
    <w:p w14:paraId="7CC97DFE" w14:textId="77777777" w:rsidR="003F7BEC" w:rsidRPr="00592285" w:rsidRDefault="003F7BEC" w:rsidP="003F7BEC">
      <w:pPr>
        <w:numPr>
          <w:ilvl w:val="0"/>
          <w:numId w:val="18"/>
        </w:numPr>
        <w:tabs>
          <w:tab w:val="left" w:pos="1418"/>
        </w:tabs>
        <w:spacing w:before="120"/>
        <w:ind w:left="1418" w:hanging="284"/>
        <w:jc w:val="both"/>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58F36505" w14:textId="77777777" w:rsidR="003F7BEC" w:rsidRPr="00592285" w:rsidRDefault="003F7BEC" w:rsidP="003F7BEC">
      <w:pPr>
        <w:tabs>
          <w:tab w:val="left" w:pos="9000"/>
        </w:tabs>
        <w:spacing w:before="120"/>
        <w:ind w:left="1418"/>
        <w:jc w:val="both"/>
        <w:rPr>
          <w:rFonts w:ascii="Tahoma" w:hAnsi="Tahoma" w:cs="Tahoma"/>
          <w:b/>
          <w:sz w:val="20"/>
          <w:szCs w:val="20"/>
        </w:rPr>
      </w:pPr>
      <w:r>
        <w:rPr>
          <w:rFonts w:ascii="Tahoma" w:hAnsi="Tahoma"/>
          <w:b/>
          <w:sz w:val="20"/>
        </w:rPr>
        <w:lastRenderedPageBreak/>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0C775274" w14:textId="77777777" w:rsidR="003F7BEC" w:rsidRPr="00592285" w:rsidRDefault="003F7BEC" w:rsidP="003F7BEC">
      <w:pPr>
        <w:tabs>
          <w:tab w:val="left" w:pos="9000"/>
        </w:tabs>
        <w:spacing w:before="120"/>
        <w:ind w:left="1418"/>
        <w:jc w:val="both"/>
        <w:rPr>
          <w:rFonts w:ascii="Tahoma" w:hAnsi="Tahoma" w:cs="Tahoma"/>
          <w:sz w:val="20"/>
          <w:szCs w:val="20"/>
        </w:rPr>
      </w:pPr>
      <w:r>
        <w:rPr>
          <w:rFonts w:ascii="Tahoma" w:hAnsi="Tahoma"/>
          <w:sz w:val="20"/>
        </w:rPr>
        <w:t>where:</w:t>
      </w:r>
    </w:p>
    <w:p w14:paraId="58A2D341"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798F3768" w14:textId="77777777"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064D85F9" w14:textId="659CB8D4" w:rsidR="003F7BEC" w:rsidRPr="00592285" w:rsidRDefault="003F7BEC" w:rsidP="003F7BEC">
      <w:pPr>
        <w:tabs>
          <w:tab w:val="left" w:pos="9000"/>
        </w:tabs>
        <w:ind w:left="1418"/>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w:t>
      </w:r>
      <w:proofErr w:type="spellStart"/>
      <w:r>
        <w:rPr>
          <w:rFonts w:ascii="Tahoma" w:hAnsi="Tahoma"/>
          <w:sz w:val="20"/>
        </w:rPr>
        <w:t>the</w:t>
      </w:r>
      <w:proofErr w:type="spellEnd"/>
      <w:r>
        <w:rPr>
          <w:rFonts w:ascii="Tahoma" w:hAnsi="Tahoma"/>
          <w:sz w:val="20"/>
        </w:rPr>
        <w:t xml:space="preserve"> current trading day as per clause 2.1.3.1 above.</w:t>
      </w:r>
    </w:p>
    <w:p w14:paraId="6719583A" w14:textId="77777777" w:rsidR="003F7BEC" w:rsidRPr="00592285" w:rsidRDefault="003F7BEC" w:rsidP="003F7BEC">
      <w:pPr>
        <w:tabs>
          <w:tab w:val="left" w:pos="9000"/>
        </w:tabs>
        <w:spacing w:before="120"/>
        <w:ind w:left="1418"/>
        <w:jc w:val="both"/>
        <w:rPr>
          <w:rFonts w:ascii="Tahoma" w:hAnsi="Tahoma" w:cs="Tahoma"/>
          <w:sz w:val="20"/>
          <w:szCs w:val="20"/>
        </w:rPr>
      </w:pPr>
      <w:r>
        <w:rPr>
          <w:rFonts w:ascii="Tahoma" w:hAnsi="Tahoma"/>
          <w:sz w:val="20"/>
        </w:rPr>
        <w:t xml:space="preserve">VM is determined according to the following formulas: </w:t>
      </w:r>
    </w:p>
    <w:p w14:paraId="525AA0CE" w14:textId="77777777" w:rsidR="003F7BEC" w:rsidRPr="00592285" w:rsidRDefault="003F7BEC" w:rsidP="003F7BEC">
      <w:pPr>
        <w:numPr>
          <w:ilvl w:val="0"/>
          <w:numId w:val="19"/>
        </w:numPr>
        <w:tabs>
          <w:tab w:val="left" w:pos="1701"/>
        </w:tabs>
        <w:spacing w:before="120"/>
        <w:ind w:left="1701" w:hanging="283"/>
        <w:jc w:val="both"/>
        <w:rPr>
          <w:rFonts w:ascii="Tahoma" w:hAnsi="Tahoma" w:cs="Tahoma"/>
          <w:sz w:val="20"/>
          <w:szCs w:val="20"/>
        </w:rPr>
      </w:pPr>
      <w:r>
        <w:rPr>
          <w:rFonts w:ascii="Tahoma" w:hAnsi="Tahoma"/>
          <w:sz w:val="20"/>
        </w:rPr>
        <w:t>If the variation margin has not been calculated for the previous trading day in the evening clearing session:</w:t>
      </w:r>
    </w:p>
    <w:p w14:paraId="79D7E2B6" w14:textId="77777777" w:rsidR="003F7BEC" w:rsidRPr="00592285" w:rsidRDefault="003F7BEC" w:rsidP="003F7BEC">
      <w:pPr>
        <w:tabs>
          <w:tab w:val="left" w:pos="1701"/>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w:t>
      </w:r>
      <w:proofErr w:type="gramStart"/>
      <w:r>
        <w:rPr>
          <w:rFonts w:ascii="Tahoma" w:hAnsi="Tahoma"/>
          <w:sz w:val="20"/>
        </w:rPr>
        <w:t>Round(</w:t>
      </w:r>
      <w:proofErr w:type="gramEnd"/>
      <w:r>
        <w:rPr>
          <w:rFonts w:ascii="Tahoma" w:hAnsi="Tahoma"/>
          <w:sz w:val="20"/>
        </w:rPr>
        <w:t>W</w:t>
      </w:r>
      <w:r>
        <w:rPr>
          <w:rFonts w:ascii="Tahoma" w:hAnsi="Tahoma"/>
          <w:sz w:val="20"/>
          <w:vertAlign w:val="subscript"/>
        </w:rPr>
        <w:t>2</w:t>
      </w:r>
      <w:r>
        <w:rPr>
          <w:rFonts w:ascii="Tahoma" w:hAnsi="Tahoma"/>
          <w:sz w:val="20"/>
        </w:rPr>
        <w:t>/R; 5); 2) – Round(P</w:t>
      </w:r>
      <w:r>
        <w:rPr>
          <w:rFonts w:ascii="Tahoma" w:hAnsi="Tahoma"/>
          <w:sz w:val="20"/>
          <w:vertAlign w:val="subscript"/>
        </w:rPr>
        <w:t>0</w:t>
      </w:r>
      <w:r>
        <w:rPr>
          <w:rFonts w:ascii="Tahoma" w:hAnsi="Tahoma"/>
          <w:sz w:val="20"/>
        </w:rPr>
        <w:t>*Round (W</w:t>
      </w:r>
      <w:r>
        <w:rPr>
          <w:rFonts w:ascii="Tahoma" w:hAnsi="Tahoma"/>
          <w:sz w:val="20"/>
          <w:vertAlign w:val="subscript"/>
        </w:rPr>
        <w:t>2</w:t>
      </w:r>
      <w:r>
        <w:rPr>
          <w:rFonts w:ascii="Tahoma" w:hAnsi="Tahoma"/>
          <w:sz w:val="20"/>
        </w:rPr>
        <w:t>/R; 5); 2)</w:t>
      </w:r>
    </w:p>
    <w:p w14:paraId="6A216530" w14:textId="77777777" w:rsidR="003F7BEC" w:rsidRPr="00592285" w:rsidRDefault="003F7BEC" w:rsidP="003F7BEC">
      <w:pPr>
        <w:tabs>
          <w:tab w:val="left" w:pos="1701"/>
          <w:tab w:val="left" w:pos="9000"/>
        </w:tabs>
        <w:spacing w:before="120"/>
        <w:ind w:left="1701"/>
        <w:jc w:val="both"/>
        <w:rPr>
          <w:rFonts w:ascii="Tahoma" w:hAnsi="Tahoma" w:cs="Tahoma"/>
          <w:sz w:val="20"/>
          <w:szCs w:val="20"/>
        </w:rPr>
      </w:pPr>
      <w:r>
        <w:rPr>
          <w:rFonts w:ascii="Tahoma" w:hAnsi="Tahoma"/>
          <w:sz w:val="20"/>
        </w:rPr>
        <w:t>where:</w:t>
      </w:r>
    </w:p>
    <w:p w14:paraId="1E33D30F"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Round – mathematical rounding to the specified precision,</w:t>
      </w:r>
    </w:p>
    <w:p w14:paraId="45349A26"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0E0A8A63"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56B9EA1"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4CB155D6" w14:textId="77777777" w:rsidR="003F7BEC" w:rsidRPr="00592285" w:rsidRDefault="003F7BEC" w:rsidP="003F7BEC">
      <w:pPr>
        <w:tabs>
          <w:tab w:val="left" w:pos="1701"/>
          <w:tab w:val="left" w:pos="9000"/>
        </w:tabs>
        <w:ind w:left="1701"/>
        <w:jc w:val="both"/>
        <w:rPr>
          <w:rFonts w:ascii="Tahoma" w:hAnsi="Tahoma" w:cs="Tahoma"/>
          <w:sz w:val="20"/>
          <w:szCs w:val="20"/>
        </w:rPr>
      </w:pPr>
      <w:r>
        <w:rPr>
          <w:rFonts w:ascii="Tahoma" w:hAnsi="Tahoma"/>
          <w:sz w:val="20"/>
        </w:rPr>
        <w:t>R - the tick.</w:t>
      </w:r>
    </w:p>
    <w:p w14:paraId="4A36DA4B" w14:textId="77777777" w:rsidR="003F7BEC" w:rsidRPr="00592285" w:rsidRDefault="003F7BEC" w:rsidP="003F7BEC">
      <w:pPr>
        <w:tabs>
          <w:tab w:val="left" w:pos="1418"/>
          <w:tab w:val="left" w:pos="9000"/>
        </w:tabs>
        <w:spacing w:before="120"/>
        <w:ind w:left="1701" w:hanging="283"/>
        <w:jc w:val="both"/>
        <w:rPr>
          <w:rFonts w:ascii="Tahoma" w:hAnsi="Tahoma" w:cs="Tahoma"/>
          <w:sz w:val="20"/>
          <w:szCs w:val="20"/>
        </w:rPr>
      </w:pPr>
      <w:r>
        <w:rPr>
          <w:rFonts w:ascii="Tahoma" w:hAnsi="Tahoma"/>
          <w:sz w:val="20"/>
        </w:rPr>
        <w:t>ii. If the variation margin has been calculated for the previous trading day in the evening clearing session:</w:t>
      </w:r>
    </w:p>
    <w:p w14:paraId="35614A23" w14:textId="5DF3215D" w:rsidR="003F7BEC" w:rsidRPr="00592285" w:rsidRDefault="003F7BEC" w:rsidP="003F7BEC">
      <w:pPr>
        <w:tabs>
          <w:tab w:val="left" w:pos="1701"/>
          <w:tab w:val="left" w:pos="1985"/>
          <w:tab w:val="left" w:pos="9000"/>
        </w:tabs>
        <w:spacing w:before="120"/>
        <w:ind w:left="1701"/>
        <w:rPr>
          <w:rFonts w:ascii="Tahoma" w:hAnsi="Tahoma" w:cs="Tahoma"/>
          <w:sz w:val="20"/>
          <w:szCs w:val="20"/>
        </w:rPr>
      </w:pPr>
      <w:r>
        <w:rPr>
          <w:rFonts w:ascii="Tahoma" w:hAnsi="Tahoma"/>
          <w:b/>
          <w:sz w:val="20"/>
        </w:rPr>
        <w:t>VM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 xml:space="preserve">/R; 5); 2) – </w:t>
      </w:r>
      <w:proofErr w:type="gramStart"/>
      <w:r>
        <w:rPr>
          <w:rFonts w:ascii="Tahoma" w:hAnsi="Tahoma"/>
          <w:b/>
          <w:sz w:val="20"/>
        </w:rPr>
        <w:t>Round(</w:t>
      </w:r>
      <w:proofErr w:type="gramEnd"/>
      <w:r>
        <w:rPr>
          <w:rFonts w:ascii="Tahoma" w:hAnsi="Tahoma"/>
          <w:b/>
          <w:sz w:val="20"/>
        </w:rPr>
        <w:t>SP</w:t>
      </w:r>
      <w:r>
        <w:rPr>
          <w:rFonts w:ascii="Tahoma" w:hAnsi="Tahoma"/>
          <w:b/>
          <w:sz w:val="20"/>
          <w:vertAlign w:val="subscript"/>
        </w:rPr>
        <w:t>P</w:t>
      </w:r>
      <w:r>
        <w:rPr>
          <w:rFonts w:ascii="Tahoma" w:hAnsi="Tahoma"/>
          <w:b/>
          <w:sz w:val="20"/>
        </w:rPr>
        <w:t>*Round (W</w:t>
      </w:r>
      <w:r>
        <w:rPr>
          <w:rFonts w:ascii="Tahoma" w:hAnsi="Tahoma"/>
          <w:b/>
          <w:sz w:val="20"/>
          <w:vertAlign w:val="subscript"/>
        </w:rPr>
        <w:t>2</w:t>
      </w:r>
      <w:r>
        <w:rPr>
          <w:rFonts w:ascii="Tahoma" w:hAnsi="Tahoma"/>
          <w:b/>
          <w:sz w:val="20"/>
        </w:rPr>
        <w:t>/R; 5);</w:t>
      </w:r>
    </w:p>
    <w:p w14:paraId="7065E0DA" w14:textId="77777777" w:rsidR="003F7BEC" w:rsidRPr="00592285" w:rsidRDefault="003F7BEC" w:rsidP="003F7BEC">
      <w:pPr>
        <w:tabs>
          <w:tab w:val="left" w:pos="1701"/>
          <w:tab w:val="left" w:pos="1985"/>
          <w:tab w:val="left" w:pos="9000"/>
        </w:tabs>
        <w:spacing w:before="120"/>
        <w:ind w:left="1701"/>
        <w:rPr>
          <w:rFonts w:ascii="Tahoma" w:hAnsi="Tahoma" w:cs="Tahoma"/>
          <w:sz w:val="20"/>
          <w:szCs w:val="20"/>
        </w:rPr>
      </w:pPr>
      <w:r>
        <w:rPr>
          <w:rFonts w:ascii="Tahoma" w:hAnsi="Tahoma"/>
          <w:sz w:val="20"/>
        </w:rPr>
        <w:t>where:</w:t>
      </w:r>
    </w:p>
    <w:p w14:paraId="0F6FF79F"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r>
        <w:rPr>
          <w:rFonts w:ascii="Tahoma" w:hAnsi="Tahoma"/>
          <w:sz w:val="20"/>
        </w:rPr>
        <w:t>Round – mathematical rounding to the specified precision,</w:t>
      </w:r>
    </w:p>
    <w:p w14:paraId="557B3BF1"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3B77AB1"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0EAD8F3"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2C91DDD6" w14:textId="77777777" w:rsidR="003F7BEC" w:rsidRPr="00592285" w:rsidRDefault="003F7BEC" w:rsidP="003F7BEC">
      <w:pPr>
        <w:tabs>
          <w:tab w:val="left" w:pos="1701"/>
          <w:tab w:val="left" w:pos="1985"/>
          <w:tab w:val="left" w:pos="9000"/>
        </w:tabs>
        <w:ind w:left="1701"/>
        <w:jc w:val="both"/>
        <w:rPr>
          <w:rFonts w:ascii="Tahoma" w:hAnsi="Tahoma" w:cs="Tahoma"/>
          <w:sz w:val="20"/>
          <w:szCs w:val="20"/>
        </w:rPr>
      </w:pPr>
      <w:r>
        <w:rPr>
          <w:rFonts w:ascii="Tahoma" w:hAnsi="Tahoma"/>
          <w:sz w:val="20"/>
        </w:rPr>
        <w:t>R - the tick.</w:t>
      </w:r>
    </w:p>
    <w:p w14:paraId="72F8225F" w14:textId="63C3CC3E" w:rsidR="003F7BEC" w:rsidRPr="00592285" w:rsidRDefault="003F7BEC" w:rsidP="003F7BEC">
      <w:pPr>
        <w:spacing w:before="120"/>
        <w:ind w:left="1134"/>
        <w:jc w:val="both"/>
        <w:rPr>
          <w:rFonts w:ascii="Tahoma" w:hAnsi="Tahoma" w:cs="Tahoma"/>
          <w:sz w:val="20"/>
          <w:szCs w:val="20"/>
        </w:rPr>
      </w:pPr>
      <w:r>
        <w:rPr>
          <w:rFonts w:ascii="Tahoma" w:hAnsi="Tahoma"/>
          <w:sz w:val="20"/>
        </w:rPr>
        <w:t>To calculate the variation margin during the intraday clearing session of the current Trading Day, the value of the tick is specified in RUB, according to the List of Parameters of Cash-Settled Sector Index Futures Contracts published on the Exchange website.</w:t>
      </w:r>
    </w:p>
    <w:p w14:paraId="344B893A" w14:textId="77777777" w:rsidR="003F7BEC" w:rsidRPr="00592285" w:rsidRDefault="003F7BEC" w:rsidP="003F7BEC">
      <w:pPr>
        <w:numPr>
          <w:ilvl w:val="2"/>
          <w:numId w:val="0"/>
        </w:numPr>
        <w:tabs>
          <w:tab w:val="num" w:pos="1134"/>
        </w:tabs>
        <w:spacing w:before="120" w:after="60"/>
        <w:ind w:left="1134" w:hanging="567"/>
        <w:jc w:val="both"/>
        <w:rPr>
          <w:rFonts w:ascii="Tahoma" w:hAnsi="Tahoma" w:cs="Tahoma"/>
          <w:color w:val="000000"/>
          <w:sz w:val="20"/>
          <w:szCs w:val="20"/>
        </w:rPr>
      </w:pPr>
      <w:r>
        <w:rPr>
          <w:rFonts w:ascii="Tahoma" w:hAnsi="Tahoma"/>
          <w:color w:val="000000"/>
          <w:sz w:val="20"/>
        </w:rPr>
        <w:t xml:space="preserve">2.1.4. The obligation to pay the variation margin calculated according to the formulas specified in clause 2.1.3 above shall be fulfilled according to the procedure and within the terms established by the Clearing Rules. For this purpose, </w:t>
      </w:r>
    </w:p>
    <w:p w14:paraId="50DC5381" w14:textId="77777777" w:rsidR="003F7BEC" w:rsidRPr="00592285" w:rsidRDefault="003F7BEC" w:rsidP="003F7BEC">
      <w:pPr>
        <w:numPr>
          <w:ilvl w:val="0"/>
          <w:numId w:val="17"/>
        </w:numPr>
        <w:spacing w:before="120"/>
        <w:ind w:left="1701" w:hanging="284"/>
        <w:jc w:val="both"/>
        <w:rPr>
          <w:rFonts w:ascii="Tahoma" w:hAnsi="Tahoma" w:cs="Tahoma"/>
          <w:color w:val="000000"/>
          <w:sz w:val="20"/>
          <w:szCs w:val="20"/>
        </w:rPr>
      </w:pPr>
      <w:r>
        <w:rPr>
          <w:rFonts w:ascii="Tahoma" w:hAnsi="Tahoma"/>
          <w:color w:val="000000"/>
          <w:sz w:val="20"/>
        </w:rPr>
        <w:t>if the variation margin is positive, the obligation to pay the variation margin arises for the Seller;</w:t>
      </w:r>
    </w:p>
    <w:p w14:paraId="2F7C691C" w14:textId="77777777" w:rsidR="003F7BEC" w:rsidRPr="00592285" w:rsidRDefault="003F7BEC" w:rsidP="003F7BEC">
      <w:pPr>
        <w:numPr>
          <w:ilvl w:val="0"/>
          <w:numId w:val="17"/>
        </w:numPr>
        <w:spacing w:before="120"/>
        <w:ind w:left="1701" w:hanging="284"/>
        <w:jc w:val="both"/>
        <w:rPr>
          <w:rFonts w:ascii="Tahoma" w:hAnsi="Tahoma" w:cs="Tahoma"/>
          <w:color w:val="000000"/>
          <w:sz w:val="20"/>
          <w:szCs w:val="20"/>
        </w:rPr>
      </w:pPr>
      <w:r>
        <w:rPr>
          <w:rFonts w:ascii="Tahoma" w:hAnsi="Tahoma"/>
          <w:color w:val="000000"/>
          <w:sz w:val="20"/>
        </w:rPr>
        <w:t>if the variation margin is negative, the Buyer is obliged to pay the absolute value of the variation margin.</w:t>
      </w:r>
    </w:p>
    <w:p w14:paraId="52D92A91" w14:textId="77777777" w:rsidR="003F7BEC" w:rsidRPr="00592285" w:rsidRDefault="003F7BEC" w:rsidP="003F7BEC">
      <w:pPr>
        <w:numPr>
          <w:ilvl w:val="2"/>
          <w:numId w:val="0"/>
        </w:numPr>
        <w:tabs>
          <w:tab w:val="num" w:pos="1134"/>
        </w:tabs>
        <w:spacing w:before="120" w:after="60"/>
        <w:ind w:left="1134" w:hanging="567"/>
        <w:jc w:val="both"/>
        <w:rPr>
          <w:rFonts w:ascii="Tahoma" w:hAnsi="Tahoma" w:cs="Tahoma"/>
          <w:color w:val="000000"/>
          <w:sz w:val="20"/>
          <w:szCs w:val="20"/>
        </w:rPr>
      </w:pPr>
      <w:r>
        <w:rPr>
          <w:rFonts w:ascii="Tahoma" w:hAnsi="Tahoma"/>
          <w:color w:val="000000"/>
          <w:sz w:val="20"/>
        </w:rPr>
        <w:t>2.1.5. The settlement price of the Contract is set by the Exchange under the procedure and within the time frames set out in the Trading Rules and Specification.</w:t>
      </w:r>
    </w:p>
    <w:p w14:paraId="51CBAF93" w14:textId="77777777" w:rsidR="008142ED" w:rsidRPr="00992166" w:rsidRDefault="008142ED" w:rsidP="008142ED">
      <w:pPr>
        <w:pStyle w:val="a0"/>
        <w:numPr>
          <w:ilvl w:val="1"/>
          <w:numId w:val="15"/>
        </w:numPr>
        <w:spacing w:before="120" w:after="0"/>
        <w:rPr>
          <w:rFonts w:ascii="Tahoma" w:hAnsi="Tahoma" w:cs="Tahoma"/>
        </w:rPr>
      </w:pPr>
      <w:r>
        <w:rPr>
          <w:rFonts w:ascii="Tahoma" w:hAnsi="Tahoma"/>
        </w:rPr>
        <w:t>Expiration settlement obligation</w:t>
      </w:r>
    </w:p>
    <w:p w14:paraId="0E1B8B53" w14:textId="77777777" w:rsidR="008142ED" w:rsidRPr="00992166" w:rsidRDefault="008142ED" w:rsidP="008142ED">
      <w:pPr>
        <w:pStyle w:val="10"/>
        <w:spacing w:before="120"/>
        <w:rPr>
          <w:rFonts w:ascii="Tahoma" w:hAnsi="Tahoma" w:cs="Tahoma"/>
        </w:rPr>
      </w:pPr>
      <w:bookmarkStart w:id="2" w:name="_Ref231715400"/>
      <w:r>
        <w:rPr>
          <w:rFonts w:ascii="Tahoma" w:hAnsi="Tahoma"/>
        </w:rPr>
        <w:t>The obligation to pay the variation margin as determined during the evening clearing session on the settlement date for the Contract, is the Expiration Settlement Obligation.</w:t>
      </w:r>
    </w:p>
    <w:p w14:paraId="51BC985D" w14:textId="06E5B926" w:rsidR="00312D7C" w:rsidRPr="00163F40" w:rsidRDefault="008142ED" w:rsidP="002B52A7">
      <w:pPr>
        <w:pStyle w:val="10"/>
        <w:rPr>
          <w:rFonts w:ascii="Tahoma" w:hAnsi="Tahoma" w:cs="Tahoma"/>
        </w:rPr>
      </w:pPr>
      <w:r>
        <w:t>For the purpose of determining the Expiration Settlement Obligation</w:t>
      </w:r>
      <w:bookmarkStart w:id="3" w:name="_Ref231278074"/>
      <w:r>
        <w:t xml:space="preserve">, the current Settlement Price </w:t>
      </w:r>
      <w:bookmarkStart w:id="4" w:name="_Ref231130227"/>
      <w:r>
        <w:rPr>
          <w:rFonts w:ascii="Tahoma" w:hAnsi="Tahoma"/>
        </w:rPr>
        <w:t>(the Expiration Settlement Price) shall be deemed to be equal to the average value of the relevant Sector Index for the period from 15:00 to 16:00 MSK</w:t>
      </w:r>
      <w:r w:rsidR="00451BC2" w:rsidRPr="00992166">
        <w:rPr>
          <w:rFonts w:ascii="Tahoma" w:hAnsi="Tahoma" w:cs="Tahoma"/>
          <w:vertAlign w:val="superscript"/>
        </w:rPr>
        <w:footnoteReference w:id="1"/>
      </w:r>
      <w:r>
        <w:rPr>
          <w:rFonts w:ascii="Tahoma" w:hAnsi="Tahoma"/>
        </w:rPr>
        <w:t xml:space="preserve"> on the last trading day for the Contract, determined in accordance with sections 1.4, 5.1 or 5.2 of the Specification (the "Calculation Period"). This rule applies provided that, throughout the Calculation Period, the aggregate proportion of the value of all shares in the aggregate value of the securities </w:t>
      </w:r>
      <w:r>
        <w:rPr>
          <w:rFonts w:ascii="Tahoma" w:hAnsi="Tahoma"/>
        </w:rPr>
        <w:lastRenderedPageBreak/>
        <w:t xml:space="preserve">included in the relevant Sector Index (the "Shares; total weight of Shares in the Sector Index, </w:t>
      </w:r>
      <w:r w:rsidR="003C4615">
        <w:rPr>
          <w:rFonts w:ascii="Tahoma" w:hAnsi="Tahoma"/>
        </w:rPr>
        <w:t>respectively) was</w:t>
      </w:r>
      <w:r>
        <w:rPr>
          <w:rFonts w:ascii="Tahoma" w:hAnsi="Tahoma"/>
        </w:rPr>
        <w:t xml:space="preserve"> at least 75% in each 15 second of the Calculation Period (the "Current Settlement Price Condition").</w:t>
      </w:r>
      <w:bookmarkEnd w:id="2"/>
      <w:bookmarkEnd w:id="4"/>
      <w:r>
        <w:rPr>
          <w:rFonts w:ascii="Tahoma" w:hAnsi="Tahoma"/>
        </w:rPr>
        <w:t xml:space="preserve"> </w:t>
      </w:r>
      <w:r w:rsidR="005D2024" w:rsidRPr="005D2024">
        <w:rPr>
          <w:rFonts w:ascii="Tahoma" w:hAnsi="Tahoma"/>
        </w:rPr>
        <w:t>In this case, to calculate the total weight of the Shares in the relevant Sectoral Index, the weights of the Shares determined at the close of the previous trading day are used, and only in relation to those Shares traded by the Exchange during the Calculation Period (except for trading in the Shares conducted in the form of a discrete auction).</w:t>
      </w:r>
      <w:r>
        <w:rPr>
          <w:rFonts w:ascii="Tahoma" w:hAnsi="Tahoma"/>
        </w:rPr>
        <w:t xml:space="preserve"> </w:t>
      </w:r>
    </w:p>
    <w:p w14:paraId="4B2DFDE1" w14:textId="77777777" w:rsidR="008142ED" w:rsidRPr="00992166" w:rsidRDefault="008142ED" w:rsidP="008142ED">
      <w:pPr>
        <w:pStyle w:val="10"/>
        <w:rPr>
          <w:rFonts w:ascii="Tahoma" w:hAnsi="Tahoma" w:cs="Tahoma"/>
        </w:rPr>
      </w:pPr>
      <w:bookmarkStart w:id="5" w:name="_Ref231127958"/>
      <w:bookmarkStart w:id="6" w:name="_Ref231808314"/>
      <w:bookmarkStart w:id="7" w:name="_Ref231278111"/>
      <w:bookmarkEnd w:id="3"/>
      <w:bookmarkEnd w:id="5"/>
      <w:r>
        <w:rPr>
          <w:rFonts w:ascii="Tahoma" w:hAnsi="Tahoma"/>
        </w:rPr>
        <w:t>If the Current Settlement Price Condition specified in clause 2.2.2 above is not met:</w:t>
      </w:r>
    </w:p>
    <w:p w14:paraId="3E716F43" w14:textId="77777777" w:rsidR="008142ED" w:rsidRPr="00992166" w:rsidRDefault="008142ED" w:rsidP="008142ED">
      <w:pPr>
        <w:pStyle w:val="10"/>
        <w:numPr>
          <w:ilvl w:val="3"/>
          <w:numId w:val="1"/>
        </w:numPr>
        <w:tabs>
          <w:tab w:val="clear" w:pos="3240"/>
          <w:tab w:val="num" w:pos="2268"/>
        </w:tabs>
        <w:spacing w:before="120" w:after="0"/>
        <w:ind w:left="2268" w:hanging="850"/>
        <w:rPr>
          <w:rFonts w:ascii="Tahoma" w:hAnsi="Tahoma" w:cs="Tahoma"/>
        </w:rPr>
      </w:pPr>
      <w:r>
        <w:rPr>
          <w:rFonts w:ascii="Tahoma" w:hAnsi="Tahoma"/>
        </w:rPr>
        <w:t xml:space="preserve">the Settlement Price of the evening Settlement Period of the last trading day for the Contract shall be determined by the Exchange in the manner prescribed by the Trading Rules; </w:t>
      </w:r>
    </w:p>
    <w:bookmarkEnd w:id="6"/>
    <w:p w14:paraId="20C644F8" w14:textId="4CE27E4E" w:rsidR="00561514" w:rsidRPr="00D0486F" w:rsidRDefault="00AB6150" w:rsidP="00561514">
      <w:pPr>
        <w:pStyle w:val="10"/>
        <w:numPr>
          <w:ilvl w:val="3"/>
          <w:numId w:val="1"/>
        </w:numPr>
        <w:tabs>
          <w:tab w:val="clear" w:pos="3240"/>
          <w:tab w:val="num" w:pos="2268"/>
        </w:tabs>
        <w:spacing w:before="120" w:after="120"/>
        <w:ind w:left="2268" w:hanging="850"/>
        <w:rPr>
          <w:rFonts w:ascii="Tahoma" w:hAnsi="Tahoma" w:cs="Tahoma"/>
        </w:rPr>
      </w:pPr>
      <w:r>
        <w:rPr>
          <w:rFonts w:ascii="Tahoma" w:hAnsi="Tahoma"/>
        </w:rPr>
        <w:t xml:space="preserve">the last trading day for the Contract shall be the next trading day during which the total trading time in Stocks, the total weight of which in the relevant Sector Index is not less than 75%, is not less than 60 minutes from 12:00 pm till 16:00 MSK (the "Reference Time"). </w:t>
      </w:r>
    </w:p>
    <w:p w14:paraId="71509996" w14:textId="591B5A58" w:rsidR="00561514" w:rsidRPr="00992166" w:rsidRDefault="005D2024" w:rsidP="00992166">
      <w:pPr>
        <w:pStyle w:val="10"/>
        <w:numPr>
          <w:ilvl w:val="0"/>
          <w:numId w:val="0"/>
        </w:numPr>
        <w:spacing w:before="120" w:after="120"/>
        <w:ind w:left="2268"/>
        <w:rPr>
          <w:rFonts w:ascii="Tahoma" w:hAnsi="Tahoma" w:cs="Tahoma"/>
        </w:rPr>
      </w:pPr>
      <w:r w:rsidRPr="005D2024">
        <w:rPr>
          <w:rFonts w:ascii="Tahoma" w:hAnsi="Tahoma"/>
        </w:rPr>
        <w:t>At the same time, to calculate the total weight of the Shares in the relevant Sectoral Index, the weights of the Shares determined at the close of the previous trading day are used, and only in relation to those Shares traded by the Exchange during the Settlement Time (except for trading in the Shares conducted in the form of a discrete auction).</w:t>
      </w:r>
      <w:bookmarkStart w:id="8" w:name="_GoBack"/>
      <w:bookmarkEnd w:id="8"/>
      <w:r w:rsidR="00561514">
        <w:rPr>
          <w:rFonts w:ascii="Tahoma" w:hAnsi="Tahoma"/>
        </w:rPr>
        <w:t xml:space="preserve"> </w:t>
      </w:r>
    </w:p>
    <w:p w14:paraId="3C20F1E0" w14:textId="112436A3" w:rsidR="00561514" w:rsidRPr="009324E3" w:rsidRDefault="00561514">
      <w:pPr>
        <w:pStyle w:val="10"/>
        <w:numPr>
          <w:ilvl w:val="0"/>
          <w:numId w:val="0"/>
        </w:numPr>
        <w:spacing w:before="120" w:after="120"/>
        <w:ind w:left="2268"/>
        <w:rPr>
          <w:rFonts w:ascii="Tahoma" w:hAnsi="Tahoma" w:cs="Tahoma"/>
        </w:rPr>
      </w:pPr>
      <w:r>
        <w:rPr>
          <w:rFonts w:ascii="Tahoma" w:hAnsi="Tahoma"/>
        </w:rPr>
        <w:t>In this case clause 2.2.2 of the Specification shall not apply and the current Settlement Price for the purpose of determining the Settlement Obligation shall be deemed to be equal to the average value of the relevant Sector Index cumulatively for the first 60 minutes of the Reference Time during which the total weight of Shares in the Index is at least 75%.</w:t>
      </w:r>
    </w:p>
    <w:p w14:paraId="56EBE4E2" w14:textId="77777777" w:rsidR="009075BE" w:rsidRPr="00992166" w:rsidRDefault="009075BE" w:rsidP="009075BE">
      <w:pPr>
        <w:pStyle w:val="10"/>
        <w:rPr>
          <w:rFonts w:ascii="Tahoma" w:hAnsi="Tahoma" w:cs="Tahoma"/>
        </w:rPr>
      </w:pPr>
      <w:r>
        <w:rPr>
          <w:rFonts w:ascii="Tahoma" w:hAnsi="Tahoma"/>
        </w:rPr>
        <w:t xml:space="preserve">The Settlement Price of the Contract is adjusted to account for the futures contract Settlement Price fluctuation limit, if established by the Exchange upon agreement with the Clearing </w:t>
      </w:r>
      <w:proofErr w:type="spellStart"/>
      <w:r>
        <w:rPr>
          <w:rFonts w:ascii="Tahoma" w:hAnsi="Tahoma"/>
        </w:rPr>
        <w:t>Center</w:t>
      </w:r>
      <w:proofErr w:type="spellEnd"/>
      <w:r>
        <w:rPr>
          <w:rFonts w:ascii="Tahoma" w:hAnsi="Tahoma"/>
        </w:rPr>
        <w:t xml:space="preserve"> under the Settlement Price Methodology for Derivative Contracts constituting the appendix to the Trading Rules.</w:t>
      </w:r>
    </w:p>
    <w:p w14:paraId="32B88905" w14:textId="6276ACF2" w:rsidR="008142ED" w:rsidRPr="00992166" w:rsidRDefault="008142ED" w:rsidP="008142ED">
      <w:pPr>
        <w:pStyle w:val="10"/>
        <w:rPr>
          <w:rFonts w:ascii="Tahoma" w:hAnsi="Tahoma" w:cs="Tahoma"/>
        </w:rPr>
      </w:pPr>
      <w:r>
        <w:t xml:space="preserve">For the purposes of clauses 2.2.2 and 2.2.3 of the Specification, to calculate the total weight of Shares in the relevant Sector Index, percentages of the Shares in the total value of securities included in the Index, as most recently specified on the </w:t>
      </w:r>
      <w:hyperlink r:id="rId11" w:history="1">
        <w:r>
          <w:rPr>
            <w:rStyle w:val="ad"/>
            <w:rFonts w:ascii="Tahoma" w:hAnsi="Tahoma"/>
            <w:color w:val="000000"/>
            <w:u w:val="none"/>
          </w:rPr>
          <w:t>Exchange</w:t>
        </w:r>
      </w:hyperlink>
      <w:r>
        <w:t xml:space="preserve"> website in accordance with the regulations in the field of financial markets and the Sector Indices Methodology, are used.</w:t>
      </w:r>
      <w:bookmarkEnd w:id="7"/>
    </w:p>
    <w:p w14:paraId="6C6D5344" w14:textId="5B300528" w:rsidR="008142ED" w:rsidRPr="00992166" w:rsidRDefault="008142ED" w:rsidP="008142ED">
      <w:pPr>
        <w:pStyle w:val="10"/>
        <w:rPr>
          <w:rFonts w:ascii="Tahoma" w:hAnsi="Tahoma" w:cs="Tahoma"/>
        </w:rPr>
      </w:pPr>
      <w:r>
        <w:rPr>
          <w:rFonts w:ascii="Tahoma" w:hAnsi="Tahoma"/>
        </w:rPr>
        <w:t>For the purpose of clauses 2.2.2 and 2.2.3 of the Specification, the average value of the relevant Sector Index shall be calculated as the arithmetic average of all values of the relevant Industry Index over the period for which this average value is determined.</w:t>
      </w:r>
    </w:p>
    <w:p w14:paraId="3920385D" w14:textId="77777777" w:rsidR="008142ED" w:rsidRPr="00992166" w:rsidRDefault="008142ED" w:rsidP="008142ED">
      <w:pPr>
        <w:pStyle w:val="10"/>
        <w:rPr>
          <w:rFonts w:ascii="Tahoma" w:hAnsi="Tahoma" w:cs="Tahoma"/>
        </w:rPr>
      </w:pPr>
      <w:r>
        <w:rPr>
          <w:rFonts w:ascii="Tahoma" w:hAnsi="Tahoma"/>
        </w:rPr>
        <w:t>The Exchange shall notify the Trading Members by publication on its website of non-compliance with the Expiration Settlement Price Condition specified in clause 2.2.2 above, as well as of determination of the current Settlement Price according to clause 2.2.3.</w:t>
      </w:r>
    </w:p>
    <w:p w14:paraId="241F078D" w14:textId="77777777" w:rsidR="004B3F36" w:rsidRPr="00992166" w:rsidRDefault="004B3F36">
      <w:pPr>
        <w:pStyle w:val="a"/>
        <w:spacing w:before="240" w:after="0"/>
        <w:rPr>
          <w:rFonts w:ascii="Tahoma" w:hAnsi="Tahoma" w:cs="Tahoma"/>
        </w:rPr>
      </w:pPr>
      <w:r>
        <w:rPr>
          <w:rFonts w:ascii="Tahoma" w:hAnsi="Tahoma"/>
        </w:rPr>
        <w:t>Grounds and procedure for termination of obligations under the Contract</w:t>
      </w:r>
    </w:p>
    <w:p w14:paraId="557175CD" w14:textId="77777777" w:rsidR="004B3F36" w:rsidRPr="00992166" w:rsidRDefault="004B3F36">
      <w:pPr>
        <w:pStyle w:val="a0"/>
        <w:spacing w:before="240" w:after="0"/>
        <w:rPr>
          <w:rFonts w:ascii="Tahoma" w:hAnsi="Tahoma" w:cs="Tahoma"/>
        </w:rPr>
      </w:pPr>
      <w:r>
        <w:rPr>
          <w:rFonts w:ascii="Tahoma" w:hAnsi="Tahoma"/>
        </w:rPr>
        <w:t>Obligations under the Contract are terminated in full upon due performance thereof.</w:t>
      </w:r>
    </w:p>
    <w:p w14:paraId="7CC1218B" w14:textId="77777777" w:rsidR="004B3F36" w:rsidRPr="00992166" w:rsidRDefault="004B3F36">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1830DD2A" w14:textId="77777777" w:rsidR="004B3F36" w:rsidRPr="00992166"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25A15DEA" w14:textId="77777777" w:rsidR="004B3F36" w:rsidRPr="00992166"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3A9CA2B0" w14:textId="6B57BF92" w:rsidR="004B3F36" w:rsidRPr="003C4615" w:rsidRDefault="004B3F36">
      <w:pPr>
        <w:pStyle w:val="a0"/>
        <w:spacing w:before="240" w:after="0"/>
        <w:rPr>
          <w:rFonts w:ascii="Tahoma" w:hAnsi="Tahoma" w:cs="Tahoma"/>
        </w:rPr>
      </w:pPr>
      <w:r>
        <w:rPr>
          <w:rFonts w:ascii="Tahoma" w:hAnsi="Tahoma"/>
        </w:rPr>
        <w:lastRenderedPageBreak/>
        <w:t>The parties shall be liable for non-performance or improper performance of obligations under the Contract in accordance with the legislation of the Russian Federation, the Clearing Rules, the Trading Rules and the Admission Rules.</w:t>
      </w:r>
    </w:p>
    <w:p w14:paraId="205D279F" w14:textId="77777777" w:rsidR="003C4615" w:rsidRPr="00992166" w:rsidRDefault="003C4615" w:rsidP="003C4615">
      <w:pPr>
        <w:pStyle w:val="a0"/>
        <w:numPr>
          <w:ilvl w:val="0"/>
          <w:numId w:val="0"/>
        </w:numPr>
        <w:spacing w:before="240" w:after="0"/>
        <w:ind w:left="851"/>
        <w:rPr>
          <w:rFonts w:ascii="Tahoma" w:hAnsi="Tahoma" w:cs="Tahoma"/>
        </w:rPr>
      </w:pPr>
    </w:p>
    <w:p w14:paraId="261A1B1F" w14:textId="77777777" w:rsidR="004B3F36" w:rsidRPr="00992166" w:rsidRDefault="004B3F36" w:rsidP="008D6611">
      <w:pPr>
        <w:pStyle w:val="a"/>
        <w:spacing w:after="0"/>
        <w:rPr>
          <w:rFonts w:ascii="Tahoma" w:hAnsi="Tahoma" w:cs="Tahoma"/>
        </w:rPr>
      </w:pPr>
      <w:r>
        <w:rPr>
          <w:rFonts w:ascii="Tahoma" w:hAnsi="Tahoma"/>
        </w:rPr>
        <w:t>Special provisions</w:t>
      </w:r>
    </w:p>
    <w:p w14:paraId="528F3E4A" w14:textId="77777777" w:rsidR="004B3F36" w:rsidRPr="00992166" w:rsidRDefault="004B3F36" w:rsidP="00C95D63">
      <w:pPr>
        <w:pStyle w:val="a0"/>
        <w:numPr>
          <w:ilvl w:val="1"/>
          <w:numId w:val="13"/>
        </w:numPr>
        <w:tabs>
          <w:tab w:val="left" w:pos="9000"/>
        </w:tabs>
        <w:spacing w:before="120"/>
        <w:ind w:left="896" w:hanging="612"/>
        <w:rPr>
          <w:rFonts w:ascii="Tahoma" w:hAnsi="Tahoma" w:cs="Tahoma"/>
        </w:rPr>
      </w:pPr>
      <w:bookmarkStart w:id="9" w:name="_Ref214193958"/>
      <w:r>
        <w:rPr>
          <w:rFonts w:ascii="Tahoma" w:hAnsi="Tahoma"/>
        </w:rPr>
        <w:t>In case of suspension/termination of trading in the Contract on the Exchange, and also in case if in the period from the first trading day for the Contract till the Trading Day preceding the last trading day for the Contract inclusive, the Exchange suspended trading in at least one Share or at least one Share was withdrawn from the market (cancelled), and (or) in other cases provided by the Trading Rules, the Exchange is entitled upon agreement with the Clearing Centre to take one or more of the following decisions:</w:t>
      </w:r>
      <w:bookmarkEnd w:id="9"/>
    </w:p>
    <w:p w14:paraId="5C558867" w14:textId="77777777" w:rsidR="00CB24E2" w:rsidRPr="00992166"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585ECA5B" w14:textId="77777777" w:rsidR="004B3F36" w:rsidRPr="00992166"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final settlement date for the Contract,  </w:t>
      </w:r>
    </w:p>
    <w:p w14:paraId="4785F753" w14:textId="77777777" w:rsidR="004B3F36" w:rsidRPr="00992166" w:rsidRDefault="00CB24E2"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796E0510" w14:textId="715564AA" w:rsidR="004B3F36" w:rsidRPr="00992166"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w:t>
      </w:r>
    </w:p>
    <w:p w14:paraId="0CC535D2" w14:textId="77777777" w:rsidR="005B6ADD" w:rsidRPr="00992166"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04AE6846" w14:textId="77777777" w:rsidR="004B3F36" w:rsidRPr="00992166"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31E2F4A3" w14:textId="77777777" w:rsidR="004B3F36" w:rsidRPr="00992166"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clauses 5.1 and 5.2 of the Specification, the terms of existing obligations under previously concluded Contracts shall be deemed to have been amended accordingly. </w:t>
      </w:r>
    </w:p>
    <w:p w14:paraId="6ACFD553" w14:textId="77777777" w:rsidR="00A25A9B" w:rsidRPr="00992166"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4237AF43" w14:textId="77777777" w:rsidR="00A25A9B" w:rsidRPr="00992166" w:rsidRDefault="00A25A9B" w:rsidP="00C6689D">
      <w:pPr>
        <w:pStyle w:val="a0"/>
        <w:shd w:val="clear" w:color="auto" w:fill="FFFFFF"/>
        <w:spacing w:before="240" w:after="0"/>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6D4B7C92" w14:textId="37921052" w:rsidR="00A25A9B" w:rsidRPr="00992166" w:rsidRDefault="00A25A9B" w:rsidP="00A25A9B">
      <w:pPr>
        <w:pStyle w:val="a0"/>
        <w:shd w:val="clear" w:color="auto" w:fill="FFFFFF"/>
        <w:spacing w:before="120" w:after="0"/>
        <w:rPr>
          <w:rFonts w:ascii="Tahoma" w:hAnsi="Tahoma" w:cs="Tahoma"/>
        </w:rPr>
      </w:pPr>
      <w:r>
        <w:rPr>
          <w:rFonts w:ascii="Tahoma" w:hAnsi="Tahoma"/>
        </w:rPr>
        <w:t xml:space="preserve">Amendments and supplements hereto go into force </w:t>
      </w:r>
      <w:proofErr w:type="gramStart"/>
      <w:r>
        <w:rPr>
          <w:rFonts w:ascii="Tahoma" w:hAnsi="Tahoma"/>
        </w:rPr>
        <w:t>at the moment</w:t>
      </w:r>
      <w:proofErr w:type="gramEnd"/>
      <w:r>
        <w:rPr>
          <w:rFonts w:ascii="Tahoma" w:hAnsi="Tahoma"/>
        </w:rPr>
        <w:t xml:space="preserve"> the Exchange puts into effect the updated Specification, containing such amendments and supplements. </w:t>
      </w:r>
    </w:p>
    <w:p w14:paraId="03F6E813" w14:textId="7988DBF3" w:rsidR="00A25A9B" w:rsidRPr="00992166"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231DE45" w14:textId="77777777" w:rsidR="00A25A9B" w:rsidRPr="00992166" w:rsidRDefault="00187007" w:rsidP="00A25A9B">
      <w:pPr>
        <w:pStyle w:val="a0"/>
        <w:shd w:val="clear" w:color="auto" w:fill="FFFFFF"/>
        <w:spacing w:before="120" w:after="0"/>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w:t>
      </w:r>
    </w:p>
    <w:p w14:paraId="3E28CDD7"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rsidSect="008D34F1">
      <w:headerReference w:type="default" r:id="rId12"/>
      <w:footerReference w:type="default" r:id="rId13"/>
      <w:pgSz w:w="11906" w:h="16838"/>
      <w:pgMar w:top="1134" w:right="110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FC8D0" w14:textId="77777777" w:rsidR="000E19EC" w:rsidRDefault="000E19EC">
      <w:r>
        <w:separator/>
      </w:r>
    </w:p>
  </w:endnote>
  <w:endnote w:type="continuationSeparator" w:id="0">
    <w:p w14:paraId="020DE860" w14:textId="77777777" w:rsidR="000E19EC" w:rsidRDefault="000E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33B2"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A29D" w14:textId="77777777" w:rsidR="000E19EC" w:rsidRDefault="000E19EC">
      <w:r>
        <w:separator/>
      </w:r>
    </w:p>
  </w:footnote>
  <w:footnote w:type="continuationSeparator" w:id="0">
    <w:p w14:paraId="39CDEF4D" w14:textId="77777777" w:rsidR="000E19EC" w:rsidRDefault="000E19EC">
      <w:r>
        <w:continuationSeparator/>
      </w:r>
    </w:p>
  </w:footnote>
  <w:footnote w:id="1">
    <w:p w14:paraId="2E57A2A4" w14:textId="4E7200D8" w:rsidR="00451BC2" w:rsidRPr="00422CCF" w:rsidRDefault="00451BC2" w:rsidP="00163F40">
      <w:pPr>
        <w:pStyle w:val="af7"/>
        <w:jc w:val="both"/>
        <w:rPr>
          <w:rFonts w:ascii="Tahoma" w:hAnsi="Tahoma" w:cs="Tahoma"/>
          <w:sz w:val="15"/>
          <w:szCs w:val="15"/>
        </w:rPr>
      </w:pPr>
      <w:r>
        <w:rPr>
          <w:rStyle w:val="af8"/>
          <w:rFonts w:ascii="Tahoma" w:hAnsi="Tahoma" w:cs="Tahoma"/>
          <w:sz w:val="15"/>
          <w:szCs w:val="15"/>
        </w:rPr>
        <w:footnoteRef/>
      </w:r>
      <w:r>
        <w:rPr>
          <w:rFonts w:ascii="Tahoma" w:hAnsi="Tahoma"/>
          <w:sz w:val="15"/>
        </w:rPr>
        <w:t>The Calculation Period does not include the value of the Sector Index as of 15:00 MSK and includes the value of the Index as of 16:00 MSK.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EB7D" w14:textId="77777777" w:rsidR="00C578E2" w:rsidRPr="00700AAD" w:rsidRDefault="00C578E2" w:rsidP="003C4615">
    <w:pPr>
      <w:pStyle w:val="af9"/>
      <w:rPr>
        <w:rFonts w:ascii="Tahoma" w:hAnsi="Tahoma" w:cs="Tahoma"/>
        <w:b/>
        <w:sz w:val="20"/>
        <w:szCs w:val="20"/>
      </w:rPr>
    </w:pPr>
    <w:r>
      <w:rPr>
        <w:rFonts w:ascii="Tahoma" w:hAnsi="Tahoma"/>
        <w:b/>
        <w:sz w:val="20"/>
      </w:rPr>
      <w:t>Sector Index Futures contract specification</w:t>
    </w:r>
  </w:p>
  <w:p w14:paraId="49631D3C" w14:textId="296DFDFC" w:rsidR="00C578E2" w:rsidRPr="00700AAD" w:rsidRDefault="00C578E2" w:rsidP="00233223">
    <w:pPr>
      <w:pStyle w:val="af9"/>
      <w:pBdr>
        <w:bottom w:val="single" w:sz="12" w:space="1" w:color="auto"/>
      </w:pBdr>
      <w:jc w:val="right"/>
      <w:rPr>
        <w:rFonts w:ascii="Tahoma" w:hAnsi="Tahoma" w:cs="Tahoma"/>
        <w:b/>
        <w:sz w:val="20"/>
        <w:szCs w:val="20"/>
      </w:rPr>
    </w:pPr>
  </w:p>
  <w:p w14:paraId="7A656654" w14:textId="77777777" w:rsidR="00C578E2" w:rsidRDefault="00C578E2" w:rsidP="00C578E2">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8"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0" w15:restartNumberingAfterBreak="0">
    <w:nsid w:val="3A116BBF"/>
    <w:multiLevelType w:val="multilevel"/>
    <w:tmpl w:val="AF1088E4"/>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10"/>
  </w:num>
  <w:num w:numId="2">
    <w:abstractNumId w:val="7"/>
  </w:num>
  <w:num w:numId="3">
    <w:abstractNumId w:val="13"/>
  </w:num>
  <w:num w:numId="4">
    <w:abstractNumId w:val="5"/>
  </w:num>
  <w:num w:numId="5">
    <w:abstractNumId w:val="0"/>
  </w:num>
  <w:num w:numId="6">
    <w:abstractNumId w:val="9"/>
  </w:num>
  <w:num w:numId="7">
    <w:abstractNumId w:val="8"/>
  </w:num>
  <w:num w:numId="8">
    <w:abstractNumId w:val="2"/>
  </w:num>
  <w:num w:numId="9">
    <w:abstractNumId w:val="15"/>
  </w:num>
  <w:num w:numId="10">
    <w:abstractNumId w:val="4"/>
  </w:num>
  <w:num w:numId="11">
    <w:abstractNumId w:val="10"/>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lvlOverride w:ilvl="0">
      <w:startOverride w:val="2"/>
    </w:lvlOverride>
    <w:lvlOverride w:ilvl="1">
      <w:startOverride w:val="2"/>
    </w:lvlOverride>
  </w:num>
  <w:num w:numId="16">
    <w:abstractNumId w:val="11"/>
  </w:num>
  <w:num w:numId="17">
    <w:abstractNumId w:val="1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7181"/>
    <w:rsid w:val="00022B92"/>
    <w:rsid w:val="0003238E"/>
    <w:rsid w:val="000328A4"/>
    <w:rsid w:val="00036345"/>
    <w:rsid w:val="000444BC"/>
    <w:rsid w:val="00044966"/>
    <w:rsid w:val="00046D3D"/>
    <w:rsid w:val="000509FA"/>
    <w:rsid w:val="0005426C"/>
    <w:rsid w:val="00061332"/>
    <w:rsid w:val="00063AC4"/>
    <w:rsid w:val="00074E27"/>
    <w:rsid w:val="00080619"/>
    <w:rsid w:val="000859D2"/>
    <w:rsid w:val="00087181"/>
    <w:rsid w:val="000877E5"/>
    <w:rsid w:val="000916A1"/>
    <w:rsid w:val="00097143"/>
    <w:rsid w:val="000973BC"/>
    <w:rsid w:val="000A0BD3"/>
    <w:rsid w:val="000A21C8"/>
    <w:rsid w:val="000A2A24"/>
    <w:rsid w:val="000A4D4A"/>
    <w:rsid w:val="000A6E42"/>
    <w:rsid w:val="000A7EE8"/>
    <w:rsid w:val="000B0761"/>
    <w:rsid w:val="000B4DE6"/>
    <w:rsid w:val="000B7CA6"/>
    <w:rsid w:val="000C1010"/>
    <w:rsid w:val="000C3127"/>
    <w:rsid w:val="000C5635"/>
    <w:rsid w:val="000D045E"/>
    <w:rsid w:val="000D28A8"/>
    <w:rsid w:val="000D39A9"/>
    <w:rsid w:val="000D4269"/>
    <w:rsid w:val="000D646B"/>
    <w:rsid w:val="000E19EC"/>
    <w:rsid w:val="000F1778"/>
    <w:rsid w:val="000F72FA"/>
    <w:rsid w:val="001019A4"/>
    <w:rsid w:val="00101FAC"/>
    <w:rsid w:val="00103278"/>
    <w:rsid w:val="00104A96"/>
    <w:rsid w:val="00105C47"/>
    <w:rsid w:val="00105E2E"/>
    <w:rsid w:val="0011576B"/>
    <w:rsid w:val="00117902"/>
    <w:rsid w:val="00117F9A"/>
    <w:rsid w:val="001230E2"/>
    <w:rsid w:val="00124B55"/>
    <w:rsid w:val="00141D28"/>
    <w:rsid w:val="00143A75"/>
    <w:rsid w:val="00144949"/>
    <w:rsid w:val="00150805"/>
    <w:rsid w:val="0015110A"/>
    <w:rsid w:val="00157875"/>
    <w:rsid w:val="001602B4"/>
    <w:rsid w:val="00163229"/>
    <w:rsid w:val="00163F40"/>
    <w:rsid w:val="00167B78"/>
    <w:rsid w:val="0017002E"/>
    <w:rsid w:val="00174205"/>
    <w:rsid w:val="00176493"/>
    <w:rsid w:val="00181D8E"/>
    <w:rsid w:val="001830F9"/>
    <w:rsid w:val="00185BC1"/>
    <w:rsid w:val="00187007"/>
    <w:rsid w:val="00192E94"/>
    <w:rsid w:val="00195F27"/>
    <w:rsid w:val="00197867"/>
    <w:rsid w:val="001A156E"/>
    <w:rsid w:val="001A588B"/>
    <w:rsid w:val="001D0C2D"/>
    <w:rsid w:val="001D15D3"/>
    <w:rsid w:val="001D164F"/>
    <w:rsid w:val="001D2804"/>
    <w:rsid w:val="001E7619"/>
    <w:rsid w:val="001F1184"/>
    <w:rsid w:val="001F7C0F"/>
    <w:rsid w:val="00205A47"/>
    <w:rsid w:val="00210E41"/>
    <w:rsid w:val="00213540"/>
    <w:rsid w:val="00217E9B"/>
    <w:rsid w:val="0022047A"/>
    <w:rsid w:val="00222569"/>
    <w:rsid w:val="00222EFC"/>
    <w:rsid w:val="00233223"/>
    <w:rsid w:val="00236254"/>
    <w:rsid w:val="00243882"/>
    <w:rsid w:val="00250033"/>
    <w:rsid w:val="002525BB"/>
    <w:rsid w:val="00253F54"/>
    <w:rsid w:val="002644E2"/>
    <w:rsid w:val="0027199E"/>
    <w:rsid w:val="00276BDC"/>
    <w:rsid w:val="00282CF0"/>
    <w:rsid w:val="00285822"/>
    <w:rsid w:val="0029216B"/>
    <w:rsid w:val="00294DFA"/>
    <w:rsid w:val="002A3CC1"/>
    <w:rsid w:val="002A3D0F"/>
    <w:rsid w:val="002A5AA7"/>
    <w:rsid w:val="002B2A8D"/>
    <w:rsid w:val="002B5125"/>
    <w:rsid w:val="002B52A7"/>
    <w:rsid w:val="002C4244"/>
    <w:rsid w:val="002C4DEF"/>
    <w:rsid w:val="002C78DB"/>
    <w:rsid w:val="002D0586"/>
    <w:rsid w:val="002E467F"/>
    <w:rsid w:val="002E5F35"/>
    <w:rsid w:val="002F0A91"/>
    <w:rsid w:val="002F1DCF"/>
    <w:rsid w:val="00302B37"/>
    <w:rsid w:val="003033B2"/>
    <w:rsid w:val="00311598"/>
    <w:rsid w:val="00312D7C"/>
    <w:rsid w:val="003307EB"/>
    <w:rsid w:val="00334B2C"/>
    <w:rsid w:val="00335320"/>
    <w:rsid w:val="0033796B"/>
    <w:rsid w:val="00345FA6"/>
    <w:rsid w:val="0035502B"/>
    <w:rsid w:val="003557B5"/>
    <w:rsid w:val="003635B0"/>
    <w:rsid w:val="00363A33"/>
    <w:rsid w:val="00372E70"/>
    <w:rsid w:val="00384103"/>
    <w:rsid w:val="0039115D"/>
    <w:rsid w:val="00391F5D"/>
    <w:rsid w:val="00395FA7"/>
    <w:rsid w:val="00396D41"/>
    <w:rsid w:val="003A4985"/>
    <w:rsid w:val="003A767F"/>
    <w:rsid w:val="003B2BF7"/>
    <w:rsid w:val="003B4B97"/>
    <w:rsid w:val="003C11EE"/>
    <w:rsid w:val="003C4615"/>
    <w:rsid w:val="003C50F8"/>
    <w:rsid w:val="003C53E5"/>
    <w:rsid w:val="003C729A"/>
    <w:rsid w:val="003C769B"/>
    <w:rsid w:val="003E6692"/>
    <w:rsid w:val="003F187A"/>
    <w:rsid w:val="003F39F0"/>
    <w:rsid w:val="003F475A"/>
    <w:rsid w:val="003F4D2F"/>
    <w:rsid w:val="003F7BEC"/>
    <w:rsid w:val="00415000"/>
    <w:rsid w:val="00421EF3"/>
    <w:rsid w:val="00422CCF"/>
    <w:rsid w:val="004262D5"/>
    <w:rsid w:val="0042765E"/>
    <w:rsid w:val="00437042"/>
    <w:rsid w:val="00441B1D"/>
    <w:rsid w:val="0045115D"/>
    <w:rsid w:val="00451BC2"/>
    <w:rsid w:val="00454DB8"/>
    <w:rsid w:val="004554F6"/>
    <w:rsid w:val="00460DA7"/>
    <w:rsid w:val="00462B02"/>
    <w:rsid w:val="00466D20"/>
    <w:rsid w:val="00467DA3"/>
    <w:rsid w:val="004815FB"/>
    <w:rsid w:val="00481FAD"/>
    <w:rsid w:val="0048240A"/>
    <w:rsid w:val="00485178"/>
    <w:rsid w:val="00495EBE"/>
    <w:rsid w:val="004972A1"/>
    <w:rsid w:val="00497BAF"/>
    <w:rsid w:val="004A7397"/>
    <w:rsid w:val="004B0168"/>
    <w:rsid w:val="004B3F36"/>
    <w:rsid w:val="004B53E9"/>
    <w:rsid w:val="004C0EB2"/>
    <w:rsid w:val="004C660A"/>
    <w:rsid w:val="004C7E48"/>
    <w:rsid w:val="004E09ED"/>
    <w:rsid w:val="004E28DF"/>
    <w:rsid w:val="004E53C7"/>
    <w:rsid w:val="004E5A6B"/>
    <w:rsid w:val="004F100D"/>
    <w:rsid w:val="004F4142"/>
    <w:rsid w:val="0050382C"/>
    <w:rsid w:val="00515608"/>
    <w:rsid w:val="005236B6"/>
    <w:rsid w:val="005334C6"/>
    <w:rsid w:val="005343E0"/>
    <w:rsid w:val="00534449"/>
    <w:rsid w:val="0053475C"/>
    <w:rsid w:val="00534D61"/>
    <w:rsid w:val="00543D26"/>
    <w:rsid w:val="00545D0E"/>
    <w:rsid w:val="0055035D"/>
    <w:rsid w:val="005526B4"/>
    <w:rsid w:val="00556469"/>
    <w:rsid w:val="00561514"/>
    <w:rsid w:val="00565C9D"/>
    <w:rsid w:val="00592C8E"/>
    <w:rsid w:val="005975A1"/>
    <w:rsid w:val="00597B39"/>
    <w:rsid w:val="005A552E"/>
    <w:rsid w:val="005B03B2"/>
    <w:rsid w:val="005B6ADD"/>
    <w:rsid w:val="005C43B0"/>
    <w:rsid w:val="005C7167"/>
    <w:rsid w:val="005C760A"/>
    <w:rsid w:val="005C764C"/>
    <w:rsid w:val="005D0F62"/>
    <w:rsid w:val="005D2024"/>
    <w:rsid w:val="005D20A6"/>
    <w:rsid w:val="005D41C3"/>
    <w:rsid w:val="005D52B2"/>
    <w:rsid w:val="005E1397"/>
    <w:rsid w:val="005E6214"/>
    <w:rsid w:val="005F44E1"/>
    <w:rsid w:val="006019E3"/>
    <w:rsid w:val="00604DD7"/>
    <w:rsid w:val="0060744E"/>
    <w:rsid w:val="0061333A"/>
    <w:rsid w:val="0061799B"/>
    <w:rsid w:val="00622EE8"/>
    <w:rsid w:val="00625551"/>
    <w:rsid w:val="0062685B"/>
    <w:rsid w:val="006330C0"/>
    <w:rsid w:val="00636FD6"/>
    <w:rsid w:val="00643C59"/>
    <w:rsid w:val="00647769"/>
    <w:rsid w:val="006554C1"/>
    <w:rsid w:val="00656D5A"/>
    <w:rsid w:val="006612A9"/>
    <w:rsid w:val="00663534"/>
    <w:rsid w:val="00665032"/>
    <w:rsid w:val="00671730"/>
    <w:rsid w:val="0067200B"/>
    <w:rsid w:val="0067335D"/>
    <w:rsid w:val="00673E42"/>
    <w:rsid w:val="00674B00"/>
    <w:rsid w:val="006801BC"/>
    <w:rsid w:val="006805DE"/>
    <w:rsid w:val="00680B10"/>
    <w:rsid w:val="0068214D"/>
    <w:rsid w:val="0068726B"/>
    <w:rsid w:val="00692958"/>
    <w:rsid w:val="00692E07"/>
    <w:rsid w:val="00693E68"/>
    <w:rsid w:val="00695D35"/>
    <w:rsid w:val="0069622B"/>
    <w:rsid w:val="00696344"/>
    <w:rsid w:val="00696B9C"/>
    <w:rsid w:val="006973F1"/>
    <w:rsid w:val="006A0315"/>
    <w:rsid w:val="006B0824"/>
    <w:rsid w:val="006C114D"/>
    <w:rsid w:val="006D000D"/>
    <w:rsid w:val="006D081F"/>
    <w:rsid w:val="006D61C3"/>
    <w:rsid w:val="006D6C12"/>
    <w:rsid w:val="006D6EA5"/>
    <w:rsid w:val="006E3490"/>
    <w:rsid w:val="006F0496"/>
    <w:rsid w:val="006F082F"/>
    <w:rsid w:val="006F0AF5"/>
    <w:rsid w:val="00704269"/>
    <w:rsid w:val="0072008E"/>
    <w:rsid w:val="00725001"/>
    <w:rsid w:val="007253FD"/>
    <w:rsid w:val="00727A64"/>
    <w:rsid w:val="007300D3"/>
    <w:rsid w:val="00730229"/>
    <w:rsid w:val="00732809"/>
    <w:rsid w:val="0073287D"/>
    <w:rsid w:val="00735A83"/>
    <w:rsid w:val="007368E1"/>
    <w:rsid w:val="007415EE"/>
    <w:rsid w:val="007458AE"/>
    <w:rsid w:val="00751E19"/>
    <w:rsid w:val="00752AC9"/>
    <w:rsid w:val="007627D9"/>
    <w:rsid w:val="00764193"/>
    <w:rsid w:val="00765B4F"/>
    <w:rsid w:val="00767554"/>
    <w:rsid w:val="00777B96"/>
    <w:rsid w:val="00777FD4"/>
    <w:rsid w:val="007865B0"/>
    <w:rsid w:val="007A0664"/>
    <w:rsid w:val="007A1F88"/>
    <w:rsid w:val="007A5A60"/>
    <w:rsid w:val="007B361B"/>
    <w:rsid w:val="007D249B"/>
    <w:rsid w:val="007D2674"/>
    <w:rsid w:val="007D4609"/>
    <w:rsid w:val="007E1C6A"/>
    <w:rsid w:val="007E4846"/>
    <w:rsid w:val="007E4E74"/>
    <w:rsid w:val="007F20D5"/>
    <w:rsid w:val="007F4C81"/>
    <w:rsid w:val="007F614E"/>
    <w:rsid w:val="00800A1D"/>
    <w:rsid w:val="00806D7B"/>
    <w:rsid w:val="008142ED"/>
    <w:rsid w:val="00821522"/>
    <w:rsid w:val="00821834"/>
    <w:rsid w:val="00822BAA"/>
    <w:rsid w:val="00824648"/>
    <w:rsid w:val="008247CE"/>
    <w:rsid w:val="00825786"/>
    <w:rsid w:val="0083101C"/>
    <w:rsid w:val="00832B7F"/>
    <w:rsid w:val="008354DC"/>
    <w:rsid w:val="00840062"/>
    <w:rsid w:val="008407B7"/>
    <w:rsid w:val="00843C4A"/>
    <w:rsid w:val="00851201"/>
    <w:rsid w:val="0085157C"/>
    <w:rsid w:val="00851657"/>
    <w:rsid w:val="0085527A"/>
    <w:rsid w:val="00861CA6"/>
    <w:rsid w:val="00864A75"/>
    <w:rsid w:val="00865E75"/>
    <w:rsid w:val="00873078"/>
    <w:rsid w:val="00875EAD"/>
    <w:rsid w:val="00876D59"/>
    <w:rsid w:val="00880C08"/>
    <w:rsid w:val="008953F4"/>
    <w:rsid w:val="008961ED"/>
    <w:rsid w:val="008A55A2"/>
    <w:rsid w:val="008B073E"/>
    <w:rsid w:val="008B17B3"/>
    <w:rsid w:val="008B2184"/>
    <w:rsid w:val="008B66AE"/>
    <w:rsid w:val="008B7346"/>
    <w:rsid w:val="008C0EE2"/>
    <w:rsid w:val="008C380C"/>
    <w:rsid w:val="008C750A"/>
    <w:rsid w:val="008D02B0"/>
    <w:rsid w:val="008D073A"/>
    <w:rsid w:val="008D34F1"/>
    <w:rsid w:val="008D5DBE"/>
    <w:rsid w:val="008D6611"/>
    <w:rsid w:val="008E4D08"/>
    <w:rsid w:val="008F2C19"/>
    <w:rsid w:val="0090406C"/>
    <w:rsid w:val="009075BE"/>
    <w:rsid w:val="00921EC3"/>
    <w:rsid w:val="00925653"/>
    <w:rsid w:val="009303BA"/>
    <w:rsid w:val="0093061F"/>
    <w:rsid w:val="009319D5"/>
    <w:rsid w:val="00931F6A"/>
    <w:rsid w:val="009324E3"/>
    <w:rsid w:val="009337D1"/>
    <w:rsid w:val="0094250F"/>
    <w:rsid w:val="009447B7"/>
    <w:rsid w:val="00957E06"/>
    <w:rsid w:val="009603B8"/>
    <w:rsid w:val="00967B09"/>
    <w:rsid w:val="00972B64"/>
    <w:rsid w:val="00977DC3"/>
    <w:rsid w:val="009844AA"/>
    <w:rsid w:val="00992166"/>
    <w:rsid w:val="009B12A9"/>
    <w:rsid w:val="009C2235"/>
    <w:rsid w:val="009C31E0"/>
    <w:rsid w:val="009E111A"/>
    <w:rsid w:val="009E17F9"/>
    <w:rsid w:val="009E28B3"/>
    <w:rsid w:val="009E3217"/>
    <w:rsid w:val="009E57C1"/>
    <w:rsid w:val="009E6F33"/>
    <w:rsid w:val="009F4395"/>
    <w:rsid w:val="00A042F5"/>
    <w:rsid w:val="00A04F43"/>
    <w:rsid w:val="00A07121"/>
    <w:rsid w:val="00A10D7F"/>
    <w:rsid w:val="00A13DEB"/>
    <w:rsid w:val="00A145F1"/>
    <w:rsid w:val="00A167D1"/>
    <w:rsid w:val="00A174C6"/>
    <w:rsid w:val="00A2075D"/>
    <w:rsid w:val="00A25A9B"/>
    <w:rsid w:val="00A40C34"/>
    <w:rsid w:val="00A435F9"/>
    <w:rsid w:val="00A449F1"/>
    <w:rsid w:val="00A469DC"/>
    <w:rsid w:val="00A65693"/>
    <w:rsid w:val="00A70DC4"/>
    <w:rsid w:val="00A72C82"/>
    <w:rsid w:val="00A7329A"/>
    <w:rsid w:val="00A75E06"/>
    <w:rsid w:val="00A83E54"/>
    <w:rsid w:val="00A8492C"/>
    <w:rsid w:val="00A87BD1"/>
    <w:rsid w:val="00A925A7"/>
    <w:rsid w:val="00AA30A7"/>
    <w:rsid w:val="00AA51B2"/>
    <w:rsid w:val="00AB6150"/>
    <w:rsid w:val="00AC1A54"/>
    <w:rsid w:val="00AC2432"/>
    <w:rsid w:val="00AC2D12"/>
    <w:rsid w:val="00AC3170"/>
    <w:rsid w:val="00AD0A14"/>
    <w:rsid w:val="00AD7C67"/>
    <w:rsid w:val="00AE6697"/>
    <w:rsid w:val="00AF3DC0"/>
    <w:rsid w:val="00AF4CC6"/>
    <w:rsid w:val="00AF6929"/>
    <w:rsid w:val="00B03BFC"/>
    <w:rsid w:val="00B06B43"/>
    <w:rsid w:val="00B144AF"/>
    <w:rsid w:val="00B23C16"/>
    <w:rsid w:val="00B240A2"/>
    <w:rsid w:val="00B277EB"/>
    <w:rsid w:val="00B30F11"/>
    <w:rsid w:val="00B4146D"/>
    <w:rsid w:val="00B4451A"/>
    <w:rsid w:val="00B445A5"/>
    <w:rsid w:val="00B463AD"/>
    <w:rsid w:val="00B71768"/>
    <w:rsid w:val="00B71CCA"/>
    <w:rsid w:val="00B73B9A"/>
    <w:rsid w:val="00B73C4F"/>
    <w:rsid w:val="00B802ED"/>
    <w:rsid w:val="00B821C2"/>
    <w:rsid w:val="00B82B3A"/>
    <w:rsid w:val="00B82C1E"/>
    <w:rsid w:val="00BA08D6"/>
    <w:rsid w:val="00BA54DA"/>
    <w:rsid w:val="00BA565C"/>
    <w:rsid w:val="00BB2A37"/>
    <w:rsid w:val="00BB3A9B"/>
    <w:rsid w:val="00BC1226"/>
    <w:rsid w:val="00BC7994"/>
    <w:rsid w:val="00BD0E00"/>
    <w:rsid w:val="00BD721F"/>
    <w:rsid w:val="00BE3C71"/>
    <w:rsid w:val="00BF2D9E"/>
    <w:rsid w:val="00BF782E"/>
    <w:rsid w:val="00BF7E4C"/>
    <w:rsid w:val="00C03064"/>
    <w:rsid w:val="00C101B6"/>
    <w:rsid w:val="00C253AC"/>
    <w:rsid w:val="00C3024B"/>
    <w:rsid w:val="00C31662"/>
    <w:rsid w:val="00C357B6"/>
    <w:rsid w:val="00C40154"/>
    <w:rsid w:val="00C4684B"/>
    <w:rsid w:val="00C51811"/>
    <w:rsid w:val="00C51B97"/>
    <w:rsid w:val="00C54032"/>
    <w:rsid w:val="00C578E2"/>
    <w:rsid w:val="00C633FC"/>
    <w:rsid w:val="00C634EF"/>
    <w:rsid w:val="00C654CB"/>
    <w:rsid w:val="00C6689D"/>
    <w:rsid w:val="00C66D2D"/>
    <w:rsid w:val="00C715B1"/>
    <w:rsid w:val="00C7279F"/>
    <w:rsid w:val="00C7575C"/>
    <w:rsid w:val="00C77FBD"/>
    <w:rsid w:val="00C86B88"/>
    <w:rsid w:val="00C904B6"/>
    <w:rsid w:val="00C90D7F"/>
    <w:rsid w:val="00C924DB"/>
    <w:rsid w:val="00C93790"/>
    <w:rsid w:val="00C95D63"/>
    <w:rsid w:val="00CA1AD9"/>
    <w:rsid w:val="00CA2FF7"/>
    <w:rsid w:val="00CA321E"/>
    <w:rsid w:val="00CA536F"/>
    <w:rsid w:val="00CB0B01"/>
    <w:rsid w:val="00CB24E2"/>
    <w:rsid w:val="00CB286B"/>
    <w:rsid w:val="00CB6950"/>
    <w:rsid w:val="00CB6A34"/>
    <w:rsid w:val="00CC2041"/>
    <w:rsid w:val="00CD5828"/>
    <w:rsid w:val="00CE2D63"/>
    <w:rsid w:val="00CE40B1"/>
    <w:rsid w:val="00CF13F5"/>
    <w:rsid w:val="00CF3FD2"/>
    <w:rsid w:val="00D013F5"/>
    <w:rsid w:val="00D030F2"/>
    <w:rsid w:val="00D0486F"/>
    <w:rsid w:val="00D10428"/>
    <w:rsid w:val="00D231E3"/>
    <w:rsid w:val="00D31A2C"/>
    <w:rsid w:val="00D32346"/>
    <w:rsid w:val="00D4038F"/>
    <w:rsid w:val="00D41018"/>
    <w:rsid w:val="00D4398F"/>
    <w:rsid w:val="00D529F5"/>
    <w:rsid w:val="00D52C5B"/>
    <w:rsid w:val="00D5336F"/>
    <w:rsid w:val="00D55BFD"/>
    <w:rsid w:val="00D5654A"/>
    <w:rsid w:val="00D619EE"/>
    <w:rsid w:val="00D622A0"/>
    <w:rsid w:val="00D63AFE"/>
    <w:rsid w:val="00D6506D"/>
    <w:rsid w:val="00D663EA"/>
    <w:rsid w:val="00D67FD1"/>
    <w:rsid w:val="00D732E8"/>
    <w:rsid w:val="00D774E6"/>
    <w:rsid w:val="00D807AA"/>
    <w:rsid w:val="00D825DE"/>
    <w:rsid w:val="00D8274C"/>
    <w:rsid w:val="00D8568B"/>
    <w:rsid w:val="00D91400"/>
    <w:rsid w:val="00D9437F"/>
    <w:rsid w:val="00D94E2E"/>
    <w:rsid w:val="00DA103D"/>
    <w:rsid w:val="00DA22E5"/>
    <w:rsid w:val="00DA22F9"/>
    <w:rsid w:val="00DA625C"/>
    <w:rsid w:val="00DB0B32"/>
    <w:rsid w:val="00DB5C34"/>
    <w:rsid w:val="00DB69FF"/>
    <w:rsid w:val="00DC0864"/>
    <w:rsid w:val="00DC2056"/>
    <w:rsid w:val="00DC4541"/>
    <w:rsid w:val="00DC77B9"/>
    <w:rsid w:val="00DD16AD"/>
    <w:rsid w:val="00DE11AB"/>
    <w:rsid w:val="00DE3D01"/>
    <w:rsid w:val="00DE42D5"/>
    <w:rsid w:val="00DF03D8"/>
    <w:rsid w:val="00DF520B"/>
    <w:rsid w:val="00DF6D26"/>
    <w:rsid w:val="00E0215E"/>
    <w:rsid w:val="00E04026"/>
    <w:rsid w:val="00E05D82"/>
    <w:rsid w:val="00E10081"/>
    <w:rsid w:val="00E11EE1"/>
    <w:rsid w:val="00E12BA0"/>
    <w:rsid w:val="00E17DFE"/>
    <w:rsid w:val="00E23BBD"/>
    <w:rsid w:val="00E26B7D"/>
    <w:rsid w:val="00E332DD"/>
    <w:rsid w:val="00E36D47"/>
    <w:rsid w:val="00E411F3"/>
    <w:rsid w:val="00E5025A"/>
    <w:rsid w:val="00E50FFE"/>
    <w:rsid w:val="00E538EE"/>
    <w:rsid w:val="00E60371"/>
    <w:rsid w:val="00E61B82"/>
    <w:rsid w:val="00E64097"/>
    <w:rsid w:val="00E70E84"/>
    <w:rsid w:val="00E72582"/>
    <w:rsid w:val="00E74D71"/>
    <w:rsid w:val="00E80659"/>
    <w:rsid w:val="00E83ACB"/>
    <w:rsid w:val="00E85E83"/>
    <w:rsid w:val="00E90603"/>
    <w:rsid w:val="00E928E9"/>
    <w:rsid w:val="00EA2D01"/>
    <w:rsid w:val="00EA642D"/>
    <w:rsid w:val="00EA7DD2"/>
    <w:rsid w:val="00EB2057"/>
    <w:rsid w:val="00EB251C"/>
    <w:rsid w:val="00EB253E"/>
    <w:rsid w:val="00ED19AF"/>
    <w:rsid w:val="00ED1B5A"/>
    <w:rsid w:val="00ED36EC"/>
    <w:rsid w:val="00EE59A3"/>
    <w:rsid w:val="00EE5F3A"/>
    <w:rsid w:val="00EE6C41"/>
    <w:rsid w:val="00EF09D4"/>
    <w:rsid w:val="00EF4049"/>
    <w:rsid w:val="00F009AB"/>
    <w:rsid w:val="00F0133C"/>
    <w:rsid w:val="00F04C56"/>
    <w:rsid w:val="00F05671"/>
    <w:rsid w:val="00F1527F"/>
    <w:rsid w:val="00F2273E"/>
    <w:rsid w:val="00F22F45"/>
    <w:rsid w:val="00F25837"/>
    <w:rsid w:val="00F26E11"/>
    <w:rsid w:val="00F3310A"/>
    <w:rsid w:val="00F34565"/>
    <w:rsid w:val="00F34985"/>
    <w:rsid w:val="00F3570B"/>
    <w:rsid w:val="00F4483D"/>
    <w:rsid w:val="00F51A66"/>
    <w:rsid w:val="00F60C30"/>
    <w:rsid w:val="00F62FD9"/>
    <w:rsid w:val="00F63952"/>
    <w:rsid w:val="00F640DF"/>
    <w:rsid w:val="00F660AF"/>
    <w:rsid w:val="00F71379"/>
    <w:rsid w:val="00F9050B"/>
    <w:rsid w:val="00F91891"/>
    <w:rsid w:val="00F91D44"/>
    <w:rsid w:val="00F927A9"/>
    <w:rsid w:val="00FA0B46"/>
    <w:rsid w:val="00FA2D2C"/>
    <w:rsid w:val="00FA35ED"/>
    <w:rsid w:val="00FA4EAE"/>
    <w:rsid w:val="00FA6870"/>
    <w:rsid w:val="00FB155E"/>
    <w:rsid w:val="00FB259E"/>
    <w:rsid w:val="00FD2BFD"/>
    <w:rsid w:val="00FD3F5D"/>
    <w:rsid w:val="00FD46EA"/>
    <w:rsid w:val="00FD6834"/>
    <w:rsid w:val="00FE02F2"/>
    <w:rsid w:val="00FE322A"/>
    <w:rsid w:val="00FF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B5BEB4"/>
  <w15:chartTrackingRefBased/>
  <w15:docId w15:val="{D12A2999-3AD6-4A50-B044-53287B9D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link w:val="ab"/>
    <w:pPr>
      <w:ind w:left="0"/>
    </w:pPr>
  </w:style>
  <w:style w:type="paragraph" w:styleId="ac">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pPr>
  </w:style>
  <w:style w:type="character" w:styleId="ad">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e">
    <w:name w:val="Выдержка"/>
    <w:basedOn w:val="af"/>
    <w:pPr>
      <w:tabs>
        <w:tab w:val="num" w:pos="540"/>
      </w:tabs>
      <w:spacing w:after="0"/>
      <w:ind w:left="1416"/>
      <w:jc w:val="both"/>
    </w:pPr>
    <w:rPr>
      <w:rFonts w:ascii="Arial" w:hAnsi="Arial" w:cs="Arial"/>
      <w:color w:val="000080"/>
      <w:sz w:val="20"/>
      <w:szCs w:val="20"/>
    </w:rPr>
  </w:style>
  <w:style w:type="paragraph" w:styleId="af">
    <w:name w:val="Body Text"/>
    <w:basedOn w:val="a2"/>
    <w:link w:val="af0"/>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1">
    <w:name w:val="Block Text"/>
    <w:basedOn w:val="a2"/>
    <w:pPr>
      <w:autoSpaceDE w:val="0"/>
      <w:autoSpaceDN w:val="0"/>
      <w:ind w:left="705" w:right="895" w:hanging="705"/>
    </w:pPr>
    <w:rPr>
      <w:rFonts w:ascii="Arial" w:hAnsi="Arial" w:cs="Arial"/>
      <w:sz w:val="20"/>
      <w:szCs w:val="20"/>
    </w:rPr>
  </w:style>
  <w:style w:type="paragraph" w:customStyle="1" w:styleId="af2">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c"/>
    <w:pPr>
      <w:numPr>
        <w:numId w:val="4"/>
      </w:numPr>
    </w:pPr>
  </w:style>
  <w:style w:type="paragraph" w:styleId="af3">
    <w:name w:val="Balloon Text"/>
    <w:basedOn w:val="a2"/>
    <w:semiHidden/>
    <w:rPr>
      <w:rFonts w:ascii="Tahoma" w:hAnsi="Tahoma" w:cs="Tahoma"/>
      <w:sz w:val="16"/>
      <w:szCs w:val="16"/>
    </w:rPr>
  </w:style>
  <w:style w:type="character" w:styleId="af4">
    <w:name w:val="annotation reference"/>
    <w:semiHidden/>
    <w:rPr>
      <w:sz w:val="16"/>
      <w:szCs w:val="16"/>
    </w:rPr>
  </w:style>
  <w:style w:type="paragraph" w:styleId="af5">
    <w:name w:val="annotation text"/>
    <w:basedOn w:val="a2"/>
    <w:semiHidden/>
    <w:rPr>
      <w:sz w:val="20"/>
      <w:szCs w:val="20"/>
    </w:rPr>
  </w:style>
  <w:style w:type="paragraph" w:styleId="af6">
    <w:name w:val="annotation subject"/>
    <w:basedOn w:val="af5"/>
    <w:next w:val="af5"/>
    <w:semiHidden/>
    <w:rPr>
      <w:b/>
      <w:bCs/>
    </w:rPr>
  </w:style>
  <w:style w:type="paragraph" w:styleId="af7">
    <w:name w:val="footnote text"/>
    <w:basedOn w:val="a2"/>
    <w:semiHidden/>
    <w:rPr>
      <w:sz w:val="20"/>
      <w:szCs w:val="20"/>
    </w:rPr>
  </w:style>
  <w:style w:type="character" w:styleId="af8">
    <w:name w:val="footnote reference"/>
    <w:semiHidden/>
    <w:rPr>
      <w:vertAlign w:val="superscript"/>
    </w:rPr>
  </w:style>
  <w:style w:type="character" w:customStyle="1" w:styleId="af0">
    <w:name w:val="Основной текст Знак"/>
    <w:link w:val="af"/>
    <w:rsid w:val="000877E5"/>
    <w:rPr>
      <w:sz w:val="24"/>
      <w:szCs w:val="24"/>
    </w:rPr>
  </w:style>
  <w:style w:type="paragraph" w:styleId="af9">
    <w:name w:val="header"/>
    <w:basedOn w:val="a2"/>
    <w:link w:val="afa"/>
    <w:rsid w:val="00C578E2"/>
    <w:pPr>
      <w:tabs>
        <w:tab w:val="center" w:pos="4677"/>
        <w:tab w:val="right" w:pos="9355"/>
      </w:tabs>
    </w:pPr>
  </w:style>
  <w:style w:type="character" w:customStyle="1" w:styleId="afa">
    <w:name w:val="Верхний колонтитул Знак"/>
    <w:link w:val="af9"/>
    <w:rsid w:val="00C578E2"/>
    <w:rPr>
      <w:sz w:val="24"/>
      <w:szCs w:val="24"/>
    </w:rPr>
  </w:style>
  <w:style w:type="paragraph" w:styleId="afb">
    <w:name w:val="Revision"/>
    <w:hidden/>
    <w:uiPriority w:val="99"/>
    <w:semiHidden/>
    <w:rsid w:val="00AA30A7"/>
    <w:rPr>
      <w:sz w:val="24"/>
      <w:szCs w:val="24"/>
    </w:rPr>
  </w:style>
  <w:style w:type="character" w:customStyle="1" w:styleId="ab">
    <w:name w:val="Текст Знак"/>
    <w:link w:val="aa"/>
    <w:rsid w:val="00A167D1"/>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E7C4F2DF345A643B8AD3E73C33BE9F5" ma:contentTypeVersion="12" ma:contentTypeDescription="Создание документа." ma:contentTypeScope="" ma:versionID="d059ec7bd26efa6624ef55d06a7f2934">
  <xsd:schema xmlns:xsd="http://www.w3.org/2001/XMLSchema" xmlns:xs="http://www.w3.org/2001/XMLSchema" xmlns:p="http://schemas.microsoft.com/office/2006/metadata/properties" xmlns:ns3="e4c08acf-39d1-47a1-bf12-fd311e760899" xmlns:ns4="223f4b98-d616-494a-8533-e8b41b57d9e3" targetNamespace="http://schemas.microsoft.com/office/2006/metadata/properties" ma:root="true" ma:fieldsID="cdd2c99fc3acdeda67c3b42d4fdd1bc9" ns3:_="" ns4:_="">
    <xsd:import namespace="e4c08acf-39d1-47a1-bf12-fd311e760899"/>
    <xsd:import namespace="223f4b98-d616-494a-8533-e8b41b57d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08acf-39d1-47a1-bf12-fd311e760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f4b98-d616-494a-8533-e8b41b57d9e3"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F10D-8373-4D38-A4F9-830761E9B5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6180F-2C88-498E-A1A1-F52804775A80}">
  <ds:schemaRefs>
    <ds:schemaRef ds:uri="http://schemas.microsoft.com/sharepoint/v3/contenttype/forms"/>
  </ds:schemaRefs>
</ds:datastoreItem>
</file>

<file path=customXml/itemProps3.xml><?xml version="1.0" encoding="utf-8"?>
<ds:datastoreItem xmlns:ds="http://schemas.openxmlformats.org/officeDocument/2006/customXml" ds:itemID="{8B4C35BD-EAF9-4AAB-ACD0-6C2E903F1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08acf-39d1-47a1-bf12-fd311e760899"/>
    <ds:schemaRef ds:uri="223f4b98-d616-494a-8533-e8b41b57d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9D99A-66C9-4CD4-A73A-3DCAE8F2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2448</Words>
  <Characters>12889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15307</CharactersWithSpaces>
  <SharedDoc>false</SharedDoc>
  <HLinks>
    <vt:vector size="6" baseType="variant">
      <vt:variant>
        <vt:i4>7</vt:i4>
      </vt:variant>
      <vt:variant>
        <vt:i4>0</vt:i4>
      </vt:variant>
      <vt:variant>
        <vt:i4>0</vt:i4>
      </vt:variant>
      <vt:variant>
        <vt:i4>5</vt:i4>
      </vt:variant>
      <vt:variant>
        <vt:lpwstr>http://www.micex.ru/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Бандакова Екатерина Игоревна</cp:lastModifiedBy>
  <cp:revision>2</cp:revision>
  <cp:lastPrinted>2014-04-16T08:55:00Z</cp:lastPrinted>
  <dcterms:created xsi:type="dcterms:W3CDTF">2022-03-29T10:54:00Z</dcterms:created>
  <dcterms:modified xsi:type="dcterms:W3CDTF">2022-03-29T10:54:00Z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0x010100DE7C4F2DF345A643B8AD3E73C33BE9F5</vt:lpwstr>
  </property>
</Properties>
</file>