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519EB" w14:textId="77777777" w:rsidR="007949AF" w:rsidRDefault="007949AF" w:rsidP="009C61D5">
      <w:pPr>
        <w:ind w:left="5812" w:right="-81"/>
        <w:rPr>
          <w:rFonts w:ascii="Tahoma" w:hAnsi="Tahoma" w:cs="Tahoma"/>
          <w:b/>
          <w:sz w:val="20"/>
          <w:szCs w:val="20"/>
          <w:lang w:val="x-none" w:eastAsia="x-none"/>
        </w:rPr>
      </w:pPr>
    </w:p>
    <w:p w14:paraId="4588A4C6" w14:textId="77777777" w:rsidR="001B3B57" w:rsidRDefault="001B3B57" w:rsidP="009C61D5">
      <w:pPr>
        <w:ind w:left="5812" w:right="-81"/>
        <w:rPr>
          <w:rFonts w:ascii="Tahoma" w:hAnsi="Tahoma" w:cs="Tahoma"/>
          <w:b/>
          <w:sz w:val="20"/>
          <w:szCs w:val="20"/>
          <w:lang w:val="x-none" w:eastAsia="x-none"/>
        </w:rPr>
      </w:pPr>
    </w:p>
    <w:p w14:paraId="691149AA" w14:textId="65533E44" w:rsidR="00DE1D9D" w:rsidRPr="00DE583B" w:rsidRDefault="00DE1D9D" w:rsidP="001633B0">
      <w:pPr>
        <w:ind w:right="-81"/>
        <w:rPr>
          <w:rFonts w:ascii="Tahoma" w:hAnsi="Tahoma" w:cs="Tahoma"/>
          <w:b/>
          <w:sz w:val="20"/>
          <w:szCs w:val="20"/>
        </w:rPr>
      </w:pPr>
      <w:r>
        <w:rPr>
          <w:rFonts w:ascii="Tahoma" w:hAnsi="Tahoma"/>
          <w:b/>
          <w:sz w:val="20"/>
        </w:rPr>
        <w:t>APPROVED</w:t>
      </w:r>
    </w:p>
    <w:p w14:paraId="4DAA3FA9" w14:textId="77777777" w:rsidR="001633B0" w:rsidRDefault="00F4784D" w:rsidP="001633B0">
      <w:pPr>
        <w:pStyle w:val="a9"/>
        <w:tabs>
          <w:tab w:val="left" w:pos="5387"/>
          <w:tab w:val="left" w:pos="5812"/>
        </w:tabs>
        <w:spacing w:after="0"/>
        <w:ind w:right="-79"/>
        <w:rPr>
          <w:rFonts w:ascii="Tahoma" w:hAnsi="Tahoma"/>
          <w:sz w:val="20"/>
        </w:rPr>
      </w:pPr>
      <w:r>
        <w:rPr>
          <w:rFonts w:ascii="Tahoma" w:hAnsi="Tahoma"/>
          <w:sz w:val="20"/>
        </w:rPr>
        <w:t>by Public Joint Stock Company</w:t>
      </w:r>
    </w:p>
    <w:p w14:paraId="5743F42B" w14:textId="36BB61F8" w:rsidR="00F4784D" w:rsidRPr="00DE583B" w:rsidRDefault="00F4784D" w:rsidP="001633B0">
      <w:pPr>
        <w:pStyle w:val="a9"/>
        <w:tabs>
          <w:tab w:val="left" w:pos="5387"/>
          <w:tab w:val="left" w:pos="5812"/>
        </w:tabs>
        <w:spacing w:after="0"/>
        <w:ind w:right="-79"/>
        <w:rPr>
          <w:rFonts w:ascii="Tahoma" w:hAnsi="Tahoma" w:cs="Tahoma"/>
          <w:sz w:val="20"/>
          <w:szCs w:val="20"/>
        </w:rPr>
      </w:pPr>
      <w:r>
        <w:rPr>
          <w:rFonts w:ascii="Tahoma" w:hAnsi="Tahoma"/>
          <w:sz w:val="20"/>
        </w:rPr>
        <w:t>Moscow Exchange MICEX-RTS</w:t>
      </w:r>
    </w:p>
    <w:p w14:paraId="64FB07A9" w14:textId="0E8D12D8" w:rsidR="00F4784D" w:rsidRPr="00DE583B" w:rsidRDefault="00F4784D" w:rsidP="001633B0">
      <w:pPr>
        <w:pStyle w:val="a9"/>
        <w:tabs>
          <w:tab w:val="left" w:pos="4962"/>
          <w:tab w:val="left" w:pos="5812"/>
        </w:tabs>
        <w:spacing w:after="0"/>
        <w:ind w:right="27"/>
        <w:rPr>
          <w:rFonts w:ascii="Tahoma" w:hAnsi="Tahoma" w:cs="Tahoma"/>
          <w:sz w:val="20"/>
          <w:szCs w:val="20"/>
        </w:rPr>
      </w:pPr>
      <w:r>
        <w:rPr>
          <w:rFonts w:ascii="Tahoma" w:hAnsi="Tahoma"/>
          <w:sz w:val="20"/>
        </w:rPr>
        <w:t>(Order No. МБ-П-202</w:t>
      </w:r>
      <w:r w:rsidR="00BA3BC9">
        <w:rPr>
          <w:rFonts w:ascii="Tahoma" w:hAnsi="Tahoma"/>
          <w:sz w:val="20"/>
        </w:rPr>
        <w:t>5</w:t>
      </w:r>
      <w:r>
        <w:rPr>
          <w:rFonts w:ascii="Tahoma" w:hAnsi="Tahoma"/>
          <w:sz w:val="20"/>
        </w:rPr>
        <w:t>-</w:t>
      </w:r>
      <w:r w:rsidR="00BA3BC9">
        <w:rPr>
          <w:rFonts w:ascii="Tahoma" w:hAnsi="Tahoma"/>
          <w:sz w:val="20"/>
        </w:rPr>
        <w:t>1394</w:t>
      </w:r>
      <w:r>
        <w:rPr>
          <w:rFonts w:ascii="Tahoma" w:hAnsi="Tahoma"/>
          <w:sz w:val="20"/>
        </w:rPr>
        <w:t xml:space="preserve"> dated </w:t>
      </w:r>
      <w:r w:rsidR="00BA3BC9" w:rsidRPr="00A977F4">
        <w:rPr>
          <w:rFonts w:ascii="Tahoma" w:hAnsi="Tahoma"/>
          <w:sz w:val="20"/>
          <w:lang w:val="en-US"/>
        </w:rPr>
        <w:t xml:space="preserve">15 </w:t>
      </w:r>
      <w:r w:rsidR="00BA3BC9">
        <w:rPr>
          <w:rFonts w:ascii="Tahoma" w:hAnsi="Tahoma"/>
          <w:sz w:val="20"/>
          <w:lang w:val="en-US"/>
        </w:rPr>
        <w:t>April</w:t>
      </w:r>
      <w:r>
        <w:rPr>
          <w:rFonts w:ascii="Tahoma" w:hAnsi="Tahoma"/>
          <w:sz w:val="20"/>
        </w:rPr>
        <w:t xml:space="preserve"> 202</w:t>
      </w:r>
      <w:r w:rsidR="00BA3BC9">
        <w:rPr>
          <w:rFonts w:ascii="Tahoma" w:hAnsi="Tahoma"/>
          <w:sz w:val="20"/>
        </w:rPr>
        <w:t>5</w:t>
      </w:r>
      <w:r>
        <w:rPr>
          <w:rFonts w:ascii="Tahoma" w:hAnsi="Tahoma"/>
          <w:sz w:val="20"/>
        </w:rPr>
        <w:t>)</w:t>
      </w:r>
    </w:p>
    <w:p w14:paraId="0D61C9C5" w14:textId="77777777" w:rsidR="00B471DD" w:rsidRPr="00DE583B" w:rsidRDefault="00B471DD" w:rsidP="00821879">
      <w:pPr>
        <w:tabs>
          <w:tab w:val="left" w:pos="4962"/>
        </w:tabs>
        <w:ind w:left="5103" w:right="-81"/>
        <w:rPr>
          <w:rFonts w:ascii="Tahoma" w:hAnsi="Tahoma" w:cs="Tahoma"/>
          <w:sz w:val="20"/>
          <w:szCs w:val="20"/>
        </w:rPr>
      </w:pPr>
    </w:p>
    <w:p w14:paraId="7B864934" w14:textId="77777777" w:rsidR="00F4784D" w:rsidRPr="00DE583B" w:rsidRDefault="00F4784D" w:rsidP="00821879">
      <w:pPr>
        <w:tabs>
          <w:tab w:val="left" w:pos="4962"/>
        </w:tabs>
        <w:ind w:left="5103" w:right="-81"/>
        <w:rPr>
          <w:rFonts w:ascii="Tahoma" w:hAnsi="Tahoma" w:cs="Tahoma"/>
          <w:sz w:val="20"/>
          <w:szCs w:val="20"/>
        </w:rPr>
      </w:pPr>
    </w:p>
    <w:p w14:paraId="6FD9C895" w14:textId="6C1A3941" w:rsidR="009248D2" w:rsidRPr="00DE583B" w:rsidRDefault="00F11C0C" w:rsidP="009248D2">
      <w:pPr>
        <w:pStyle w:val="a8"/>
        <w:spacing w:before="0" w:after="0"/>
        <w:ind w:right="-6"/>
        <w:jc w:val="center"/>
        <w:rPr>
          <w:rFonts w:ascii="Tahoma" w:eastAsia="Arial Unicode MS" w:hAnsi="Tahoma" w:cs="Tahoma"/>
          <w:b/>
          <w:color w:val="auto"/>
        </w:rPr>
      </w:pPr>
      <w:r>
        <w:rPr>
          <w:rFonts w:ascii="Tahoma" w:hAnsi="Tahoma"/>
          <w:b/>
        </w:rPr>
        <w:t>SPECIFICATION FOR FUTURES CONTRACT ON</w:t>
      </w:r>
      <w:r>
        <w:rPr>
          <w:rFonts w:ascii="Tahoma" w:hAnsi="Tahoma"/>
          <w:b/>
          <w:color w:val="auto"/>
        </w:rPr>
        <w:t xml:space="preserve"> </w:t>
      </w:r>
    </w:p>
    <w:p w14:paraId="1E3A044C" w14:textId="5B942A6E" w:rsidR="005B1E6C" w:rsidRPr="00111C26" w:rsidRDefault="00F40A05">
      <w:pPr>
        <w:pStyle w:val="a8"/>
        <w:spacing w:before="0" w:after="0"/>
        <w:ind w:right="-6"/>
        <w:jc w:val="center"/>
        <w:rPr>
          <w:rFonts w:ascii="Tahoma" w:eastAsia="Arial Unicode MS" w:hAnsi="Tahoma" w:cs="Tahoma"/>
          <w:b/>
          <w:color w:val="auto"/>
        </w:rPr>
      </w:pPr>
      <w:r>
        <w:rPr>
          <w:rFonts w:ascii="Tahoma" w:hAnsi="Tahoma"/>
          <w:b/>
        </w:rPr>
        <w:t>THE RUSSIAN GOVERNMENT BOND INDEX (RGBI)</w:t>
      </w:r>
    </w:p>
    <w:p w14:paraId="32C397E6" w14:textId="77777777" w:rsidR="00292B50" w:rsidRPr="00111C26" w:rsidRDefault="00292B50" w:rsidP="00DE583B">
      <w:pPr>
        <w:pStyle w:val="a8"/>
        <w:spacing w:before="0" w:after="0"/>
        <w:ind w:right="-6"/>
        <w:rPr>
          <w:rFonts w:ascii="Tahoma" w:eastAsia="Arial Unicode MS" w:hAnsi="Tahoma" w:cs="Tahoma"/>
          <w:b/>
          <w:color w:val="auto"/>
        </w:rPr>
      </w:pPr>
    </w:p>
    <w:p w14:paraId="14A7268D" w14:textId="7F9EE393" w:rsidR="00B471DD" w:rsidRPr="00DE583B" w:rsidRDefault="007452E4" w:rsidP="00111C26">
      <w:pPr>
        <w:pStyle w:val="a1"/>
        <w:numPr>
          <w:ilvl w:val="0"/>
          <w:numId w:val="0"/>
        </w:numPr>
        <w:tabs>
          <w:tab w:val="num" w:pos="2268"/>
        </w:tabs>
        <w:ind w:left="284"/>
        <w:rPr>
          <w:rFonts w:ascii="Tahoma" w:hAnsi="Tahoma" w:cs="Tahoma"/>
        </w:rPr>
      </w:pPr>
      <w:r>
        <w:rPr>
          <w:rFonts w:ascii="Tahoma" w:hAnsi="Tahoma"/>
        </w:rPr>
        <w:t>This Specification sets out the standard terms and conditions of the RGBI Futures contract (hereinafter referred to as the Specification).</w:t>
      </w:r>
    </w:p>
    <w:p w14:paraId="6B7EBA73" w14:textId="08907B45" w:rsidR="00651BB4" w:rsidRPr="00DE583B" w:rsidRDefault="00F45CF4" w:rsidP="00111C26">
      <w:pPr>
        <w:pStyle w:val="a1"/>
        <w:numPr>
          <w:ilvl w:val="0"/>
          <w:numId w:val="0"/>
        </w:numPr>
        <w:tabs>
          <w:tab w:val="num" w:pos="2268"/>
        </w:tabs>
        <w:ind w:left="284"/>
        <w:rPr>
          <w:rFonts w:ascii="Tahoma" w:hAnsi="Tahoma" w:cs="Tahoma"/>
        </w:rPr>
      </w:pPr>
      <w:r>
        <w:rPr>
          <w:rFonts w:ascii="Tahoma" w:hAnsi="Tahoma"/>
        </w:rPr>
        <w:t xml:space="preserve">The Specification with the Clearing Rules for the Moscow Exchange Derivatives Market (the “Clearing Rules”), Trading Rules for the Moscow Exchange Derivatives Market (the “Trading Rules”) shall define the obligations under the cash-settled RGBI Futures contract (hereinafter the “Contract”) as well as the procedure for such obligations to arise, be changed or terminated. </w:t>
      </w:r>
    </w:p>
    <w:p w14:paraId="7ED2EEE6" w14:textId="708B730C" w:rsidR="00111C26" w:rsidRPr="00111C26" w:rsidRDefault="00311491" w:rsidP="00111C26">
      <w:pPr>
        <w:pStyle w:val="a1"/>
        <w:numPr>
          <w:ilvl w:val="0"/>
          <w:numId w:val="0"/>
        </w:numPr>
        <w:tabs>
          <w:tab w:val="num" w:pos="2268"/>
        </w:tabs>
        <w:ind w:left="284"/>
        <w:rPr>
          <w:rFonts w:ascii="Tahoma" w:hAnsi="Tahoma" w:cs="Tahoma"/>
        </w:rPr>
      </w:pPr>
      <w:r>
        <w:rPr>
          <w:rFonts w:ascii="Tahoma" w:hAnsi="Tahoma"/>
        </w:rPr>
        <w:t>The underlying asset of the Contract is the Russian Government Bond Index (RGBI) calculated by Moscow Exchange (hereinafter the Exchange) in accordance with the methodology approved by the Exchange and registered with the Bank of Russia.</w:t>
      </w:r>
    </w:p>
    <w:p w14:paraId="1EE67CD8" w14:textId="28953304" w:rsidR="00ED15C0" w:rsidRPr="00DE583B" w:rsidRDefault="00ED15C0" w:rsidP="00111C26">
      <w:pPr>
        <w:pStyle w:val="a1"/>
        <w:numPr>
          <w:ilvl w:val="0"/>
          <w:numId w:val="0"/>
        </w:numPr>
        <w:tabs>
          <w:tab w:val="num" w:pos="2268"/>
        </w:tabs>
        <w:ind w:left="284"/>
        <w:rPr>
          <w:rFonts w:ascii="Tahoma" w:hAnsi="Tahoma" w:cs="Tahoma"/>
        </w:rPr>
      </w:pPr>
      <w:r>
        <w:rPr>
          <w:rFonts w:ascii="Tahoma" w:hAnsi="Tahoma"/>
        </w:rPr>
        <w:t>Terms and definitions not expressly defined in the Specification shall be understood in accordance with the laws of the Russian Federation, the Trading Rules and the Clearing Rules.</w:t>
      </w:r>
    </w:p>
    <w:p w14:paraId="0B501ABA" w14:textId="77777777" w:rsidR="0064425A" w:rsidRPr="00DE583B" w:rsidRDefault="0064425A" w:rsidP="00DE583B">
      <w:pPr>
        <w:pStyle w:val="a0"/>
        <w:rPr>
          <w:rFonts w:ascii="Tahoma" w:hAnsi="Tahoma" w:cs="Tahoma"/>
        </w:rPr>
      </w:pPr>
      <w:r>
        <w:rPr>
          <w:rFonts w:ascii="Tahoma" w:hAnsi="Tahoma"/>
        </w:rPr>
        <w:t>Entering into the Contract</w:t>
      </w:r>
    </w:p>
    <w:p w14:paraId="1B1E0426" w14:textId="696C6159" w:rsidR="0064425A" w:rsidRPr="00DE583B" w:rsidRDefault="0064425A" w:rsidP="00DE583B">
      <w:pPr>
        <w:pStyle w:val="a1"/>
        <w:tabs>
          <w:tab w:val="clear" w:pos="786"/>
          <w:tab w:val="num" w:pos="1985"/>
          <w:tab w:val="num" w:pos="2127"/>
        </w:tabs>
        <w:ind w:left="709" w:hanging="425"/>
        <w:rPr>
          <w:rFonts w:ascii="Tahoma" w:hAnsi="Tahoma" w:cs="Tahoma"/>
        </w:rPr>
      </w:pPr>
      <w:r>
        <w:rPr>
          <w:rFonts w:ascii="Tahoma" w:hAnsi="Tahoma"/>
        </w:rPr>
        <w:t>The opportunity to conclude the Contract in the process of trading shall be granted by the Moscow Exchange resolution that shall specify:</w:t>
      </w:r>
    </w:p>
    <w:p w14:paraId="6991F095" w14:textId="77777777" w:rsidR="006A37C8" w:rsidRPr="00DE583B" w:rsidRDefault="006A37C8">
      <w:pPr>
        <w:pStyle w:val="Pointmark"/>
        <w:tabs>
          <w:tab w:val="clear" w:pos="360"/>
          <w:tab w:val="num" w:pos="1260"/>
        </w:tabs>
        <w:autoSpaceDN/>
        <w:spacing w:before="120"/>
        <w:ind w:left="1260"/>
        <w:rPr>
          <w:rFonts w:ascii="Tahoma" w:hAnsi="Tahoma" w:cs="Tahoma"/>
        </w:rPr>
      </w:pPr>
      <w:r>
        <w:rPr>
          <w:rFonts w:ascii="Tahoma" w:hAnsi="Tahoma"/>
        </w:rPr>
        <w:t>Contract code (designation);</w:t>
      </w:r>
    </w:p>
    <w:p w14:paraId="1EC7689C" w14:textId="77777777" w:rsidR="006A37C8" w:rsidRPr="00DE583B" w:rsidRDefault="006A37C8">
      <w:pPr>
        <w:pStyle w:val="Pointmark"/>
        <w:tabs>
          <w:tab w:val="clear" w:pos="360"/>
          <w:tab w:val="num" w:pos="1260"/>
        </w:tabs>
        <w:autoSpaceDN/>
        <w:spacing w:before="0"/>
        <w:ind w:left="1259" w:hanging="357"/>
        <w:rPr>
          <w:rFonts w:ascii="Tahoma" w:hAnsi="Tahoma" w:cs="Tahoma"/>
        </w:rPr>
      </w:pPr>
      <w:r>
        <w:rPr>
          <w:rFonts w:ascii="Tahoma" w:hAnsi="Tahoma"/>
        </w:rPr>
        <w:t>First trading day during which the Contract may trade (hereinafter the First Trading Day);</w:t>
      </w:r>
    </w:p>
    <w:p w14:paraId="201EAD67" w14:textId="17CB7429" w:rsidR="001F0BE3" w:rsidRPr="00DE583B" w:rsidRDefault="006A37C8">
      <w:pPr>
        <w:pStyle w:val="Pointmark"/>
        <w:tabs>
          <w:tab w:val="clear" w:pos="360"/>
          <w:tab w:val="num" w:pos="1260"/>
        </w:tabs>
        <w:autoSpaceDN/>
        <w:spacing w:before="0"/>
        <w:ind w:left="1259" w:hanging="357"/>
        <w:rPr>
          <w:rFonts w:ascii="Tahoma" w:hAnsi="Tahoma" w:cs="Tahoma"/>
        </w:rPr>
      </w:pPr>
      <w:r>
        <w:rPr>
          <w:rFonts w:ascii="Tahoma" w:hAnsi="Tahoma"/>
        </w:rPr>
        <w:t>The time from which the Contract may be executed (hereinafter the Start of Trading)</w:t>
      </w:r>
      <w:r w:rsidR="00BA3BC9">
        <w:rPr>
          <w:rFonts w:ascii="Tahoma" w:hAnsi="Tahoma"/>
        </w:rPr>
        <w:t>.</w:t>
      </w:r>
    </w:p>
    <w:p w14:paraId="34D5E247" w14:textId="5518B006" w:rsidR="006A6D3C" w:rsidRPr="00DE583B" w:rsidRDefault="00DE583B" w:rsidP="00DE583B">
      <w:pPr>
        <w:pStyle w:val="a1"/>
        <w:tabs>
          <w:tab w:val="num" w:pos="567"/>
        </w:tabs>
        <w:ind w:left="567" w:hanging="283"/>
        <w:rPr>
          <w:rFonts w:ascii="Tahoma" w:hAnsi="Tahoma" w:cs="Tahoma"/>
        </w:rPr>
      </w:pPr>
      <w:r>
        <w:rPr>
          <w:rFonts w:ascii="Tahoma" w:hAnsi="Tahoma"/>
        </w:rPr>
        <w:t>The Contract code (designation) is formed as follows:</w:t>
      </w:r>
    </w:p>
    <w:p w14:paraId="71BBEB3E" w14:textId="63FED520" w:rsidR="00821879" w:rsidRPr="00DE583B" w:rsidRDefault="00111C26" w:rsidP="00DE583B">
      <w:pPr>
        <w:pStyle w:val="ac"/>
        <w:tabs>
          <w:tab w:val="clear" w:pos="9000"/>
        </w:tabs>
        <w:spacing w:before="120"/>
        <w:rPr>
          <w:rFonts w:ascii="Tahoma" w:hAnsi="Tahoma" w:cs="Tahoma"/>
        </w:rPr>
      </w:pPr>
      <w:r>
        <w:rPr>
          <w:rFonts w:ascii="Tahoma" w:hAnsi="Tahoma"/>
        </w:rPr>
        <w:t>RGBI-&lt;settlement month</w:t>
      </w:r>
      <w:proofErr w:type="gramStart"/>
      <w:r>
        <w:rPr>
          <w:rFonts w:ascii="Tahoma" w:hAnsi="Tahoma"/>
        </w:rPr>
        <w:t>&gt;.&lt;</w:t>
      </w:r>
      <w:proofErr w:type="gramEnd"/>
      <w:r>
        <w:rPr>
          <w:rFonts w:ascii="Tahoma" w:hAnsi="Tahoma"/>
        </w:rPr>
        <w:t>settlement year&gt;.</w:t>
      </w:r>
    </w:p>
    <w:p w14:paraId="1FEECED2" w14:textId="77777777" w:rsidR="006A6D3C" w:rsidRPr="00DE583B" w:rsidRDefault="00CD4662" w:rsidP="00DE583B">
      <w:pPr>
        <w:pStyle w:val="Pointmark"/>
        <w:numPr>
          <w:ilvl w:val="0"/>
          <w:numId w:val="0"/>
        </w:numPr>
        <w:spacing w:before="120"/>
        <w:ind w:left="851"/>
        <w:rPr>
          <w:rFonts w:ascii="Tahoma" w:hAnsi="Tahoma" w:cs="Tahoma"/>
        </w:rPr>
      </w:pPr>
      <w:r>
        <w:rPr>
          <w:rFonts w:ascii="Tahoma" w:hAnsi="Tahoma"/>
        </w:rPr>
        <w:t>The settlement month and year specified in the Contract’s code (designation) (hereinafter the Contract’s settlement month and settlement year) shall be indicated in Arabic numerals and shall be used to determine the last Trading Day on which the Contract may be executed and the settlement day.</w:t>
      </w:r>
    </w:p>
    <w:p w14:paraId="1AD471E3" w14:textId="6359A98F" w:rsidR="00821879" w:rsidRPr="00DE583B" w:rsidRDefault="009026C7" w:rsidP="00DE583B">
      <w:pPr>
        <w:pStyle w:val="a1"/>
        <w:tabs>
          <w:tab w:val="num" w:pos="567"/>
        </w:tabs>
        <w:ind w:left="567" w:hanging="283"/>
        <w:jc w:val="left"/>
        <w:rPr>
          <w:rFonts w:ascii="Tahoma" w:hAnsi="Tahoma" w:cs="Tahoma"/>
        </w:rPr>
      </w:pPr>
      <w:r>
        <w:rPr>
          <w:rFonts w:ascii="Tahoma" w:hAnsi="Tahoma"/>
        </w:rPr>
        <w:t xml:space="preserve"> Contract price</w:t>
      </w:r>
    </w:p>
    <w:p w14:paraId="729DB4DD" w14:textId="0124A660" w:rsidR="00111C26" w:rsidRPr="00111C26" w:rsidRDefault="00111C26" w:rsidP="00111C26">
      <w:pPr>
        <w:pStyle w:val="10"/>
        <w:rPr>
          <w:rFonts w:ascii="Tahoma" w:hAnsi="Tahoma" w:cs="Tahoma"/>
        </w:rPr>
      </w:pPr>
      <w:r>
        <w:rPr>
          <w:rFonts w:ascii="Tahoma" w:hAnsi="Tahoma"/>
        </w:rPr>
        <w:t>When orders are submitted and contracts are executed, the Contract price shall be quoted in points as the RGBI value multiplied by 100.</w:t>
      </w:r>
    </w:p>
    <w:p w14:paraId="1F583BE5" w14:textId="62A3905E" w:rsidR="00111C26" w:rsidRPr="00111C26" w:rsidRDefault="00111C26" w:rsidP="00111C26">
      <w:pPr>
        <w:pStyle w:val="10"/>
        <w:rPr>
          <w:rFonts w:ascii="Tahoma" w:hAnsi="Tahoma" w:cs="Tahoma"/>
        </w:rPr>
      </w:pPr>
      <w:r>
        <w:rPr>
          <w:rFonts w:ascii="Tahoma" w:hAnsi="Tahoma"/>
        </w:rPr>
        <w:t xml:space="preserve">A minimum price fluctuation for the Contract (the “tick”) is one point. </w:t>
      </w:r>
    </w:p>
    <w:p w14:paraId="1C1673A2" w14:textId="27005D87" w:rsidR="00111C26" w:rsidRPr="00992166" w:rsidRDefault="00111C26" w:rsidP="00111C26">
      <w:pPr>
        <w:pStyle w:val="10"/>
      </w:pPr>
      <w:r>
        <w:t>The tick value is RUB 1.</w:t>
      </w:r>
    </w:p>
    <w:p w14:paraId="3FB2C59E" w14:textId="09A47599" w:rsidR="00DC1DB8" w:rsidRPr="00DE583B" w:rsidRDefault="00EE126F" w:rsidP="00DE583B">
      <w:pPr>
        <w:pStyle w:val="a1"/>
        <w:tabs>
          <w:tab w:val="num" w:pos="1418"/>
          <w:tab w:val="num" w:pos="2268"/>
        </w:tabs>
        <w:ind w:left="709" w:hanging="425"/>
        <w:rPr>
          <w:rFonts w:ascii="Tahoma" w:hAnsi="Tahoma" w:cs="Tahoma"/>
        </w:rPr>
      </w:pPr>
      <w:r>
        <w:rPr>
          <w:rFonts w:ascii="Tahoma" w:hAnsi="Tahoma"/>
        </w:rPr>
        <w:t xml:space="preserve">The last trading day of the Contract shall be the first working day of March, June, September and December of the settlement year. The Exchange shall be entitled, upon agreement with the Clearing Centre, to set another date for the Last Trading Day for the Contract, different from the date determined in accordance with this clause. </w:t>
      </w:r>
    </w:p>
    <w:p w14:paraId="0D63600D" w14:textId="547639E4" w:rsidR="00767E85" w:rsidRDefault="00281ED7" w:rsidP="00767E85">
      <w:pPr>
        <w:pStyle w:val="a1"/>
        <w:tabs>
          <w:tab w:val="num" w:pos="709"/>
        </w:tabs>
        <w:ind w:left="709" w:hanging="425"/>
        <w:rPr>
          <w:rFonts w:ascii="Tahoma" w:hAnsi="Tahoma" w:cs="Tahoma"/>
        </w:rPr>
      </w:pPr>
      <w:r>
        <w:rPr>
          <w:rFonts w:ascii="Tahoma" w:hAnsi="Tahoma"/>
        </w:rPr>
        <w:t xml:space="preserve">The settlement day for the Contract is its last trading day, except to the extent mentioned in Section 6.1 and 6.2 below. </w:t>
      </w:r>
    </w:p>
    <w:p w14:paraId="09D9172F" w14:textId="175904B3" w:rsidR="00767E85" w:rsidRPr="001633B0" w:rsidRDefault="00767E85">
      <w:pPr>
        <w:pStyle w:val="a1"/>
        <w:tabs>
          <w:tab w:val="num" w:pos="709"/>
        </w:tabs>
        <w:ind w:left="709" w:hanging="425"/>
        <w:rPr>
          <w:rFonts w:ascii="Tahoma" w:hAnsi="Tahoma" w:cs="Tahoma"/>
        </w:rPr>
      </w:pPr>
      <w:r>
        <w:rPr>
          <w:rFonts w:ascii="Tahoma" w:hAnsi="Tahoma"/>
        </w:rPr>
        <w:t>The list of dates, which are the last trading and settlement days for the Contracts, shall be published on the Exchange website.</w:t>
      </w:r>
    </w:p>
    <w:p w14:paraId="4D15F362" w14:textId="77777777" w:rsidR="001633B0" w:rsidRPr="00767E85" w:rsidRDefault="001633B0" w:rsidP="001633B0">
      <w:pPr>
        <w:pStyle w:val="a1"/>
        <w:numPr>
          <w:ilvl w:val="0"/>
          <w:numId w:val="0"/>
        </w:numPr>
        <w:tabs>
          <w:tab w:val="num" w:pos="786"/>
        </w:tabs>
        <w:ind w:left="709"/>
        <w:rPr>
          <w:rFonts w:ascii="Tahoma" w:hAnsi="Tahoma" w:cs="Tahoma"/>
        </w:rPr>
      </w:pPr>
    </w:p>
    <w:p w14:paraId="68191507" w14:textId="389E867F" w:rsidR="00DC1DB8" w:rsidRPr="00DE583B" w:rsidRDefault="0064425A" w:rsidP="00DE583B">
      <w:pPr>
        <w:pStyle w:val="a0"/>
        <w:rPr>
          <w:rFonts w:ascii="Tahoma" w:hAnsi="Tahoma" w:cs="Tahoma"/>
        </w:rPr>
      </w:pPr>
      <w:r>
        <w:rPr>
          <w:rFonts w:ascii="Tahoma" w:hAnsi="Tahoma"/>
        </w:rPr>
        <w:t>Obligations under the Contract</w:t>
      </w:r>
    </w:p>
    <w:p w14:paraId="271683F2" w14:textId="4597962A" w:rsidR="00DC1DB8" w:rsidRPr="00DE583B" w:rsidRDefault="006B0BDD" w:rsidP="00DE583B">
      <w:pPr>
        <w:pStyle w:val="a1"/>
        <w:tabs>
          <w:tab w:val="num" w:pos="644"/>
        </w:tabs>
        <w:rPr>
          <w:rFonts w:ascii="Tahoma" w:hAnsi="Tahoma" w:cs="Tahoma"/>
        </w:rPr>
      </w:pPr>
      <w:r>
        <w:rPr>
          <w:rFonts w:ascii="Tahoma" w:hAnsi="Tahoma"/>
        </w:rPr>
        <w:lastRenderedPageBreak/>
        <w:t xml:space="preserve"> Variation Margin obligation.</w:t>
      </w:r>
    </w:p>
    <w:p w14:paraId="52B52C71" w14:textId="42EE6DEE" w:rsidR="00DE698B" w:rsidRPr="00DE583B" w:rsidRDefault="00DF3D45" w:rsidP="00DE583B">
      <w:pPr>
        <w:pStyle w:val="10"/>
        <w:rPr>
          <w:rFonts w:ascii="Tahoma" w:hAnsi="Tahoma" w:cs="Tahoma"/>
        </w:rPr>
      </w:pPr>
      <w:r>
        <w:rPr>
          <w:rFonts w:ascii="Tahoma" w:hAnsi="Tahoma"/>
        </w:rPr>
        <w:t xml:space="preserve">The Parties to the Contract must pay each other variation margin in the form of cash, in the amount depending on the changes in the value of the underlying asset. </w:t>
      </w:r>
    </w:p>
    <w:p w14:paraId="11808BE9" w14:textId="4D10739D" w:rsidR="001316FC" w:rsidRPr="00DE583B" w:rsidRDefault="00D32025" w:rsidP="00DE583B">
      <w:pPr>
        <w:pStyle w:val="10"/>
        <w:rPr>
          <w:rFonts w:ascii="Tahoma" w:hAnsi="Tahoma" w:cs="Tahoma"/>
        </w:rPr>
      </w:pPr>
      <w:r>
        <w:rPr>
          <w:rFonts w:ascii="Tahoma" w:hAnsi="Tahoma"/>
        </w:rPr>
        <w:t>Variation margin will be calculated and must be paid during the life of the Contract.</w:t>
      </w:r>
    </w:p>
    <w:p w14:paraId="27E4D827" w14:textId="0919F06F" w:rsidR="00B97884" w:rsidRPr="00DE583B" w:rsidRDefault="001316FC" w:rsidP="00DE583B">
      <w:pPr>
        <w:pStyle w:val="10"/>
        <w:rPr>
          <w:rFonts w:ascii="Tahoma" w:hAnsi="Tahoma" w:cs="Tahoma"/>
        </w:rPr>
      </w:pPr>
      <w:r>
        <w:rPr>
          <w:rFonts w:ascii="Tahoma" w:hAnsi="Tahoma"/>
        </w:rPr>
        <w:t>Variation margin for the Contract is calculated according to the following formulas:</w:t>
      </w:r>
    </w:p>
    <w:p w14:paraId="1A661091" w14:textId="43298BA5" w:rsidR="00DF3D45" w:rsidRPr="00DE583B" w:rsidRDefault="00DF3D45" w:rsidP="00000012">
      <w:pPr>
        <w:pStyle w:val="10"/>
        <w:numPr>
          <w:ilvl w:val="3"/>
          <w:numId w:val="8"/>
        </w:numPr>
        <w:tabs>
          <w:tab w:val="clear" w:pos="2880"/>
          <w:tab w:val="clear" w:pos="9000"/>
          <w:tab w:val="left" w:pos="2410"/>
        </w:tabs>
        <w:ind w:left="2127" w:hanging="709"/>
        <w:rPr>
          <w:rFonts w:ascii="Tahoma" w:hAnsi="Tahoma" w:cs="Tahoma"/>
        </w:rPr>
      </w:pPr>
      <w:bookmarkStart w:id="0" w:name="_Ref249432111"/>
      <w:r>
        <w:rPr>
          <w:rFonts w:ascii="Tahoma" w:hAnsi="Tahoma"/>
        </w:rPr>
        <w:t>During the intraday clearing session:</w:t>
      </w:r>
      <w:bookmarkEnd w:id="0"/>
    </w:p>
    <w:p w14:paraId="5896384E" w14:textId="6F059447" w:rsidR="00DF3D45" w:rsidRPr="00DE583B" w:rsidRDefault="00DF3D45" w:rsidP="00000012">
      <w:pPr>
        <w:pStyle w:val="affa"/>
        <w:numPr>
          <w:ilvl w:val="0"/>
          <w:numId w:val="28"/>
        </w:numPr>
        <w:tabs>
          <w:tab w:val="left" w:pos="1843"/>
        </w:tabs>
        <w:spacing w:before="120"/>
        <w:ind w:left="1418" w:firstLine="142"/>
        <w:rPr>
          <w:rFonts w:ascii="Tahoma" w:hAnsi="Tahoma" w:cs="Tahoma"/>
          <w:sz w:val="20"/>
          <w:szCs w:val="20"/>
        </w:rPr>
      </w:pPr>
      <w:r>
        <w:rPr>
          <w:rFonts w:ascii="Tahoma" w:hAnsi="Tahoma"/>
          <w:sz w:val="20"/>
        </w:rPr>
        <w:t>If the variation margin has not been calculated before:</w:t>
      </w:r>
    </w:p>
    <w:p w14:paraId="15FAF9EE" w14:textId="77777777" w:rsidR="00DF3D45" w:rsidRPr="00DE583B"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5852E106" w14:textId="77777777" w:rsidR="00DF3D45" w:rsidRPr="00DE583B"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7E8F7A8B"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615D1EC1"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4C71C07B"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2F21DE1"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5D71097E"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54860EEC" w14:textId="77777777" w:rsidR="00DF3D45" w:rsidRPr="00DE583B" w:rsidRDefault="00DF3D45">
      <w:pPr>
        <w:ind w:left="1418"/>
        <w:jc w:val="both"/>
        <w:rPr>
          <w:rFonts w:ascii="Tahoma" w:hAnsi="Tahoma" w:cs="Tahoma"/>
          <w:sz w:val="20"/>
          <w:szCs w:val="20"/>
        </w:rPr>
      </w:pPr>
      <w:r>
        <w:rPr>
          <w:rFonts w:ascii="Tahoma" w:hAnsi="Tahoma"/>
          <w:sz w:val="20"/>
        </w:rPr>
        <w:t>R - the tick.</w:t>
      </w:r>
    </w:p>
    <w:p w14:paraId="35F76002" w14:textId="27FCF1B4" w:rsidR="00DF3D45" w:rsidRPr="00DE583B" w:rsidRDefault="00DF3D45" w:rsidP="00000012">
      <w:pPr>
        <w:pStyle w:val="affa"/>
        <w:numPr>
          <w:ilvl w:val="0"/>
          <w:numId w:val="28"/>
        </w:numPr>
        <w:tabs>
          <w:tab w:val="left" w:pos="1843"/>
        </w:tabs>
        <w:spacing w:before="120"/>
        <w:ind w:left="1418" w:firstLine="142"/>
        <w:rPr>
          <w:rFonts w:ascii="Tahoma" w:hAnsi="Tahoma" w:cs="Tahoma"/>
          <w:sz w:val="20"/>
          <w:szCs w:val="20"/>
        </w:rPr>
      </w:pPr>
      <w:r>
        <w:rPr>
          <w:rFonts w:ascii="Tahoma" w:hAnsi="Tahoma"/>
          <w:sz w:val="20"/>
        </w:rPr>
        <w:t>If the variation margin has been calculated before:</w:t>
      </w:r>
    </w:p>
    <w:p w14:paraId="6E2AF242" w14:textId="77777777" w:rsidR="00DF3D45" w:rsidRPr="00DE583B"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1</w:t>
      </w:r>
      <w:r>
        <w:rPr>
          <w:rFonts w:ascii="Tahoma" w:hAnsi="Tahoma"/>
          <w:b/>
          <w:sz w:val="20"/>
        </w:rPr>
        <w:t xml:space="preserve"> = Round (SP</w:t>
      </w:r>
      <w:r>
        <w:rPr>
          <w:rFonts w:ascii="Tahoma" w:hAnsi="Tahoma"/>
          <w:b/>
          <w:sz w:val="20"/>
          <w:vertAlign w:val="subscript"/>
        </w:rPr>
        <w:t>1</w:t>
      </w:r>
      <w:r>
        <w:rPr>
          <w:rFonts w:ascii="Tahoma" w:hAnsi="Tahoma"/>
          <w:b/>
          <w:sz w:val="20"/>
        </w:rPr>
        <w:t>*Round (W</w:t>
      </w:r>
      <w:r>
        <w:rPr>
          <w:rFonts w:ascii="Tahoma" w:hAnsi="Tahoma"/>
          <w:b/>
          <w:sz w:val="20"/>
          <w:vertAlign w:val="subscript"/>
        </w:rPr>
        <w:t>1</w:t>
      </w:r>
      <w:r>
        <w:rPr>
          <w:rFonts w:ascii="Tahoma" w:hAnsi="Tahoma"/>
          <w:b/>
          <w:sz w:val="20"/>
        </w:rPr>
        <w:t>/R; 5); 2) – Round (SP</w:t>
      </w:r>
      <w:r>
        <w:rPr>
          <w:rFonts w:ascii="Tahoma" w:hAnsi="Tahoma"/>
          <w:b/>
          <w:sz w:val="20"/>
          <w:vertAlign w:val="subscript"/>
        </w:rPr>
        <w:t>P</w:t>
      </w:r>
      <w:r>
        <w:rPr>
          <w:rFonts w:ascii="Tahoma" w:hAnsi="Tahoma"/>
          <w:b/>
          <w:sz w:val="20"/>
        </w:rPr>
        <w:t>*Round (W</w:t>
      </w:r>
      <w:r>
        <w:rPr>
          <w:rFonts w:ascii="Tahoma" w:hAnsi="Tahoma"/>
          <w:b/>
          <w:sz w:val="20"/>
          <w:vertAlign w:val="subscript"/>
        </w:rPr>
        <w:t>1</w:t>
      </w:r>
      <w:r>
        <w:rPr>
          <w:rFonts w:ascii="Tahoma" w:hAnsi="Tahoma"/>
          <w:b/>
          <w:sz w:val="20"/>
        </w:rPr>
        <w:t xml:space="preserve">/R; 5); 2)          </w:t>
      </w:r>
    </w:p>
    <w:p w14:paraId="009CBD66" w14:textId="77777777" w:rsidR="00DF3D45" w:rsidRPr="00DE583B"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181AA96E"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VМ1 – variation margin for the current trading day’s intraday settlement period, calculated during the intraday clearing session,</w:t>
      </w:r>
    </w:p>
    <w:p w14:paraId="51E29D5B"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Round – mathematical rounding to the specified precision,</w:t>
      </w:r>
    </w:p>
    <w:p w14:paraId="7DBB7A78"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SP</w:t>
      </w:r>
      <w:r>
        <w:rPr>
          <w:rFonts w:ascii="Tahoma" w:hAnsi="Tahoma"/>
          <w:sz w:val="20"/>
          <w:vertAlign w:val="subscript"/>
        </w:rPr>
        <w:t>1</w:t>
      </w:r>
      <w:r>
        <w:rPr>
          <w:rFonts w:ascii="Tahoma" w:hAnsi="Tahoma"/>
          <w:sz w:val="20"/>
        </w:rPr>
        <w:t xml:space="preserve"> – daily (last) settlement price of the Contract,</w:t>
      </w:r>
    </w:p>
    <w:p w14:paraId="1C563DFD" w14:textId="77777777" w:rsidR="00DF3D45" w:rsidRPr="00DE583B" w:rsidRDefault="00DF3D45">
      <w:pPr>
        <w:tabs>
          <w:tab w:val="left" w:pos="9000"/>
        </w:tabs>
        <w:ind w:left="1418"/>
        <w:jc w:val="both"/>
        <w:rPr>
          <w:rFonts w:ascii="Tahoma" w:hAnsi="Tahoma" w:cs="Tahoma"/>
          <w:sz w:val="20"/>
          <w:szCs w:val="20"/>
        </w:rPr>
      </w:pPr>
      <w:proofErr w:type="spellStart"/>
      <w:r>
        <w:rPr>
          <w:rFonts w:ascii="Tahoma" w:hAnsi="Tahoma"/>
          <w:sz w:val="20"/>
        </w:rPr>
        <w:t>SPp</w:t>
      </w:r>
      <w:proofErr w:type="spellEnd"/>
      <w:r>
        <w:rPr>
          <w:rFonts w:ascii="Tahoma" w:hAnsi="Tahoma"/>
          <w:sz w:val="20"/>
        </w:rPr>
        <w:t xml:space="preserve"> – settlement price of the Contract calculated during the previous trading day’s evening clearing session,</w:t>
      </w:r>
    </w:p>
    <w:p w14:paraId="3394D812"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W</w:t>
      </w:r>
      <w:r>
        <w:rPr>
          <w:rFonts w:ascii="Tahoma" w:hAnsi="Tahoma"/>
          <w:sz w:val="20"/>
          <w:vertAlign w:val="subscript"/>
        </w:rPr>
        <w:t>1</w:t>
      </w:r>
      <w:r>
        <w:rPr>
          <w:rFonts w:ascii="Tahoma" w:hAnsi="Tahoma"/>
          <w:sz w:val="20"/>
        </w:rPr>
        <w:t xml:space="preserve"> – tick value,</w:t>
      </w:r>
    </w:p>
    <w:p w14:paraId="7031F71D" w14:textId="77777777" w:rsidR="00DF3D45" w:rsidRPr="00DE583B" w:rsidRDefault="00DF3D45">
      <w:pPr>
        <w:ind w:left="1418"/>
        <w:jc w:val="both"/>
        <w:rPr>
          <w:rFonts w:ascii="Tahoma" w:hAnsi="Tahoma" w:cs="Tahoma"/>
          <w:sz w:val="20"/>
          <w:szCs w:val="20"/>
        </w:rPr>
      </w:pPr>
      <w:r>
        <w:rPr>
          <w:rFonts w:ascii="Tahoma" w:hAnsi="Tahoma"/>
          <w:sz w:val="20"/>
        </w:rPr>
        <w:t>R - the tick.</w:t>
      </w:r>
    </w:p>
    <w:p w14:paraId="45056376" w14:textId="7A9BE8B4" w:rsidR="00DF3D45" w:rsidRPr="00DE583B" w:rsidRDefault="00DF3D45" w:rsidP="00384736">
      <w:pPr>
        <w:pStyle w:val="affa"/>
        <w:numPr>
          <w:ilvl w:val="3"/>
          <w:numId w:val="8"/>
        </w:numPr>
        <w:tabs>
          <w:tab w:val="clear" w:pos="2880"/>
          <w:tab w:val="num" w:pos="1701"/>
        </w:tabs>
        <w:autoSpaceDE/>
        <w:autoSpaceDN/>
        <w:spacing w:before="120"/>
        <w:ind w:left="2127" w:hanging="709"/>
        <w:rPr>
          <w:rFonts w:ascii="Tahoma" w:hAnsi="Tahoma" w:cs="Tahoma"/>
          <w:sz w:val="20"/>
          <w:szCs w:val="20"/>
        </w:rPr>
      </w:pPr>
      <w:r>
        <w:rPr>
          <w:rFonts w:ascii="Tahoma" w:hAnsi="Tahoma"/>
          <w:sz w:val="20"/>
        </w:rPr>
        <w:t>During the evening clearing session:</w:t>
      </w:r>
    </w:p>
    <w:p w14:paraId="7AC58579" w14:textId="77777777" w:rsidR="00DF3D45" w:rsidRPr="00DE583B" w:rsidRDefault="00DF3D45" w:rsidP="00384736">
      <w:pPr>
        <w:numPr>
          <w:ilvl w:val="0"/>
          <w:numId w:val="22"/>
        </w:numPr>
        <w:tabs>
          <w:tab w:val="left" w:pos="1843"/>
        </w:tabs>
        <w:autoSpaceDE/>
        <w:autoSpaceDN/>
        <w:spacing w:before="120"/>
        <w:ind w:left="1418" w:firstLine="142"/>
        <w:rPr>
          <w:rFonts w:ascii="Tahoma" w:hAnsi="Tahoma" w:cs="Tahoma"/>
          <w:sz w:val="20"/>
          <w:szCs w:val="20"/>
        </w:rPr>
      </w:pPr>
      <w:r>
        <w:rPr>
          <w:rFonts w:ascii="Tahoma" w:hAnsi="Tahoma"/>
          <w:sz w:val="20"/>
        </w:rPr>
        <w:t>If the variation margin has not been calculated before:</w:t>
      </w:r>
    </w:p>
    <w:p w14:paraId="069E6A79" w14:textId="77777777" w:rsidR="00DF3D45" w:rsidRPr="00DE583B" w:rsidRDefault="00DF3D45" w:rsidP="00DE583B">
      <w:pPr>
        <w:tabs>
          <w:tab w:val="left" w:pos="9000"/>
        </w:tabs>
        <w:spacing w:before="120"/>
        <w:ind w:left="1418"/>
        <w:rPr>
          <w:rFonts w:ascii="Tahoma" w:hAnsi="Tahoma" w:cs="Tahoma"/>
          <w:b/>
          <w:sz w:val="20"/>
          <w:szCs w:val="20"/>
        </w:rPr>
      </w:pPr>
      <w:r>
        <w:rPr>
          <w:rFonts w:ascii="Tahoma" w:hAnsi="Tahoma"/>
          <w:b/>
          <w:sz w:val="20"/>
        </w:rPr>
        <w:t>VM</w:t>
      </w:r>
      <w:r>
        <w:rPr>
          <w:rFonts w:ascii="Tahoma" w:hAnsi="Tahoma"/>
          <w:b/>
          <w:sz w:val="20"/>
          <w:vertAlign w:val="subscript"/>
        </w:rPr>
        <w:t>2</w:t>
      </w:r>
      <w:r>
        <w:rPr>
          <w:rFonts w:ascii="Tahoma" w:hAnsi="Tahoma"/>
          <w:b/>
          <w:sz w:val="20"/>
        </w:rPr>
        <w:t xml:space="preserve"> = Round (SP</w:t>
      </w:r>
      <w:r>
        <w:rPr>
          <w:rFonts w:ascii="Tahoma" w:hAnsi="Tahoma"/>
          <w:b/>
          <w:sz w:val="20"/>
          <w:vertAlign w:val="subscript"/>
        </w:rPr>
        <w:t>2</w:t>
      </w:r>
      <w:r>
        <w:rPr>
          <w:rFonts w:ascii="Tahoma" w:hAnsi="Tahoma"/>
          <w:b/>
          <w:sz w:val="20"/>
        </w:rPr>
        <w:t>*Round (W</w:t>
      </w:r>
      <w:r>
        <w:rPr>
          <w:rFonts w:ascii="Tahoma" w:hAnsi="Tahoma"/>
          <w:b/>
          <w:sz w:val="20"/>
          <w:vertAlign w:val="subscript"/>
        </w:rPr>
        <w:t>2</w:t>
      </w:r>
      <w:r>
        <w:rPr>
          <w:rFonts w:ascii="Tahoma" w:hAnsi="Tahoma"/>
          <w:b/>
          <w:sz w:val="20"/>
        </w:rPr>
        <w:t>/R; 5); 2) – Round (P</w:t>
      </w:r>
      <w:r>
        <w:rPr>
          <w:rFonts w:ascii="Tahoma" w:hAnsi="Tahoma"/>
          <w:b/>
          <w:sz w:val="20"/>
          <w:vertAlign w:val="subscript"/>
        </w:rPr>
        <w:t>0</w:t>
      </w:r>
      <w:r>
        <w:rPr>
          <w:rFonts w:ascii="Tahoma" w:hAnsi="Tahoma"/>
          <w:b/>
          <w:sz w:val="20"/>
        </w:rPr>
        <w:t>*Round (W</w:t>
      </w:r>
      <w:r>
        <w:rPr>
          <w:rFonts w:ascii="Tahoma" w:hAnsi="Tahoma"/>
          <w:b/>
          <w:sz w:val="20"/>
          <w:vertAlign w:val="subscript"/>
        </w:rPr>
        <w:t>2</w:t>
      </w:r>
      <w:r>
        <w:rPr>
          <w:rFonts w:ascii="Tahoma" w:hAnsi="Tahoma"/>
          <w:b/>
          <w:sz w:val="20"/>
        </w:rPr>
        <w:t xml:space="preserve">/R; 5); 2)          </w:t>
      </w:r>
    </w:p>
    <w:p w14:paraId="06674CA6" w14:textId="77777777" w:rsidR="00DF3D45" w:rsidRPr="00DE583B"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43F4219E" w14:textId="77777777" w:rsidR="00DF3D45" w:rsidRPr="00DE583B" w:rsidRDefault="00DF3D45" w:rsidP="00DE583B">
      <w:pPr>
        <w:tabs>
          <w:tab w:val="left" w:pos="9000"/>
        </w:tabs>
        <w:ind w:left="1418"/>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07BA95C6" w14:textId="77777777" w:rsidR="00DF3D45" w:rsidRPr="00DE583B" w:rsidRDefault="00DF3D45" w:rsidP="00DE583B">
      <w:pPr>
        <w:tabs>
          <w:tab w:val="left" w:pos="9000"/>
        </w:tabs>
        <w:ind w:left="1418"/>
        <w:rPr>
          <w:rFonts w:ascii="Tahoma" w:hAnsi="Tahoma" w:cs="Tahoma"/>
          <w:sz w:val="20"/>
          <w:szCs w:val="20"/>
        </w:rPr>
      </w:pPr>
      <w:r>
        <w:rPr>
          <w:rFonts w:ascii="Tahoma" w:hAnsi="Tahoma"/>
          <w:sz w:val="20"/>
        </w:rPr>
        <w:t>Round – mathematical rounding to the specified precision,</w:t>
      </w:r>
    </w:p>
    <w:p w14:paraId="1C108B92" w14:textId="77777777" w:rsidR="00DF3D45" w:rsidRPr="00DE583B" w:rsidRDefault="00DF3D45" w:rsidP="00DE583B">
      <w:pPr>
        <w:tabs>
          <w:tab w:val="left" w:pos="9000"/>
        </w:tabs>
        <w:ind w:left="1418"/>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41C7342F" w14:textId="77777777" w:rsidR="00DF3D45" w:rsidRPr="00DE583B" w:rsidRDefault="00DF3D45" w:rsidP="00DE583B">
      <w:pPr>
        <w:tabs>
          <w:tab w:val="left" w:pos="9000"/>
        </w:tabs>
        <w:ind w:left="1418"/>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1229C83E" w14:textId="77777777" w:rsidR="00DF3D45" w:rsidRPr="00DE583B" w:rsidRDefault="00DF3D45" w:rsidP="00DE583B">
      <w:pPr>
        <w:tabs>
          <w:tab w:val="left" w:pos="9000"/>
        </w:tabs>
        <w:ind w:left="1418"/>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67F3ABD7" w14:textId="77777777" w:rsidR="00DF3D45" w:rsidRPr="00DE583B" w:rsidRDefault="00DF3D45" w:rsidP="00DE583B">
      <w:pPr>
        <w:tabs>
          <w:tab w:val="left" w:pos="9000"/>
        </w:tabs>
        <w:ind w:left="1418"/>
        <w:rPr>
          <w:rFonts w:ascii="Tahoma" w:hAnsi="Tahoma" w:cs="Tahoma"/>
          <w:sz w:val="20"/>
          <w:szCs w:val="20"/>
        </w:rPr>
      </w:pPr>
      <w:r>
        <w:rPr>
          <w:rFonts w:ascii="Tahoma" w:hAnsi="Tahoma"/>
          <w:sz w:val="20"/>
        </w:rPr>
        <w:t>R - the tick.</w:t>
      </w:r>
    </w:p>
    <w:p w14:paraId="0A145597" w14:textId="77777777" w:rsidR="00DF3D45" w:rsidRPr="00DE583B" w:rsidRDefault="00DF3D45" w:rsidP="00384736">
      <w:pPr>
        <w:numPr>
          <w:ilvl w:val="0"/>
          <w:numId w:val="22"/>
        </w:numPr>
        <w:tabs>
          <w:tab w:val="left" w:pos="1843"/>
        </w:tabs>
        <w:autoSpaceDE/>
        <w:autoSpaceDN/>
        <w:spacing w:before="120"/>
        <w:ind w:left="1418" w:firstLine="142"/>
        <w:rPr>
          <w:rFonts w:ascii="Tahoma" w:hAnsi="Tahoma" w:cs="Tahoma"/>
          <w:sz w:val="20"/>
          <w:szCs w:val="20"/>
        </w:rPr>
      </w:pPr>
      <w:r>
        <w:rPr>
          <w:rFonts w:ascii="Tahoma" w:hAnsi="Tahoma"/>
          <w:sz w:val="20"/>
        </w:rPr>
        <w:t>If the variation margin for the Contract has been calculated in the intraday clearing session on the current trading day:</w:t>
      </w:r>
    </w:p>
    <w:p w14:paraId="49242658" w14:textId="77777777" w:rsidR="00DF3D45" w:rsidRPr="00DE583B" w:rsidRDefault="00DF3D45" w:rsidP="00DE583B">
      <w:pPr>
        <w:tabs>
          <w:tab w:val="left" w:pos="9000"/>
        </w:tabs>
        <w:spacing w:before="120"/>
        <w:ind w:left="1418"/>
        <w:rPr>
          <w:rFonts w:ascii="Tahoma" w:hAnsi="Tahoma" w:cs="Tahoma"/>
          <w:b/>
          <w:sz w:val="20"/>
          <w:szCs w:val="20"/>
        </w:rPr>
      </w:pPr>
      <w:r>
        <w:rPr>
          <w:rFonts w:ascii="Tahoma" w:hAnsi="Tahoma"/>
          <w:b/>
          <w:sz w:val="20"/>
        </w:rPr>
        <w:t>VМ</w:t>
      </w:r>
      <w:r>
        <w:rPr>
          <w:rFonts w:ascii="Tahoma" w:hAnsi="Tahoma"/>
          <w:b/>
          <w:sz w:val="20"/>
          <w:vertAlign w:val="subscript"/>
        </w:rPr>
        <w:t>2</w:t>
      </w:r>
      <w:r>
        <w:rPr>
          <w:rFonts w:ascii="Tahoma" w:hAnsi="Tahoma"/>
          <w:b/>
          <w:sz w:val="20"/>
        </w:rPr>
        <w:t xml:space="preserve"> = VМ – VМ</w:t>
      </w:r>
      <w:r>
        <w:rPr>
          <w:rFonts w:ascii="Tahoma" w:hAnsi="Tahoma"/>
          <w:b/>
          <w:sz w:val="20"/>
          <w:vertAlign w:val="subscript"/>
        </w:rPr>
        <w:t>1</w:t>
      </w:r>
    </w:p>
    <w:p w14:paraId="0ADFE96B" w14:textId="77777777" w:rsidR="00DF3D45" w:rsidRPr="00DE583B" w:rsidRDefault="00DF3D45" w:rsidP="00DE583B">
      <w:pPr>
        <w:tabs>
          <w:tab w:val="left" w:pos="9000"/>
        </w:tabs>
        <w:spacing w:before="120"/>
        <w:ind w:left="1418"/>
        <w:rPr>
          <w:rFonts w:ascii="Tahoma" w:hAnsi="Tahoma" w:cs="Tahoma"/>
          <w:sz w:val="20"/>
          <w:szCs w:val="20"/>
        </w:rPr>
      </w:pPr>
      <w:r>
        <w:rPr>
          <w:rFonts w:ascii="Tahoma" w:hAnsi="Tahoma"/>
          <w:sz w:val="20"/>
        </w:rPr>
        <w:t>where:</w:t>
      </w:r>
    </w:p>
    <w:p w14:paraId="4B0A737B"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VМ</w:t>
      </w:r>
      <w:r>
        <w:rPr>
          <w:rFonts w:ascii="Tahoma" w:hAnsi="Tahoma"/>
          <w:sz w:val="20"/>
          <w:vertAlign w:val="subscript"/>
        </w:rPr>
        <w:t>2</w:t>
      </w:r>
      <w:r>
        <w:rPr>
          <w:rFonts w:ascii="Tahoma" w:hAnsi="Tahoma"/>
          <w:sz w:val="20"/>
        </w:rPr>
        <w:t xml:space="preserve"> – variation margin for the Contract as calculated in the evening clearing session for the current trading day’s evening settlement period,</w:t>
      </w:r>
    </w:p>
    <w:p w14:paraId="6AFD05B4" w14:textId="77777777" w:rsidR="00DF3D45" w:rsidRPr="00DE583B" w:rsidRDefault="00DF3D45">
      <w:pPr>
        <w:tabs>
          <w:tab w:val="left" w:pos="9000"/>
        </w:tabs>
        <w:ind w:left="1418"/>
        <w:jc w:val="both"/>
        <w:rPr>
          <w:rFonts w:ascii="Tahoma" w:hAnsi="Tahoma" w:cs="Tahoma"/>
          <w:sz w:val="20"/>
          <w:szCs w:val="20"/>
        </w:rPr>
      </w:pPr>
      <w:r>
        <w:rPr>
          <w:rFonts w:ascii="Tahoma" w:hAnsi="Tahoma"/>
          <w:sz w:val="20"/>
        </w:rPr>
        <w:t>VM – variation margin for the Contract as calculated in the evening clearing session for the current trading day;</w:t>
      </w:r>
    </w:p>
    <w:p w14:paraId="07D0CA4C" w14:textId="5E029962" w:rsidR="00DF3D45" w:rsidRPr="00DE583B" w:rsidRDefault="00DF3D45">
      <w:pPr>
        <w:tabs>
          <w:tab w:val="left" w:pos="9000"/>
        </w:tabs>
        <w:ind w:left="1418"/>
        <w:jc w:val="both"/>
        <w:rPr>
          <w:rFonts w:ascii="Tahoma" w:hAnsi="Tahoma" w:cs="Tahoma"/>
          <w:sz w:val="20"/>
          <w:szCs w:val="20"/>
        </w:rPr>
      </w:pPr>
      <w:r>
        <w:rPr>
          <w:rFonts w:ascii="Tahoma" w:hAnsi="Tahoma"/>
          <w:sz w:val="20"/>
        </w:rPr>
        <w:t>VM</w:t>
      </w:r>
      <w:r>
        <w:rPr>
          <w:rFonts w:ascii="Tahoma" w:hAnsi="Tahoma"/>
          <w:sz w:val="20"/>
          <w:vertAlign w:val="subscript"/>
        </w:rPr>
        <w:t>1</w:t>
      </w:r>
      <w:r>
        <w:rPr>
          <w:rFonts w:ascii="Tahoma" w:hAnsi="Tahoma"/>
          <w:sz w:val="20"/>
        </w:rPr>
        <w:t xml:space="preserve"> – variation margin for the Contract as calculated in the intraday clearing session on the </w:t>
      </w:r>
      <w:proofErr w:type="spellStart"/>
      <w:r>
        <w:rPr>
          <w:rFonts w:ascii="Tahoma" w:hAnsi="Tahoma"/>
          <w:sz w:val="20"/>
        </w:rPr>
        <w:t>the</w:t>
      </w:r>
      <w:proofErr w:type="spellEnd"/>
      <w:r>
        <w:rPr>
          <w:rFonts w:ascii="Tahoma" w:hAnsi="Tahoma"/>
          <w:sz w:val="20"/>
        </w:rPr>
        <w:t xml:space="preserve"> current trading day as per Section 2.1.3.1 above.</w:t>
      </w:r>
    </w:p>
    <w:p w14:paraId="6FED7B7B" w14:textId="77777777" w:rsidR="00DF3D45" w:rsidRPr="00DE583B" w:rsidRDefault="00DF3D45" w:rsidP="00DE583B">
      <w:pPr>
        <w:tabs>
          <w:tab w:val="left" w:pos="9000"/>
        </w:tabs>
        <w:spacing w:before="120"/>
        <w:ind w:left="1418"/>
        <w:rPr>
          <w:rFonts w:ascii="Tahoma" w:hAnsi="Tahoma" w:cs="Tahoma"/>
          <w:sz w:val="20"/>
          <w:szCs w:val="20"/>
        </w:rPr>
      </w:pPr>
      <w:r>
        <w:rPr>
          <w:rFonts w:ascii="Tahoma" w:hAnsi="Tahoma"/>
          <w:sz w:val="20"/>
        </w:rPr>
        <w:t xml:space="preserve">VM is determined according to the following formulas: </w:t>
      </w:r>
    </w:p>
    <w:p w14:paraId="04A70E88" w14:textId="77777777" w:rsidR="00DF3D45" w:rsidRPr="00DE583B" w:rsidRDefault="00DF3D45" w:rsidP="00DE583B">
      <w:pPr>
        <w:numPr>
          <w:ilvl w:val="0"/>
          <w:numId w:val="23"/>
        </w:numPr>
        <w:tabs>
          <w:tab w:val="left" w:pos="1701"/>
        </w:tabs>
        <w:autoSpaceDE/>
        <w:autoSpaceDN/>
        <w:spacing w:before="120"/>
        <w:ind w:left="1701" w:hanging="283"/>
        <w:rPr>
          <w:rFonts w:ascii="Tahoma" w:hAnsi="Tahoma" w:cs="Tahoma"/>
          <w:sz w:val="20"/>
          <w:szCs w:val="20"/>
        </w:rPr>
      </w:pPr>
      <w:r>
        <w:rPr>
          <w:rFonts w:ascii="Tahoma" w:hAnsi="Tahoma"/>
          <w:sz w:val="20"/>
        </w:rPr>
        <w:lastRenderedPageBreak/>
        <w:t>If the variation margin has not been calculated for the previous trading day in the evening clearing session:</w:t>
      </w:r>
    </w:p>
    <w:p w14:paraId="17E519CD" w14:textId="77777777" w:rsidR="00DF3D45" w:rsidRPr="00DE583B" w:rsidRDefault="00DF3D45" w:rsidP="00821879">
      <w:pPr>
        <w:tabs>
          <w:tab w:val="left" w:pos="1701"/>
          <w:tab w:val="left" w:pos="9000"/>
        </w:tabs>
        <w:spacing w:before="120"/>
        <w:ind w:left="1701"/>
        <w:rPr>
          <w:rFonts w:ascii="Tahoma" w:hAnsi="Tahoma" w:cs="Tahoma"/>
          <w:sz w:val="20"/>
          <w:szCs w:val="20"/>
        </w:rPr>
      </w:pPr>
      <w:r>
        <w:rPr>
          <w:rFonts w:ascii="Tahoma" w:hAnsi="Tahoma"/>
          <w:sz w:val="20"/>
        </w:rPr>
        <w:t>VM = Round (SP</w:t>
      </w:r>
      <w:r>
        <w:rPr>
          <w:rFonts w:ascii="Tahoma" w:hAnsi="Tahoma"/>
          <w:sz w:val="20"/>
          <w:vertAlign w:val="subscript"/>
        </w:rPr>
        <w:t>2</w:t>
      </w:r>
      <w:r>
        <w:rPr>
          <w:rFonts w:ascii="Tahoma" w:hAnsi="Tahoma"/>
          <w:sz w:val="20"/>
        </w:rPr>
        <w:t>*</w:t>
      </w:r>
      <w:proofErr w:type="gramStart"/>
      <w:r>
        <w:rPr>
          <w:rFonts w:ascii="Tahoma" w:hAnsi="Tahoma"/>
          <w:sz w:val="20"/>
        </w:rPr>
        <w:t>Round(</w:t>
      </w:r>
      <w:proofErr w:type="gramEnd"/>
      <w:r>
        <w:rPr>
          <w:rFonts w:ascii="Tahoma" w:hAnsi="Tahoma"/>
          <w:sz w:val="20"/>
        </w:rPr>
        <w:t>W</w:t>
      </w:r>
      <w:r>
        <w:rPr>
          <w:rFonts w:ascii="Tahoma" w:hAnsi="Tahoma"/>
          <w:sz w:val="20"/>
          <w:vertAlign w:val="subscript"/>
        </w:rPr>
        <w:t>2</w:t>
      </w:r>
      <w:r>
        <w:rPr>
          <w:rFonts w:ascii="Tahoma" w:hAnsi="Tahoma"/>
          <w:sz w:val="20"/>
        </w:rPr>
        <w:t>/R; 5); 2) – Round(P</w:t>
      </w:r>
      <w:r>
        <w:rPr>
          <w:rFonts w:ascii="Tahoma" w:hAnsi="Tahoma"/>
          <w:sz w:val="20"/>
          <w:vertAlign w:val="subscript"/>
        </w:rPr>
        <w:t>0</w:t>
      </w:r>
      <w:r>
        <w:rPr>
          <w:rFonts w:ascii="Tahoma" w:hAnsi="Tahoma"/>
          <w:sz w:val="20"/>
        </w:rPr>
        <w:t>*Round (W</w:t>
      </w:r>
      <w:r>
        <w:rPr>
          <w:rFonts w:ascii="Tahoma" w:hAnsi="Tahoma"/>
          <w:sz w:val="20"/>
          <w:vertAlign w:val="subscript"/>
        </w:rPr>
        <w:t>2</w:t>
      </w:r>
      <w:r>
        <w:rPr>
          <w:rFonts w:ascii="Tahoma" w:hAnsi="Tahoma"/>
          <w:sz w:val="20"/>
        </w:rPr>
        <w:t>/R; 5); 2)</w:t>
      </w:r>
    </w:p>
    <w:p w14:paraId="4B1B8F42" w14:textId="77777777" w:rsidR="00DF3D45" w:rsidRPr="00DE583B" w:rsidRDefault="00DF3D45" w:rsidP="00DE583B">
      <w:pPr>
        <w:tabs>
          <w:tab w:val="left" w:pos="1701"/>
          <w:tab w:val="left" w:pos="9000"/>
        </w:tabs>
        <w:spacing w:before="120"/>
        <w:ind w:left="1701"/>
        <w:rPr>
          <w:rFonts w:ascii="Tahoma" w:hAnsi="Tahoma" w:cs="Tahoma"/>
          <w:sz w:val="20"/>
          <w:szCs w:val="20"/>
        </w:rPr>
      </w:pPr>
      <w:r>
        <w:rPr>
          <w:rFonts w:ascii="Tahoma" w:hAnsi="Tahoma"/>
          <w:sz w:val="20"/>
        </w:rPr>
        <w:t>where:</w:t>
      </w:r>
    </w:p>
    <w:p w14:paraId="7B53C33F" w14:textId="77777777" w:rsidR="00DF3D45" w:rsidRPr="00DE583B" w:rsidRDefault="00DF3D45" w:rsidP="00DE583B">
      <w:pPr>
        <w:tabs>
          <w:tab w:val="left" w:pos="1701"/>
          <w:tab w:val="left" w:pos="9000"/>
        </w:tabs>
        <w:ind w:left="1701"/>
        <w:rPr>
          <w:rFonts w:ascii="Tahoma" w:hAnsi="Tahoma" w:cs="Tahoma"/>
          <w:sz w:val="20"/>
          <w:szCs w:val="20"/>
        </w:rPr>
      </w:pPr>
      <w:r>
        <w:rPr>
          <w:rFonts w:ascii="Tahoma" w:hAnsi="Tahoma"/>
          <w:sz w:val="20"/>
        </w:rPr>
        <w:t>Round – mathematical rounding to the specified precision,</w:t>
      </w:r>
    </w:p>
    <w:p w14:paraId="577633C8" w14:textId="77777777" w:rsidR="00DF3D45" w:rsidRPr="00DE583B" w:rsidRDefault="00DF3D45" w:rsidP="00DE583B">
      <w:pPr>
        <w:tabs>
          <w:tab w:val="left" w:pos="1701"/>
          <w:tab w:val="left" w:pos="9000"/>
        </w:tabs>
        <w:ind w:left="1701"/>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6CAD6F12" w14:textId="77777777" w:rsidR="00DF3D45" w:rsidRPr="00DE583B" w:rsidRDefault="00DF3D45" w:rsidP="00DE583B">
      <w:pPr>
        <w:tabs>
          <w:tab w:val="left" w:pos="1701"/>
          <w:tab w:val="left" w:pos="9000"/>
        </w:tabs>
        <w:ind w:left="1701"/>
        <w:rPr>
          <w:rFonts w:ascii="Tahoma" w:hAnsi="Tahoma" w:cs="Tahoma"/>
          <w:sz w:val="20"/>
          <w:szCs w:val="20"/>
        </w:rPr>
      </w:pPr>
      <w:r>
        <w:rPr>
          <w:rFonts w:ascii="Tahoma" w:hAnsi="Tahoma"/>
          <w:sz w:val="20"/>
        </w:rPr>
        <w:t>P</w:t>
      </w:r>
      <w:r>
        <w:rPr>
          <w:rFonts w:ascii="Tahoma" w:hAnsi="Tahoma"/>
          <w:sz w:val="20"/>
          <w:vertAlign w:val="subscript"/>
        </w:rPr>
        <w:t>0</w:t>
      </w:r>
      <w:r>
        <w:rPr>
          <w:rFonts w:ascii="Tahoma" w:hAnsi="Tahoma"/>
          <w:sz w:val="20"/>
        </w:rPr>
        <w:t xml:space="preserve"> – execution price of the Contract,</w:t>
      </w:r>
    </w:p>
    <w:p w14:paraId="548B0990" w14:textId="77777777" w:rsidR="00DF3D45" w:rsidRPr="00DE583B" w:rsidRDefault="00DF3D45" w:rsidP="00DE583B">
      <w:pPr>
        <w:tabs>
          <w:tab w:val="left" w:pos="1701"/>
          <w:tab w:val="left" w:pos="9000"/>
        </w:tabs>
        <w:ind w:left="1701"/>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74FAB53F" w14:textId="77777777" w:rsidR="00DF3D45" w:rsidRPr="00DE583B" w:rsidRDefault="00DF3D45" w:rsidP="00DE583B">
      <w:pPr>
        <w:tabs>
          <w:tab w:val="left" w:pos="1701"/>
          <w:tab w:val="left" w:pos="9000"/>
        </w:tabs>
        <w:ind w:left="1701"/>
        <w:rPr>
          <w:rFonts w:ascii="Tahoma" w:hAnsi="Tahoma" w:cs="Tahoma"/>
          <w:sz w:val="20"/>
          <w:szCs w:val="20"/>
        </w:rPr>
      </w:pPr>
      <w:r>
        <w:rPr>
          <w:rFonts w:ascii="Tahoma" w:hAnsi="Tahoma"/>
          <w:sz w:val="20"/>
        </w:rPr>
        <w:t>R - the tick.</w:t>
      </w:r>
    </w:p>
    <w:p w14:paraId="51082D38" w14:textId="77777777" w:rsidR="00DF3D45" w:rsidRPr="00DE583B" w:rsidRDefault="00DF3D45">
      <w:pPr>
        <w:tabs>
          <w:tab w:val="left" w:pos="1418"/>
          <w:tab w:val="left" w:pos="9000"/>
        </w:tabs>
        <w:spacing w:before="120"/>
        <w:ind w:left="1701" w:hanging="283"/>
        <w:jc w:val="both"/>
        <w:rPr>
          <w:rFonts w:ascii="Tahoma" w:hAnsi="Tahoma" w:cs="Tahoma"/>
          <w:sz w:val="20"/>
          <w:szCs w:val="20"/>
        </w:rPr>
      </w:pPr>
      <w:r>
        <w:rPr>
          <w:rFonts w:ascii="Tahoma" w:hAnsi="Tahoma"/>
          <w:sz w:val="20"/>
        </w:rPr>
        <w:t>ii. If the variation margin has been calculated for the previous trading day in the evening clearing session:</w:t>
      </w:r>
    </w:p>
    <w:p w14:paraId="41BB9695" w14:textId="77777777" w:rsidR="00DF3D45" w:rsidRPr="00DE583B" w:rsidRDefault="00DF3D45" w:rsidP="00821879">
      <w:pPr>
        <w:tabs>
          <w:tab w:val="left" w:pos="1701"/>
          <w:tab w:val="left" w:pos="1985"/>
          <w:tab w:val="left" w:pos="9000"/>
        </w:tabs>
        <w:spacing w:before="120"/>
        <w:ind w:left="1701"/>
        <w:rPr>
          <w:rFonts w:ascii="Tahoma" w:hAnsi="Tahoma" w:cs="Tahoma"/>
          <w:sz w:val="20"/>
          <w:szCs w:val="20"/>
        </w:rPr>
      </w:pPr>
      <w:r>
        <w:rPr>
          <w:rFonts w:ascii="Tahoma" w:hAnsi="Tahoma"/>
          <w:sz w:val="20"/>
        </w:rPr>
        <w:t>VM = Round (SP</w:t>
      </w:r>
      <w:r>
        <w:rPr>
          <w:rFonts w:ascii="Tahoma" w:hAnsi="Tahoma"/>
          <w:sz w:val="20"/>
          <w:vertAlign w:val="subscript"/>
        </w:rPr>
        <w:t>2</w:t>
      </w:r>
      <w:r>
        <w:rPr>
          <w:rFonts w:ascii="Tahoma" w:hAnsi="Tahoma"/>
          <w:sz w:val="20"/>
        </w:rPr>
        <w:t>*Round (W</w:t>
      </w:r>
      <w:r>
        <w:rPr>
          <w:rFonts w:ascii="Tahoma" w:hAnsi="Tahoma"/>
          <w:sz w:val="20"/>
          <w:vertAlign w:val="subscript"/>
        </w:rPr>
        <w:t>2</w:t>
      </w:r>
      <w:r>
        <w:rPr>
          <w:rFonts w:ascii="Tahoma" w:hAnsi="Tahoma"/>
          <w:sz w:val="20"/>
        </w:rPr>
        <w:t xml:space="preserve">/R; 5); 2) – </w:t>
      </w:r>
      <w:proofErr w:type="gramStart"/>
      <w:r>
        <w:rPr>
          <w:rFonts w:ascii="Tahoma" w:hAnsi="Tahoma"/>
          <w:sz w:val="20"/>
        </w:rPr>
        <w:t>Round(</w:t>
      </w:r>
      <w:proofErr w:type="gramEnd"/>
      <w:r>
        <w:rPr>
          <w:rFonts w:ascii="Tahoma" w:hAnsi="Tahoma"/>
          <w:sz w:val="20"/>
        </w:rPr>
        <w:t>SP</w:t>
      </w:r>
      <w:r>
        <w:rPr>
          <w:rFonts w:ascii="Tahoma" w:hAnsi="Tahoma"/>
          <w:sz w:val="20"/>
          <w:vertAlign w:val="subscript"/>
        </w:rPr>
        <w:t>P</w:t>
      </w:r>
      <w:r>
        <w:rPr>
          <w:rFonts w:ascii="Tahoma" w:hAnsi="Tahoma"/>
          <w:sz w:val="20"/>
        </w:rPr>
        <w:t>*Round (W</w:t>
      </w:r>
      <w:r>
        <w:rPr>
          <w:rFonts w:ascii="Tahoma" w:hAnsi="Tahoma"/>
          <w:sz w:val="20"/>
          <w:vertAlign w:val="subscript"/>
        </w:rPr>
        <w:t>2</w:t>
      </w:r>
      <w:r>
        <w:rPr>
          <w:rFonts w:ascii="Tahoma" w:hAnsi="Tahoma"/>
          <w:sz w:val="20"/>
        </w:rPr>
        <w:t>/R; 5);</w:t>
      </w:r>
    </w:p>
    <w:p w14:paraId="548CB8C8" w14:textId="77777777" w:rsidR="00DF3D45" w:rsidRPr="00DE583B" w:rsidRDefault="00DF3D45" w:rsidP="00821879">
      <w:pPr>
        <w:tabs>
          <w:tab w:val="left" w:pos="1701"/>
          <w:tab w:val="left" w:pos="1985"/>
          <w:tab w:val="left" w:pos="9000"/>
        </w:tabs>
        <w:spacing w:before="120"/>
        <w:ind w:left="1701"/>
        <w:rPr>
          <w:rFonts w:ascii="Tahoma" w:hAnsi="Tahoma" w:cs="Tahoma"/>
          <w:sz w:val="20"/>
          <w:szCs w:val="20"/>
        </w:rPr>
      </w:pPr>
      <w:r>
        <w:rPr>
          <w:rFonts w:ascii="Tahoma" w:hAnsi="Tahoma"/>
          <w:sz w:val="20"/>
        </w:rPr>
        <w:t>where:</w:t>
      </w:r>
    </w:p>
    <w:p w14:paraId="3599A4A7" w14:textId="77777777" w:rsidR="00DF3D45" w:rsidRPr="00DE583B"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Round – mathematical rounding to the specified precision,</w:t>
      </w:r>
    </w:p>
    <w:p w14:paraId="624E65E5" w14:textId="77777777" w:rsidR="00DF3D45" w:rsidRPr="00DE583B"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SP</w:t>
      </w:r>
      <w:r>
        <w:rPr>
          <w:rFonts w:ascii="Tahoma" w:hAnsi="Tahoma"/>
          <w:sz w:val="20"/>
          <w:vertAlign w:val="subscript"/>
        </w:rPr>
        <w:t>2</w:t>
      </w:r>
      <w:r>
        <w:rPr>
          <w:rFonts w:ascii="Tahoma" w:hAnsi="Tahoma"/>
          <w:sz w:val="20"/>
        </w:rPr>
        <w:t xml:space="preserve"> – daily (last) settlement price of the Contract,</w:t>
      </w:r>
    </w:p>
    <w:p w14:paraId="74A7EA1D" w14:textId="77777777" w:rsidR="00DF3D45" w:rsidRPr="00DE583B" w:rsidRDefault="00DF3D45" w:rsidP="00DE583B">
      <w:pPr>
        <w:tabs>
          <w:tab w:val="left" w:pos="1701"/>
          <w:tab w:val="left" w:pos="1985"/>
          <w:tab w:val="left" w:pos="9000"/>
        </w:tabs>
        <w:ind w:left="1701"/>
        <w:rPr>
          <w:rFonts w:ascii="Tahoma" w:hAnsi="Tahoma" w:cs="Tahoma"/>
          <w:sz w:val="20"/>
          <w:szCs w:val="20"/>
        </w:rPr>
      </w:pPr>
      <w:proofErr w:type="spellStart"/>
      <w:r>
        <w:rPr>
          <w:rFonts w:ascii="Tahoma" w:hAnsi="Tahoma"/>
          <w:sz w:val="20"/>
        </w:rPr>
        <w:t>SP</w:t>
      </w:r>
      <w:r w:rsidRPr="001633B0">
        <w:rPr>
          <w:rFonts w:ascii="Tahoma" w:hAnsi="Tahoma"/>
          <w:sz w:val="20"/>
          <w:vertAlign w:val="subscript"/>
        </w:rPr>
        <w:t>p</w:t>
      </w:r>
      <w:proofErr w:type="spellEnd"/>
      <w:r>
        <w:rPr>
          <w:rFonts w:ascii="Tahoma" w:hAnsi="Tahoma"/>
          <w:sz w:val="20"/>
        </w:rPr>
        <w:t xml:space="preserve"> – settlement price of the Contract calculated during the previous trading day’s evening clearing session,</w:t>
      </w:r>
    </w:p>
    <w:p w14:paraId="68CD5843" w14:textId="77777777" w:rsidR="00DF3D45" w:rsidRPr="00DE583B"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W</w:t>
      </w:r>
      <w:r>
        <w:rPr>
          <w:rFonts w:ascii="Tahoma" w:hAnsi="Tahoma"/>
          <w:sz w:val="20"/>
          <w:vertAlign w:val="subscript"/>
        </w:rPr>
        <w:t>2</w:t>
      </w:r>
      <w:r>
        <w:rPr>
          <w:rFonts w:ascii="Tahoma" w:hAnsi="Tahoma"/>
          <w:sz w:val="20"/>
        </w:rPr>
        <w:t xml:space="preserve"> – tick value,</w:t>
      </w:r>
    </w:p>
    <w:p w14:paraId="28BFFAC0" w14:textId="77777777" w:rsidR="00DF3D45" w:rsidRPr="00DE583B" w:rsidRDefault="00DF3D45" w:rsidP="00DE583B">
      <w:pPr>
        <w:tabs>
          <w:tab w:val="left" w:pos="1701"/>
          <w:tab w:val="left" w:pos="1985"/>
          <w:tab w:val="left" w:pos="9000"/>
        </w:tabs>
        <w:ind w:left="1701"/>
        <w:rPr>
          <w:rFonts w:ascii="Tahoma" w:hAnsi="Tahoma" w:cs="Tahoma"/>
          <w:sz w:val="20"/>
          <w:szCs w:val="20"/>
        </w:rPr>
      </w:pPr>
      <w:r>
        <w:rPr>
          <w:rFonts w:ascii="Tahoma" w:hAnsi="Tahoma"/>
          <w:sz w:val="20"/>
        </w:rPr>
        <w:t>R - the tick.</w:t>
      </w:r>
    </w:p>
    <w:p w14:paraId="10997A75" w14:textId="4BE99BD7" w:rsidR="00DB5C60" w:rsidRPr="00DE583B" w:rsidRDefault="00DF3D45" w:rsidP="00DB5C60">
      <w:pPr>
        <w:pStyle w:val="10"/>
        <w:rPr>
          <w:rFonts w:ascii="Tahoma" w:hAnsi="Tahoma" w:cs="Tahoma"/>
        </w:rPr>
      </w:pPr>
      <w:r>
        <w:rPr>
          <w:rFonts w:ascii="Tahoma" w:hAnsi="Tahoma"/>
        </w:rPr>
        <w:t>The obligation to pay the variation margin calculated according to the formulas specified in clause 2.1.3 above shall be fulfilled according to the procedure and within the terms established by the Clearing Rules. For this purpose,</w:t>
      </w:r>
    </w:p>
    <w:p w14:paraId="5EFE8958" w14:textId="77777777" w:rsidR="000A455D" w:rsidRPr="00DE583B" w:rsidRDefault="000A455D" w:rsidP="000A455D">
      <w:pPr>
        <w:numPr>
          <w:ilvl w:val="0"/>
          <w:numId w:val="21"/>
        </w:numPr>
        <w:autoSpaceDE/>
        <w:autoSpaceDN/>
        <w:spacing w:before="120"/>
        <w:ind w:left="1701" w:hanging="284"/>
        <w:jc w:val="both"/>
        <w:rPr>
          <w:rFonts w:ascii="Tahoma" w:hAnsi="Tahoma" w:cs="Tahoma"/>
          <w:color w:val="000000"/>
          <w:sz w:val="20"/>
          <w:szCs w:val="20"/>
        </w:rPr>
      </w:pPr>
      <w:r>
        <w:rPr>
          <w:rFonts w:ascii="Tahoma" w:hAnsi="Tahoma"/>
          <w:color w:val="000000"/>
          <w:sz w:val="20"/>
        </w:rPr>
        <w:t>if the variation margin is positive, the obligation to pay the variation margin arises for the Seller;</w:t>
      </w:r>
    </w:p>
    <w:p w14:paraId="7BA75F43" w14:textId="17EAAEBE" w:rsidR="000A455D" w:rsidRPr="00DE583B" w:rsidRDefault="000A455D" w:rsidP="00DE583B">
      <w:pPr>
        <w:numPr>
          <w:ilvl w:val="0"/>
          <w:numId w:val="21"/>
        </w:numPr>
        <w:autoSpaceDE/>
        <w:autoSpaceDN/>
        <w:spacing w:before="120"/>
        <w:ind w:left="1701" w:hanging="284"/>
        <w:jc w:val="both"/>
        <w:rPr>
          <w:rFonts w:ascii="Tahoma" w:hAnsi="Tahoma" w:cs="Tahoma"/>
        </w:rPr>
      </w:pPr>
      <w:r>
        <w:rPr>
          <w:rFonts w:ascii="Tahoma" w:hAnsi="Tahoma"/>
          <w:color w:val="000000"/>
          <w:sz w:val="20"/>
        </w:rPr>
        <w:t>if the variation margin is negative, the Buyer is obliged to pay the absolute value of the variation margin.</w:t>
      </w:r>
    </w:p>
    <w:p w14:paraId="111948A9" w14:textId="513B1B8D" w:rsidR="00DB5C60" w:rsidRPr="00111C26" w:rsidRDefault="00DB5C60" w:rsidP="00DE583B">
      <w:pPr>
        <w:pStyle w:val="10"/>
        <w:rPr>
          <w:rFonts w:ascii="Tahoma" w:hAnsi="Tahoma" w:cs="Tahoma"/>
        </w:rPr>
      </w:pPr>
      <w:r>
        <w:rPr>
          <w:rFonts w:ascii="Tahoma" w:hAnsi="Tahoma"/>
          <w:color w:val="000000"/>
        </w:rPr>
        <w:t>The settlement price of the Contract is set by the Exchange under the procedure and within the time frames set out in the Trading Rules and Specification.</w:t>
      </w:r>
    </w:p>
    <w:p w14:paraId="014F901E" w14:textId="07D1C42A" w:rsidR="00EB56FB" w:rsidRPr="00DE583B" w:rsidRDefault="0064425A" w:rsidP="00DE583B">
      <w:pPr>
        <w:pStyle w:val="a0"/>
        <w:spacing w:line="360" w:lineRule="auto"/>
        <w:rPr>
          <w:rFonts w:ascii="Tahoma" w:hAnsi="Tahoma" w:cs="Tahoma"/>
        </w:rPr>
      </w:pPr>
      <w:r>
        <w:rPr>
          <w:rFonts w:ascii="Tahoma" w:hAnsi="Tahoma"/>
        </w:rPr>
        <w:t>Expiration settlement obligation</w:t>
      </w:r>
    </w:p>
    <w:p w14:paraId="3F8FE8AD" w14:textId="568E19C8" w:rsidR="00FF4039" w:rsidRPr="00DE583B" w:rsidRDefault="00FF4039" w:rsidP="00DE583B">
      <w:pPr>
        <w:pStyle w:val="a1"/>
        <w:tabs>
          <w:tab w:val="clear" w:pos="786"/>
          <w:tab w:val="num" w:pos="1701"/>
          <w:tab w:val="num" w:pos="1985"/>
        </w:tabs>
        <w:ind w:left="851" w:hanging="425"/>
        <w:rPr>
          <w:rFonts w:ascii="Tahoma" w:hAnsi="Tahoma" w:cs="Tahoma"/>
        </w:rPr>
      </w:pPr>
      <w:r>
        <w:rPr>
          <w:rFonts w:ascii="Tahoma" w:hAnsi="Tahoma"/>
        </w:rPr>
        <w:t xml:space="preserve">The obligation to pay the variation margin as determined during the </w:t>
      </w:r>
      <w:r w:rsidR="00BA3BC9">
        <w:rPr>
          <w:rFonts w:ascii="Tahoma" w:hAnsi="Tahoma"/>
        </w:rPr>
        <w:t>evening</w:t>
      </w:r>
      <w:r>
        <w:rPr>
          <w:rFonts w:ascii="Tahoma" w:hAnsi="Tahoma"/>
        </w:rPr>
        <w:t xml:space="preserve"> clearing session on the settlement date for the Contract, is the Final Settlement Obligation.</w:t>
      </w:r>
    </w:p>
    <w:p w14:paraId="4C5B0724" w14:textId="0F4777FB" w:rsidR="00FF4039" w:rsidRPr="00DE583B" w:rsidRDefault="00976483" w:rsidP="00DE583B">
      <w:pPr>
        <w:pStyle w:val="a1"/>
        <w:tabs>
          <w:tab w:val="num" w:pos="1134"/>
        </w:tabs>
        <w:ind w:left="851" w:hanging="425"/>
        <w:rPr>
          <w:rFonts w:ascii="Tahoma" w:hAnsi="Tahoma" w:cs="Tahoma"/>
        </w:rPr>
      </w:pPr>
      <w:r>
        <w:rPr>
          <w:rFonts w:ascii="Tahoma" w:hAnsi="Tahoma"/>
        </w:rPr>
        <w:t xml:space="preserve"> </w:t>
      </w:r>
      <w:r w:rsidR="00BA3BC9" w:rsidRPr="00BA3BC9">
        <w:rPr>
          <w:rFonts w:ascii="Tahoma" w:hAnsi="Tahoma"/>
        </w:rPr>
        <w:t xml:space="preserve">In order to determine the Settlement Obligation, the current Estimated Contract Price (Contract execution price) is considered to be equal to the average value of the RGBI Index for the period from 15:00 to 16:00 Moscow time on the last day of the Contract, determined in accordance with paragraphs 1.4 or </w:t>
      </w:r>
      <w:r w:rsidR="00A977F4" w:rsidRPr="00A977F4">
        <w:rPr>
          <w:rFonts w:ascii="Tahoma" w:hAnsi="Tahoma"/>
          <w:lang w:val="en-US"/>
        </w:rPr>
        <w:t>6</w:t>
      </w:r>
      <w:r w:rsidR="00BA3BC9" w:rsidRPr="00BA3BC9">
        <w:rPr>
          <w:rFonts w:ascii="Tahoma" w:hAnsi="Tahoma"/>
        </w:rPr>
        <w:t xml:space="preserve">.1 or </w:t>
      </w:r>
      <w:r w:rsidR="00A977F4" w:rsidRPr="00A977F4">
        <w:rPr>
          <w:rFonts w:ascii="Tahoma" w:hAnsi="Tahoma"/>
          <w:lang w:val="en-US"/>
        </w:rPr>
        <w:t>6</w:t>
      </w:r>
      <w:bookmarkStart w:id="1" w:name="_GoBack"/>
      <w:bookmarkEnd w:id="1"/>
      <w:r w:rsidR="00BA3BC9" w:rsidRPr="00BA3BC9">
        <w:rPr>
          <w:rFonts w:ascii="Tahoma" w:hAnsi="Tahoma"/>
        </w:rPr>
        <w:t>.2 of the Specification (hereinafter referred to as the Calculation Period). This rule is applied provided that during the entire Calculation Period, the total share of the value of all federal Loan Bonds used to calculate the RGBI Index (hereinafter referred to as OFZ; the total weight of OFZ in the RGBI Index, respectively) in every 15 seconds of the Calculation Period was at least 75% (hereinafter referred to as the condition for determining the current Settlement price). At the same time, the RGBI Index uses the weights of OFZs determined at the close of the previous trading day to calculate the total weight of OFZs, and only for those OFZs that were traded by the Exchange during the Settlement Period (with the exception of OFZ trades conducted in the form of a discrete auction).</w:t>
      </w:r>
    </w:p>
    <w:p w14:paraId="63FBD3E3" w14:textId="41214063" w:rsidR="006A0DD9" w:rsidRPr="00BA3BC9" w:rsidRDefault="00976483" w:rsidP="00DE583B">
      <w:pPr>
        <w:pStyle w:val="a1"/>
        <w:tabs>
          <w:tab w:val="num" w:pos="1134"/>
        </w:tabs>
        <w:ind w:left="851" w:hanging="425"/>
        <w:rPr>
          <w:rFonts w:ascii="Tahoma" w:hAnsi="Tahoma" w:cs="Tahoma"/>
        </w:rPr>
      </w:pPr>
      <w:r>
        <w:rPr>
          <w:rFonts w:ascii="Tahoma" w:hAnsi="Tahoma"/>
        </w:rPr>
        <w:t xml:space="preserve"> </w:t>
      </w:r>
      <w:r w:rsidR="00BA3BC9" w:rsidRPr="00BA3BC9">
        <w:rPr>
          <w:rFonts w:ascii="Tahoma" w:hAnsi="Tahoma"/>
        </w:rPr>
        <w:t>For the purposes of sub-paragraphs 3.2 of the Specification, the shares of the value of OFZ in the total value of securities included in the list of securities for calculating the RGBI Index are used to calculate the total weight of OFZ in the RGBI Index, indicated in the latest information published on the Exchange's website on the Internet about these shares, which are subject to daily disclosure in accordance with regulations in the field of financial markets and the methodology for calculating Bond Indices</w:t>
      </w:r>
      <w:r>
        <w:rPr>
          <w:rFonts w:ascii="Tahoma" w:hAnsi="Tahoma"/>
        </w:rPr>
        <w:t>.</w:t>
      </w:r>
    </w:p>
    <w:p w14:paraId="33AFE6F7" w14:textId="693696AE" w:rsidR="00BA3BC9" w:rsidRPr="00DE583B" w:rsidRDefault="00BA3BC9" w:rsidP="00DE583B">
      <w:pPr>
        <w:pStyle w:val="a1"/>
        <w:tabs>
          <w:tab w:val="num" w:pos="1134"/>
        </w:tabs>
        <w:ind w:left="851" w:hanging="425"/>
        <w:rPr>
          <w:rFonts w:ascii="Tahoma" w:hAnsi="Tahoma" w:cs="Tahoma"/>
        </w:rPr>
      </w:pPr>
      <w:r w:rsidRPr="00BA3BC9">
        <w:rPr>
          <w:rFonts w:ascii="Tahoma" w:hAnsi="Tahoma" w:cs="Tahoma"/>
        </w:rPr>
        <w:t>For the purposes of sub-paragraphs 3.2 of the Specification, the average value of the RGBI Index is calculated as the arithmetic mean of all calculated values of the RGBI Index over the time period for which the average value of the RGBI Index is determined.</w:t>
      </w:r>
    </w:p>
    <w:p w14:paraId="66B7AC73" w14:textId="77777777" w:rsidR="00A83A8E" w:rsidRPr="00DE583B" w:rsidRDefault="00A83A8E" w:rsidP="00A83A8E">
      <w:pPr>
        <w:pStyle w:val="affa"/>
        <w:numPr>
          <w:ilvl w:val="0"/>
          <w:numId w:val="1"/>
        </w:numPr>
        <w:tabs>
          <w:tab w:val="left" w:pos="9000"/>
        </w:tabs>
        <w:spacing w:before="240"/>
        <w:ind w:right="57"/>
        <w:jc w:val="both"/>
        <w:rPr>
          <w:rFonts w:ascii="Tahoma" w:hAnsi="Tahoma" w:cs="Tahoma"/>
          <w:b/>
          <w:bCs/>
          <w:vanish/>
          <w:sz w:val="20"/>
          <w:szCs w:val="20"/>
        </w:rPr>
      </w:pPr>
    </w:p>
    <w:p w14:paraId="73210E07" w14:textId="77777777" w:rsidR="00A83A8E" w:rsidRPr="00DE583B" w:rsidRDefault="00A83A8E" w:rsidP="00A83A8E">
      <w:pPr>
        <w:pStyle w:val="affa"/>
        <w:numPr>
          <w:ilvl w:val="1"/>
          <w:numId w:val="1"/>
        </w:numPr>
        <w:tabs>
          <w:tab w:val="left" w:pos="9000"/>
        </w:tabs>
        <w:spacing w:before="120"/>
        <w:jc w:val="both"/>
        <w:rPr>
          <w:rFonts w:ascii="Tahoma" w:hAnsi="Tahoma" w:cs="Tahoma"/>
          <w:vanish/>
          <w:sz w:val="20"/>
          <w:szCs w:val="20"/>
        </w:rPr>
      </w:pPr>
    </w:p>
    <w:p w14:paraId="3FBE0B72" w14:textId="77777777" w:rsidR="00A83A8E" w:rsidRPr="00DE583B" w:rsidRDefault="00A83A8E" w:rsidP="00A83A8E">
      <w:pPr>
        <w:pStyle w:val="affa"/>
        <w:numPr>
          <w:ilvl w:val="1"/>
          <w:numId w:val="1"/>
        </w:numPr>
        <w:tabs>
          <w:tab w:val="left" w:pos="9000"/>
        </w:tabs>
        <w:spacing w:before="120"/>
        <w:jc w:val="both"/>
        <w:rPr>
          <w:rFonts w:ascii="Tahoma" w:hAnsi="Tahoma" w:cs="Tahoma"/>
          <w:vanish/>
          <w:sz w:val="20"/>
          <w:szCs w:val="20"/>
        </w:rPr>
      </w:pPr>
    </w:p>
    <w:p w14:paraId="7B50092D" w14:textId="04C2D6C5" w:rsidR="0064425A" w:rsidRPr="00DE583B" w:rsidRDefault="00BD1676" w:rsidP="00DE583B">
      <w:pPr>
        <w:pStyle w:val="a0"/>
        <w:numPr>
          <w:ilvl w:val="0"/>
          <w:numId w:val="0"/>
        </w:numPr>
        <w:ind w:left="360" w:hanging="360"/>
        <w:rPr>
          <w:rFonts w:ascii="Tahoma" w:hAnsi="Tahoma" w:cs="Tahoma"/>
        </w:rPr>
      </w:pPr>
      <w:r>
        <w:rPr>
          <w:rFonts w:ascii="Tahoma" w:hAnsi="Tahoma"/>
        </w:rPr>
        <w:t>4. Grounds and procedure for termination of obligations under the Contract</w:t>
      </w:r>
    </w:p>
    <w:p w14:paraId="487CFE14" w14:textId="6B352BC7" w:rsidR="0064425A" w:rsidRPr="00737041" w:rsidRDefault="00FF7A9B" w:rsidP="00737041">
      <w:pPr>
        <w:pStyle w:val="a1"/>
        <w:numPr>
          <w:ilvl w:val="1"/>
          <w:numId w:val="34"/>
        </w:numPr>
        <w:tabs>
          <w:tab w:val="num" w:pos="993"/>
        </w:tabs>
        <w:spacing w:before="240" w:after="120"/>
        <w:jc w:val="left"/>
        <w:rPr>
          <w:rFonts w:ascii="Tahoma" w:hAnsi="Tahoma" w:cs="Tahoma"/>
        </w:rPr>
      </w:pPr>
      <w:r>
        <w:rPr>
          <w:rFonts w:ascii="Tahoma" w:hAnsi="Tahoma"/>
        </w:rPr>
        <w:t xml:space="preserve"> Obligations under the Contract are terminated in full upon due performance thereof.</w:t>
      </w:r>
    </w:p>
    <w:p w14:paraId="7E2C337B" w14:textId="35BE490C" w:rsidR="0064425A" w:rsidRPr="00DE583B" w:rsidRDefault="00FF7A9B" w:rsidP="00DE583B">
      <w:pPr>
        <w:pStyle w:val="a1"/>
        <w:tabs>
          <w:tab w:val="num" w:pos="2127"/>
        </w:tabs>
        <w:spacing w:after="120"/>
        <w:ind w:left="851" w:hanging="425"/>
        <w:rPr>
          <w:rFonts w:ascii="Tahoma" w:hAnsi="Tahoma" w:cs="Tahoma"/>
        </w:rPr>
      </w:pPr>
      <w:r>
        <w:rPr>
          <w:rFonts w:ascii="Tahoma" w:hAnsi="Tahoma"/>
        </w:rPr>
        <w:t xml:space="preserve"> A party’s obligations under the Contract will be terminated prior to the final settlement by entering into an offsetting Contract with the same Contract code (designation), subject to the procedures and time frames set forth in the Clearing Rules.</w:t>
      </w:r>
    </w:p>
    <w:p w14:paraId="00BFFD4F" w14:textId="5E26E4D2" w:rsidR="0064425A" w:rsidRPr="001633B0" w:rsidRDefault="006D5208" w:rsidP="00DE583B">
      <w:pPr>
        <w:pStyle w:val="a1"/>
        <w:tabs>
          <w:tab w:val="clear" w:pos="9000"/>
          <w:tab w:val="num" w:pos="2127"/>
        </w:tabs>
        <w:spacing w:after="120"/>
        <w:ind w:left="851" w:hanging="425"/>
        <w:rPr>
          <w:rFonts w:ascii="Tahoma" w:hAnsi="Tahoma" w:cs="Tahoma"/>
        </w:rPr>
      </w:pPr>
      <w:r>
        <w:rPr>
          <w:rFonts w:ascii="Tahoma" w:hAnsi="Tahoma"/>
        </w:rPr>
        <w:t xml:space="preserve"> Obligations under the Contract may be terminated on other grounds provided for in the Clearing Rules, in accordance with the procedures set forth thereof.</w:t>
      </w:r>
    </w:p>
    <w:p w14:paraId="15252D8D" w14:textId="77777777" w:rsidR="001633B0" w:rsidRPr="00DE583B" w:rsidRDefault="001633B0" w:rsidP="001633B0">
      <w:pPr>
        <w:pStyle w:val="a0"/>
        <w:numPr>
          <w:ilvl w:val="0"/>
          <w:numId w:val="0"/>
        </w:numPr>
        <w:ind w:left="360"/>
      </w:pPr>
    </w:p>
    <w:p w14:paraId="60656A7B" w14:textId="77777777" w:rsidR="0064425A" w:rsidRPr="00DE583B" w:rsidRDefault="0064425A" w:rsidP="00DE583B">
      <w:pPr>
        <w:pStyle w:val="a0"/>
        <w:spacing w:after="120"/>
        <w:ind w:left="284" w:hanging="284"/>
        <w:jc w:val="left"/>
        <w:rPr>
          <w:rFonts w:ascii="Tahoma" w:hAnsi="Tahoma" w:cs="Tahoma"/>
        </w:rPr>
      </w:pPr>
      <w:r>
        <w:rPr>
          <w:rFonts w:ascii="Tahoma" w:hAnsi="Tahoma"/>
        </w:rPr>
        <w:t>Liability of the parties for failure to perform the obligations under the Contract</w:t>
      </w:r>
    </w:p>
    <w:p w14:paraId="2DB2E606" w14:textId="6634AAA8" w:rsidR="00F457B4" w:rsidRDefault="006D5208" w:rsidP="00DE583B">
      <w:pPr>
        <w:pStyle w:val="a1"/>
        <w:tabs>
          <w:tab w:val="num" w:pos="851"/>
        </w:tabs>
        <w:spacing w:before="240" w:after="120"/>
        <w:ind w:left="851" w:hanging="425"/>
        <w:rPr>
          <w:rFonts w:ascii="Tahoma" w:hAnsi="Tahoma" w:cs="Tahoma"/>
        </w:rPr>
      </w:pPr>
      <w:r>
        <w:rPr>
          <w:rFonts w:ascii="Tahoma" w:hAnsi="Tahoma"/>
        </w:rPr>
        <w:t xml:space="preserve"> Parties to the Contract are liable for non-performance or improper performance of their obligations under the Contract, as provided for in Russian law, Trading Rules and Clearing Rules. </w:t>
      </w:r>
    </w:p>
    <w:p w14:paraId="068DE0A7" w14:textId="77777777" w:rsidR="00111C26" w:rsidRPr="00593E6D" w:rsidRDefault="00111C26" w:rsidP="00111C26">
      <w:pPr>
        <w:pStyle w:val="a0"/>
        <w:numPr>
          <w:ilvl w:val="0"/>
          <w:numId w:val="1"/>
        </w:numPr>
        <w:tabs>
          <w:tab w:val="clear" w:pos="360"/>
          <w:tab w:val="clear" w:pos="9000"/>
          <w:tab w:val="num" w:pos="284"/>
        </w:tabs>
        <w:spacing w:before="120"/>
        <w:ind w:left="284" w:right="0" w:hanging="284"/>
        <w:rPr>
          <w:rFonts w:ascii="Tahoma" w:hAnsi="Tahoma" w:cs="Tahoma"/>
        </w:rPr>
      </w:pPr>
      <w:r>
        <w:rPr>
          <w:rFonts w:ascii="Tahoma" w:hAnsi="Tahoma"/>
        </w:rPr>
        <w:t>Special provisions</w:t>
      </w:r>
    </w:p>
    <w:p w14:paraId="0BF01A4C" w14:textId="2144BB32" w:rsidR="00111C26" w:rsidRPr="00593E6D" w:rsidRDefault="00111C26" w:rsidP="00EA5285">
      <w:pPr>
        <w:pStyle w:val="a1"/>
        <w:numPr>
          <w:ilvl w:val="1"/>
          <w:numId w:val="1"/>
        </w:numPr>
        <w:tabs>
          <w:tab w:val="clear" w:pos="786"/>
          <w:tab w:val="clear" w:pos="9000"/>
          <w:tab w:val="num" w:pos="851"/>
        </w:tabs>
        <w:ind w:left="851" w:hanging="425"/>
        <w:rPr>
          <w:rFonts w:ascii="Tahoma" w:hAnsi="Tahoma" w:cs="Tahoma"/>
        </w:rPr>
      </w:pPr>
      <w:bookmarkStart w:id="2" w:name="_Ref214193958"/>
      <w:r>
        <w:rPr>
          <w:rFonts w:ascii="Tahoma" w:hAnsi="Tahoma"/>
        </w:rPr>
        <w:t xml:space="preserve">In the event of circumstances that lead to a material change in the settlement terms for the Contract stipulated in the Specification, including in case of suspension/termination of trading in the Contract, </w:t>
      </w:r>
      <w:r w:rsidR="00BA3BC9">
        <w:rPr>
          <w:rFonts w:ascii="Tahoma" w:hAnsi="Tahoma"/>
          <w:lang w:val="en-US"/>
        </w:rPr>
        <w:t>t</w:t>
      </w:r>
      <w:r w:rsidR="00BA3BC9" w:rsidRPr="00BA3BC9">
        <w:rPr>
          <w:rFonts w:ascii="Tahoma" w:hAnsi="Tahoma"/>
        </w:rPr>
        <w:t>he suspension/termination of the calculation of the RGBI Index and/or the condition for determining the current Settlement price (Contract execution price) specified in sub-clause 3.2 of the Specification is not met</w:t>
      </w:r>
      <w:r w:rsidR="00BA3BC9">
        <w:rPr>
          <w:rFonts w:ascii="Tahoma" w:hAnsi="Tahoma"/>
        </w:rPr>
        <w:t>,</w:t>
      </w:r>
      <w:r w:rsidR="00BA3BC9" w:rsidRPr="00BA3BC9">
        <w:rPr>
          <w:rFonts w:ascii="Tahoma" w:hAnsi="Tahoma"/>
        </w:rPr>
        <w:t xml:space="preserve"> </w:t>
      </w:r>
      <w:r>
        <w:rPr>
          <w:rFonts w:ascii="Tahoma" w:hAnsi="Tahoma"/>
        </w:rPr>
        <w:t>the Exchange shall have the right, upon agreement with the Clearing Centre, to take one or more of the following decisions:</w:t>
      </w:r>
      <w:bookmarkEnd w:id="2"/>
    </w:p>
    <w:p w14:paraId="152D8EDC" w14:textId="77777777" w:rsidR="00111C26" w:rsidRPr="00593E6D" w:rsidRDefault="00111C26" w:rsidP="00EA5285">
      <w:pPr>
        <w:pStyle w:val="10"/>
        <w:numPr>
          <w:ilvl w:val="2"/>
          <w:numId w:val="1"/>
        </w:numPr>
        <w:tabs>
          <w:tab w:val="clear" w:pos="720"/>
          <w:tab w:val="clear" w:pos="1418"/>
          <w:tab w:val="clear" w:pos="9000"/>
          <w:tab w:val="num" w:pos="993"/>
          <w:tab w:val="num" w:pos="1135"/>
        </w:tabs>
        <w:ind w:left="1135" w:hanging="283"/>
        <w:rPr>
          <w:rFonts w:ascii="Tahoma" w:hAnsi="Tahoma" w:cs="Tahoma"/>
        </w:rPr>
      </w:pPr>
      <w:r>
        <w:rPr>
          <w:rFonts w:ascii="Tahoma" w:hAnsi="Tahoma"/>
        </w:rPr>
        <w:t xml:space="preserve">change the last trading date for the Contract, </w:t>
      </w:r>
    </w:p>
    <w:p w14:paraId="0FCE38B6" w14:textId="77777777" w:rsidR="00111C26" w:rsidRPr="00593E6D" w:rsidRDefault="00111C26" w:rsidP="00EA5285">
      <w:pPr>
        <w:pStyle w:val="10"/>
        <w:numPr>
          <w:ilvl w:val="2"/>
          <w:numId w:val="1"/>
        </w:numPr>
        <w:tabs>
          <w:tab w:val="clear" w:pos="720"/>
          <w:tab w:val="clear" w:pos="1418"/>
          <w:tab w:val="clear" w:pos="9000"/>
          <w:tab w:val="num" w:pos="993"/>
          <w:tab w:val="num" w:pos="1135"/>
        </w:tabs>
        <w:spacing w:before="0"/>
        <w:ind w:left="1135" w:hanging="283"/>
        <w:rPr>
          <w:rFonts w:ascii="Tahoma" w:hAnsi="Tahoma" w:cs="Tahoma"/>
        </w:rPr>
      </w:pPr>
      <w:r>
        <w:rPr>
          <w:rFonts w:ascii="Tahoma" w:hAnsi="Tahoma"/>
        </w:rPr>
        <w:t xml:space="preserve">change the settlement date for the Contract, </w:t>
      </w:r>
    </w:p>
    <w:p w14:paraId="756246BA" w14:textId="77777777" w:rsidR="00111C26" w:rsidRPr="00593E6D" w:rsidRDefault="00111C26" w:rsidP="00EA5285">
      <w:pPr>
        <w:pStyle w:val="10"/>
        <w:numPr>
          <w:ilvl w:val="2"/>
          <w:numId w:val="1"/>
        </w:numPr>
        <w:tabs>
          <w:tab w:val="clear" w:pos="720"/>
          <w:tab w:val="clear" w:pos="1418"/>
          <w:tab w:val="clear" w:pos="9000"/>
          <w:tab w:val="num" w:pos="2552"/>
        </w:tabs>
        <w:spacing w:before="0"/>
        <w:ind w:left="1418" w:hanging="566"/>
        <w:rPr>
          <w:rFonts w:ascii="Tahoma" w:hAnsi="Tahoma" w:cs="Tahoma"/>
        </w:rPr>
      </w:pPr>
      <w:r>
        <w:rPr>
          <w:rFonts w:ascii="Tahoma" w:hAnsi="Tahoma"/>
        </w:rPr>
        <w:t xml:space="preserve">change the daily (final) settlement price, and/or amend the calculation method for the variation margin and/or rules pertaining to its payment, </w:t>
      </w:r>
    </w:p>
    <w:p w14:paraId="564038A4" w14:textId="77777777" w:rsidR="00111C26" w:rsidRPr="00593E6D" w:rsidRDefault="00111C26" w:rsidP="00EA5285">
      <w:pPr>
        <w:pStyle w:val="10"/>
        <w:numPr>
          <w:ilvl w:val="2"/>
          <w:numId w:val="1"/>
        </w:numPr>
        <w:tabs>
          <w:tab w:val="clear" w:pos="720"/>
          <w:tab w:val="clear" w:pos="1418"/>
          <w:tab w:val="clear" w:pos="9000"/>
          <w:tab w:val="num" w:pos="993"/>
          <w:tab w:val="num" w:pos="1135"/>
        </w:tabs>
        <w:spacing w:before="0"/>
        <w:ind w:left="1135" w:hanging="283"/>
        <w:rPr>
          <w:rFonts w:ascii="Tahoma" w:hAnsi="Tahoma" w:cs="Tahoma"/>
        </w:rPr>
      </w:pPr>
      <w:r>
        <w:rPr>
          <w:rFonts w:ascii="Tahoma" w:hAnsi="Tahoma"/>
        </w:rPr>
        <w:t>undertake other actions provided for in the Trading Rules.</w:t>
      </w:r>
    </w:p>
    <w:p w14:paraId="78C9DB25" w14:textId="77777777" w:rsidR="00111C26" w:rsidRPr="00593E6D" w:rsidRDefault="00111C26" w:rsidP="00EA5285">
      <w:pPr>
        <w:pStyle w:val="a1"/>
        <w:numPr>
          <w:ilvl w:val="1"/>
          <w:numId w:val="1"/>
        </w:numPr>
        <w:tabs>
          <w:tab w:val="clear" w:pos="786"/>
          <w:tab w:val="clear" w:pos="9000"/>
        </w:tabs>
        <w:ind w:left="851" w:hanging="425"/>
        <w:rPr>
          <w:rFonts w:ascii="Tahoma" w:hAnsi="Tahoma" w:cs="Tahoma"/>
        </w:rPr>
      </w:pPr>
      <w:r>
        <w:rPr>
          <w:rFonts w:ascii="Tahoma" w:hAnsi="Tahoma"/>
        </w:rPr>
        <w:t>The Exchange shall be entitled upon agreement with the Clearing Centre to change the date of the last trading day and/or the settlement date for the Contract with a certain code, or take any other decision(s) provided by section 6.1 of the Specification, if in accordance with the decision of the state body of the Russian Federation the last trading day for the Contract is announced to be a non-business day.</w:t>
      </w:r>
    </w:p>
    <w:p w14:paraId="72E90609" w14:textId="77777777" w:rsidR="00111C26" w:rsidRPr="00593E6D" w:rsidRDefault="00111C26" w:rsidP="00EA5285">
      <w:pPr>
        <w:pStyle w:val="a1"/>
        <w:numPr>
          <w:ilvl w:val="1"/>
          <w:numId w:val="1"/>
        </w:numPr>
        <w:tabs>
          <w:tab w:val="clear" w:pos="786"/>
          <w:tab w:val="clear" w:pos="9000"/>
        </w:tabs>
        <w:spacing w:after="60"/>
        <w:ind w:left="851" w:hanging="425"/>
        <w:rPr>
          <w:rFonts w:ascii="Tahoma" w:hAnsi="Tahoma" w:cs="Tahoma"/>
        </w:rPr>
      </w:pPr>
      <w:r>
        <w:rPr>
          <w:rFonts w:ascii="Tahoma" w:hAnsi="Tahoma"/>
        </w:rPr>
        <w:t xml:space="preserve">Information on the decision(s) taken by the Exchange under clauses 6.1 and/or 6.2 above shall be communicated to the Trading Members by its publication on the Exchange website not less than 3 (three) Trading Days prior to the effective date of the respective decision(s). In case the grounds for decisions provided by clauses 6.1 and/or 6.2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 </w:t>
      </w:r>
    </w:p>
    <w:p w14:paraId="7099812D" w14:textId="77777777" w:rsidR="00111C26" w:rsidRPr="00593E6D" w:rsidRDefault="00111C26" w:rsidP="00EA5285">
      <w:pPr>
        <w:pStyle w:val="a1"/>
        <w:numPr>
          <w:ilvl w:val="1"/>
          <w:numId w:val="1"/>
        </w:numPr>
        <w:tabs>
          <w:tab w:val="clear" w:pos="786"/>
          <w:tab w:val="clear" w:pos="9000"/>
        </w:tabs>
        <w:ind w:left="851" w:hanging="425"/>
        <w:rPr>
          <w:rFonts w:ascii="Tahoma" w:hAnsi="Tahoma" w:cs="Tahoma"/>
        </w:rPr>
      </w:pPr>
      <w:r>
        <w:rPr>
          <w:rFonts w:ascii="Tahoma" w:hAnsi="Tahoma"/>
        </w:rPr>
        <w:t xml:space="preserve">Unless otherwise provided by the Exchange, from the moment of entry into effect of the decision(s) adopted by the Exchange under sections 6.1 and/or 6.2 above, the terms of existing Contracts previously executed are deemed to have been changed accordingly. </w:t>
      </w:r>
    </w:p>
    <w:p w14:paraId="4BFD8991" w14:textId="1CA2F14F" w:rsidR="00111C26" w:rsidRPr="00593E6D" w:rsidRDefault="00111C26" w:rsidP="00EA5285">
      <w:pPr>
        <w:pStyle w:val="a1"/>
        <w:numPr>
          <w:ilvl w:val="1"/>
          <w:numId w:val="1"/>
        </w:numPr>
        <w:tabs>
          <w:tab w:val="clear" w:pos="786"/>
          <w:tab w:val="clear" w:pos="9000"/>
        </w:tabs>
        <w:ind w:left="851" w:hanging="425"/>
        <w:rPr>
          <w:rFonts w:ascii="Tahoma" w:hAnsi="Tahoma" w:cs="Tahoma"/>
        </w:rPr>
      </w:pPr>
      <w:r>
        <w:rPr>
          <w:rFonts w:ascii="Tahoma" w:hAnsi="Tahoma"/>
        </w:rPr>
        <w:t xml:space="preserve">In the event that the RGBI ceases to meet the requirements of the Bank of Russia for the underlying asset of a derivative contract, the terms and conditions of the obligations under the previously executed Contracts shall not be altered. </w:t>
      </w:r>
    </w:p>
    <w:p w14:paraId="58936102" w14:textId="77777777" w:rsidR="00111C26" w:rsidRPr="00593E6D" w:rsidRDefault="00111C26" w:rsidP="00111C26">
      <w:pPr>
        <w:pStyle w:val="a0"/>
        <w:numPr>
          <w:ilvl w:val="0"/>
          <w:numId w:val="1"/>
        </w:numPr>
        <w:shd w:val="clear" w:color="auto" w:fill="FFFFFF"/>
        <w:tabs>
          <w:tab w:val="clear" w:pos="360"/>
          <w:tab w:val="clear" w:pos="9000"/>
          <w:tab w:val="num" w:pos="284"/>
        </w:tabs>
        <w:ind w:left="284" w:right="0" w:hanging="284"/>
        <w:rPr>
          <w:rFonts w:ascii="Tahoma" w:hAnsi="Tahoma" w:cs="Tahoma"/>
        </w:rPr>
      </w:pPr>
      <w:r>
        <w:rPr>
          <w:rFonts w:ascii="Tahoma" w:hAnsi="Tahoma"/>
        </w:rPr>
        <w:t>Amendments and Supplements to the Specification</w:t>
      </w:r>
    </w:p>
    <w:p w14:paraId="28FD61B2" w14:textId="77777777" w:rsidR="00111C26" w:rsidRPr="00593E6D" w:rsidRDefault="00111C26" w:rsidP="00EA5285">
      <w:pPr>
        <w:pStyle w:val="a1"/>
        <w:numPr>
          <w:ilvl w:val="1"/>
          <w:numId w:val="1"/>
        </w:numPr>
        <w:shd w:val="clear" w:color="auto" w:fill="FFFFFF"/>
        <w:tabs>
          <w:tab w:val="clear" w:pos="786"/>
          <w:tab w:val="clear" w:pos="9000"/>
          <w:tab w:val="num" w:pos="851"/>
        </w:tabs>
        <w:spacing w:before="240"/>
        <w:ind w:left="851" w:hanging="425"/>
        <w:rPr>
          <w:rFonts w:ascii="Tahoma" w:hAnsi="Tahoma" w:cs="Tahoma"/>
        </w:rPr>
      </w:pPr>
      <w:r>
        <w:rPr>
          <w:rFonts w:ascii="Tahoma" w:hAnsi="Tahoma"/>
        </w:rPr>
        <w:t xml:space="preserve">The Exchange is entitled to introduce amendments and supplements hereto as agreed with the Clearing </w:t>
      </w:r>
      <w:proofErr w:type="spellStart"/>
      <w:r>
        <w:rPr>
          <w:rFonts w:ascii="Tahoma" w:hAnsi="Tahoma"/>
        </w:rPr>
        <w:t>Center</w:t>
      </w:r>
      <w:proofErr w:type="spellEnd"/>
      <w:r>
        <w:rPr>
          <w:rFonts w:ascii="Tahoma" w:hAnsi="Tahoma"/>
        </w:rPr>
        <w:t>.</w:t>
      </w:r>
    </w:p>
    <w:p w14:paraId="1B99A695" w14:textId="3B545BAC" w:rsidR="00111C26" w:rsidRPr="00593E6D" w:rsidRDefault="00111C26" w:rsidP="00EA5285">
      <w:pPr>
        <w:pStyle w:val="a1"/>
        <w:numPr>
          <w:ilvl w:val="1"/>
          <w:numId w:val="1"/>
        </w:numPr>
        <w:shd w:val="clear" w:color="auto" w:fill="FFFFFF"/>
        <w:tabs>
          <w:tab w:val="clear" w:pos="786"/>
          <w:tab w:val="clear" w:pos="9000"/>
          <w:tab w:val="num" w:pos="851"/>
        </w:tabs>
        <w:ind w:left="851" w:hanging="425"/>
        <w:rPr>
          <w:rFonts w:ascii="Tahoma" w:hAnsi="Tahoma" w:cs="Tahoma"/>
        </w:rPr>
      </w:pPr>
      <w:r>
        <w:rPr>
          <w:rFonts w:ascii="Tahoma" w:hAnsi="Tahoma"/>
        </w:rPr>
        <w:t>Amendments and supplements hereto go into force at the moment the Exchange puts into effect the updated Specification, containing such amendments and supplements.</w:t>
      </w:r>
    </w:p>
    <w:p w14:paraId="70986F74" w14:textId="77777777" w:rsidR="00111C26" w:rsidRPr="00593E6D" w:rsidRDefault="00111C26" w:rsidP="00EA5285">
      <w:pPr>
        <w:pStyle w:val="a1"/>
        <w:numPr>
          <w:ilvl w:val="1"/>
          <w:numId w:val="1"/>
        </w:numPr>
        <w:shd w:val="clear" w:color="auto" w:fill="FFFFFF"/>
        <w:tabs>
          <w:tab w:val="clear" w:pos="786"/>
          <w:tab w:val="clear" w:pos="9000"/>
          <w:tab w:val="num" w:pos="851"/>
        </w:tabs>
        <w:ind w:left="851" w:hanging="425"/>
        <w:rPr>
          <w:rFonts w:ascii="Tahoma" w:hAnsi="Tahoma" w:cs="Tahoma"/>
        </w:rPr>
      </w:pPr>
      <w:r>
        <w:rPr>
          <w:rFonts w:ascii="Tahoma" w:hAnsi="Tahoma"/>
        </w:rPr>
        <w:t>The Specification as amended and supplemented from time to time is published on the Exchange website at least 3 (three) business days before it takes effect, which serves as notice to trading members.</w:t>
      </w:r>
    </w:p>
    <w:p w14:paraId="22F8A05D" w14:textId="77777777" w:rsidR="00111C26" w:rsidRPr="00593E6D" w:rsidRDefault="00111C26" w:rsidP="00EA5285">
      <w:pPr>
        <w:pStyle w:val="a1"/>
        <w:numPr>
          <w:ilvl w:val="1"/>
          <w:numId w:val="1"/>
        </w:numPr>
        <w:shd w:val="clear" w:color="auto" w:fill="FFFFFF"/>
        <w:tabs>
          <w:tab w:val="clear" w:pos="786"/>
          <w:tab w:val="clear" w:pos="9000"/>
          <w:tab w:val="num" w:pos="851"/>
        </w:tabs>
        <w:ind w:left="851" w:hanging="425"/>
        <w:rPr>
          <w:rFonts w:ascii="Tahoma" w:hAnsi="Tahoma" w:cs="Tahoma"/>
        </w:rPr>
      </w:pPr>
      <w:r>
        <w:rPr>
          <w:rFonts w:ascii="Tahoma" w:hAnsi="Tahoma"/>
        </w:rPr>
        <w:lastRenderedPageBreak/>
        <w:t>Unless otherwise decided by the Exchange, as soon as any amendments and supplements to the Specification come into force, the terms of existing Contracts previously executed are deemed to have been amended or supplemented accordingly.</w:t>
      </w:r>
    </w:p>
    <w:p w14:paraId="217AD718" w14:textId="722EC023" w:rsidR="00166D3D" w:rsidRPr="00DE583B" w:rsidRDefault="00166D3D" w:rsidP="00111C26">
      <w:pPr>
        <w:pStyle w:val="a1"/>
        <w:numPr>
          <w:ilvl w:val="0"/>
          <w:numId w:val="0"/>
        </w:numPr>
        <w:tabs>
          <w:tab w:val="clear" w:pos="9000"/>
          <w:tab w:val="num" w:pos="851"/>
        </w:tabs>
        <w:spacing w:before="0" w:after="60"/>
        <w:ind w:left="851"/>
        <w:rPr>
          <w:rFonts w:ascii="Tahoma" w:hAnsi="Tahoma" w:cs="Tahoma"/>
        </w:rPr>
      </w:pPr>
    </w:p>
    <w:sectPr w:rsidR="00166D3D" w:rsidRPr="00DE583B" w:rsidSect="006965D8">
      <w:headerReference w:type="default" r:id="rId11"/>
      <w:footerReference w:type="even" r:id="rId12"/>
      <w:footerReference w:type="default" r:id="rId13"/>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F98DC" w14:textId="77777777" w:rsidR="009139E3" w:rsidRDefault="009139E3" w:rsidP="002F7E61">
      <w:r>
        <w:separator/>
      </w:r>
    </w:p>
  </w:endnote>
  <w:endnote w:type="continuationSeparator" w:id="0">
    <w:p w14:paraId="2660EC18" w14:textId="77777777" w:rsidR="009139E3" w:rsidRDefault="009139E3" w:rsidP="002F7E61">
      <w:r>
        <w:continuationSeparator/>
      </w:r>
    </w:p>
  </w:endnote>
  <w:endnote w:type="continuationNotice" w:id="1">
    <w:p w14:paraId="22BF3F42" w14:textId="77777777" w:rsidR="009139E3" w:rsidRDefault="00913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7A938" w14:textId="77777777" w:rsidR="00DD7AFE" w:rsidRDefault="009E545E" w:rsidP="00463EDB">
    <w:pPr>
      <w:pStyle w:val="af2"/>
      <w:framePr w:wrap="around" w:vAnchor="text" w:hAnchor="margin" w:xAlign="right" w:y="1"/>
      <w:rPr>
        <w:rStyle w:val="af4"/>
      </w:rPr>
    </w:pPr>
    <w:r>
      <w:rPr>
        <w:rStyle w:val="af4"/>
      </w:rPr>
      <w:fldChar w:fldCharType="begin"/>
    </w:r>
    <w:r w:rsidR="00DD7AFE">
      <w:rPr>
        <w:rStyle w:val="af4"/>
      </w:rPr>
      <w:instrText xml:space="preserve">PAGE  </w:instrText>
    </w:r>
    <w:r>
      <w:rPr>
        <w:rStyle w:val="af4"/>
      </w:rPr>
      <w:fldChar w:fldCharType="end"/>
    </w:r>
  </w:p>
  <w:p w14:paraId="4813C846" w14:textId="77777777" w:rsidR="00DD7AFE" w:rsidRDefault="00DD7AFE" w:rsidP="00463EDB">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DF65" w14:textId="77777777" w:rsidR="00DD7AFE" w:rsidRPr="003768A8" w:rsidRDefault="009E545E" w:rsidP="00463EDB">
    <w:pPr>
      <w:pStyle w:val="af2"/>
      <w:framePr w:wrap="around" w:vAnchor="text" w:hAnchor="margin" w:xAlign="right" w:y="1"/>
      <w:rPr>
        <w:rStyle w:val="af4"/>
        <w:rFonts w:ascii="Tahoma" w:hAnsi="Tahoma" w:cs="Tahoma"/>
        <w:sz w:val="20"/>
        <w:szCs w:val="22"/>
      </w:rPr>
    </w:pPr>
    <w:r w:rsidRPr="003768A8">
      <w:rPr>
        <w:rStyle w:val="af4"/>
        <w:rFonts w:ascii="Tahoma" w:hAnsi="Tahoma" w:cs="Tahoma"/>
        <w:sz w:val="20"/>
      </w:rPr>
      <w:fldChar w:fldCharType="begin"/>
    </w:r>
    <w:r w:rsidR="00DD7AFE" w:rsidRPr="003768A8">
      <w:rPr>
        <w:rStyle w:val="af4"/>
        <w:rFonts w:ascii="Tahoma" w:hAnsi="Tahoma" w:cs="Tahoma"/>
        <w:sz w:val="20"/>
      </w:rPr>
      <w:instrText xml:space="preserve">PAGE  </w:instrText>
    </w:r>
    <w:r w:rsidRPr="003768A8">
      <w:rPr>
        <w:rStyle w:val="af4"/>
        <w:rFonts w:ascii="Tahoma" w:hAnsi="Tahoma" w:cs="Tahoma"/>
        <w:sz w:val="20"/>
      </w:rPr>
      <w:fldChar w:fldCharType="separate"/>
    </w:r>
    <w:r w:rsidR="00292B50">
      <w:rPr>
        <w:rStyle w:val="af4"/>
        <w:rFonts w:ascii="Tahoma" w:hAnsi="Tahoma" w:cs="Tahoma"/>
        <w:sz w:val="20"/>
      </w:rPr>
      <w:t>1</w:t>
    </w:r>
    <w:r w:rsidRPr="003768A8">
      <w:rPr>
        <w:rStyle w:val="af4"/>
        <w:rFonts w:ascii="Tahoma" w:hAnsi="Tahoma" w:cs="Tahoma"/>
        <w:sz w:val="20"/>
      </w:rPr>
      <w:fldChar w:fldCharType="end"/>
    </w:r>
  </w:p>
  <w:p w14:paraId="06E50BAC" w14:textId="77777777" w:rsidR="00DD7AFE" w:rsidRDefault="00DD7AFE" w:rsidP="00463EDB">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9CBFD" w14:textId="77777777" w:rsidR="009139E3" w:rsidRDefault="009139E3" w:rsidP="002F7E61">
      <w:r>
        <w:separator/>
      </w:r>
    </w:p>
  </w:footnote>
  <w:footnote w:type="continuationSeparator" w:id="0">
    <w:p w14:paraId="48F14672" w14:textId="77777777" w:rsidR="009139E3" w:rsidRDefault="009139E3" w:rsidP="002F7E61">
      <w:r>
        <w:continuationSeparator/>
      </w:r>
    </w:p>
  </w:footnote>
  <w:footnote w:type="continuationNotice" w:id="1">
    <w:p w14:paraId="06BC5638" w14:textId="77777777" w:rsidR="009139E3" w:rsidRDefault="00913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E1AD2" w14:textId="2FA3C032" w:rsidR="00311491" w:rsidRPr="00700AAD" w:rsidRDefault="001633B0" w:rsidP="001633B0">
    <w:pPr>
      <w:pStyle w:val="af6"/>
      <w:rPr>
        <w:rFonts w:ascii="Tahoma" w:hAnsi="Tahoma" w:cs="Tahoma"/>
        <w:b/>
        <w:sz w:val="20"/>
        <w:szCs w:val="20"/>
      </w:rPr>
    </w:pPr>
    <w:r>
      <w:rPr>
        <w:rFonts w:ascii="Tahoma" w:hAnsi="Tahoma"/>
        <w:b/>
        <w:sz w:val="20"/>
      </w:rPr>
      <w:t xml:space="preserve">Russian Government Bond </w:t>
    </w:r>
    <w:r w:rsidR="00311491">
      <w:rPr>
        <w:rFonts w:ascii="Tahoma" w:hAnsi="Tahoma"/>
        <w:b/>
        <w:sz w:val="20"/>
      </w:rPr>
      <w:t xml:space="preserve">Index </w:t>
    </w:r>
    <w:r>
      <w:rPr>
        <w:rFonts w:ascii="Tahoma" w:hAnsi="Tahoma"/>
        <w:b/>
        <w:sz w:val="20"/>
      </w:rPr>
      <w:t xml:space="preserve">(RGBI) </w:t>
    </w:r>
    <w:r w:rsidR="00311491">
      <w:rPr>
        <w:rFonts w:ascii="Tahoma" w:hAnsi="Tahoma"/>
        <w:b/>
        <w:sz w:val="20"/>
      </w:rPr>
      <w:t>Futures contract specification</w:t>
    </w:r>
  </w:p>
  <w:p w14:paraId="3A67C866" w14:textId="6338F417" w:rsidR="00311491" w:rsidRPr="00737041" w:rsidRDefault="00311491" w:rsidP="00311491">
    <w:pPr>
      <w:pStyle w:val="af6"/>
      <w:pBdr>
        <w:bottom w:val="single" w:sz="12" w:space="1" w:color="auto"/>
      </w:pBdr>
      <w:jc w:val="right"/>
      <w:rPr>
        <w:rFonts w:ascii="Tahoma" w:hAnsi="Tahoma" w:cs="Tahoma"/>
        <w:b/>
        <w:sz w:val="20"/>
        <w:szCs w:val="20"/>
      </w:rPr>
    </w:pPr>
  </w:p>
  <w:p w14:paraId="7A9EB3CD" w14:textId="77777777" w:rsidR="00DD7AFE" w:rsidRPr="00B2571E" w:rsidRDefault="00DD7AFE" w:rsidP="007E575F">
    <w:pPr>
      <w:pStyle w:val="af6"/>
      <w:rPr>
        <w:rFonts w:ascii="Tahoma" w:hAnsi="Tahoma" w:cs="Tahom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E2203"/>
    <w:multiLevelType w:val="hybridMultilevel"/>
    <w:tmpl w:val="095EAF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69D76AF"/>
    <w:multiLevelType w:val="multilevel"/>
    <w:tmpl w:val="D95647E8"/>
    <w:lvl w:ilvl="0">
      <w:start w:val="1"/>
      <w:numFmt w:val="decimal"/>
      <w:pStyle w:val="a"/>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2B0D2D"/>
    <w:multiLevelType w:val="hybridMultilevel"/>
    <w:tmpl w:val="9BB6212C"/>
    <w:lvl w:ilvl="0" w:tplc="586EEC16">
      <w:start w:val="1"/>
      <w:numFmt w:val="low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91765B8"/>
    <w:multiLevelType w:val="multilevel"/>
    <w:tmpl w:val="C93451EE"/>
    <w:lvl w:ilvl="0">
      <w:start w:val="3"/>
      <w:numFmt w:val="upperRoman"/>
      <w:pStyle w:val="Title1"/>
      <w:lvlText w:val="РАЗДЕЛ %1."/>
      <w:lvlJc w:val="left"/>
      <w:pPr>
        <w:tabs>
          <w:tab w:val="num" w:pos="360"/>
        </w:tabs>
        <w:ind w:left="-720" w:hanging="360"/>
      </w:pPr>
      <w:rPr>
        <w:rFonts w:hint="default"/>
      </w:rPr>
    </w:lvl>
    <w:lvl w:ilvl="1">
      <w:start w:val="1"/>
      <w:numFmt w:val="upperRoman"/>
      <w:pStyle w:val="Title2"/>
      <w:lvlText w:val="ПОДРАЗДЕЛ %1-%2."/>
      <w:lvlJc w:val="left"/>
      <w:pPr>
        <w:tabs>
          <w:tab w:val="num" w:pos="1440"/>
        </w:tabs>
        <w:ind w:left="-288" w:hanging="432"/>
      </w:pPr>
      <w:rPr>
        <w:rFonts w:hint="default"/>
      </w:rPr>
    </w:lvl>
    <w:lvl w:ilvl="2">
      <w:start w:val="33"/>
      <w:numFmt w:val="decimal"/>
      <w:lvlRestart w:val="0"/>
      <w:pStyle w:val="Title3"/>
      <w:lvlText w:val="Статья %3."/>
      <w:lvlJc w:val="left"/>
      <w:pPr>
        <w:tabs>
          <w:tab w:val="num" w:pos="720"/>
        </w:tabs>
        <w:ind w:left="144" w:hanging="504"/>
      </w:pPr>
      <w:rPr>
        <w:rFonts w:hint="default"/>
      </w:rPr>
    </w:lvl>
    <w:lvl w:ilvl="3">
      <w:start w:val="1"/>
      <w:numFmt w:val="decimal"/>
      <w:pStyle w:val="Point"/>
      <w:lvlText w:val="%3.%4."/>
      <w:lvlJc w:val="left"/>
      <w:pPr>
        <w:tabs>
          <w:tab w:val="num" w:pos="648"/>
        </w:tabs>
        <w:ind w:left="648" w:hanging="648"/>
      </w:pPr>
      <w:rPr>
        <w:rFonts w:hint="default"/>
      </w:rPr>
    </w:lvl>
    <w:lvl w:ilvl="4">
      <w:start w:val="1"/>
      <w:numFmt w:val="decimal"/>
      <w:pStyle w:val="Point2"/>
      <w:lvlText w:val="%3.%4.%5."/>
      <w:lvlJc w:val="left"/>
      <w:pPr>
        <w:tabs>
          <w:tab w:val="num" w:pos="1152"/>
        </w:tabs>
        <w:ind w:left="1152" w:hanging="792"/>
      </w:pPr>
      <w:rPr>
        <w:rFonts w:hint="default"/>
      </w:rPr>
    </w:lvl>
    <w:lvl w:ilvl="5">
      <w:start w:val="1"/>
      <w:numFmt w:val="lowerLetter"/>
      <w:pStyle w:val="Pointlet"/>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4" w15:restartNumberingAfterBreak="0">
    <w:nsid w:val="12213337"/>
    <w:multiLevelType w:val="multilevel"/>
    <w:tmpl w:val="E818675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5" w15:restartNumberingAfterBreak="0">
    <w:nsid w:val="1D092A88"/>
    <w:multiLevelType w:val="multilevel"/>
    <w:tmpl w:val="FE6C1FCA"/>
    <w:lvl w:ilvl="0">
      <w:start w:val="1"/>
      <w:numFmt w:val="bullet"/>
      <w:pStyle w:val="1"/>
      <w:lvlText w:val="o"/>
      <w:lvlJc w:val="left"/>
      <w:pPr>
        <w:tabs>
          <w:tab w:val="num" w:pos="1080"/>
        </w:tabs>
        <w:ind w:left="1080" w:hanging="360"/>
      </w:pPr>
      <w:rPr>
        <w:rFonts w:ascii="Courier New" w:hAnsi="Courier New"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 w15:restartNumberingAfterBreak="0">
    <w:nsid w:val="1FB04EDD"/>
    <w:multiLevelType w:val="hybridMultilevel"/>
    <w:tmpl w:val="4A12F0A4"/>
    <w:lvl w:ilvl="0" w:tplc="3FFE77BE">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15:restartNumberingAfterBreak="0">
    <w:nsid w:val="27AF26FF"/>
    <w:multiLevelType w:val="singleLevel"/>
    <w:tmpl w:val="ABD81204"/>
    <w:lvl w:ilvl="0">
      <w:start w:val="1"/>
      <w:numFmt w:val="bullet"/>
      <w:pStyle w:val="Pointmark"/>
      <w:lvlText w:val=""/>
      <w:lvlJc w:val="left"/>
      <w:pPr>
        <w:tabs>
          <w:tab w:val="num" w:pos="360"/>
        </w:tabs>
        <w:ind w:left="360" w:hanging="360"/>
      </w:pPr>
      <w:rPr>
        <w:rFonts w:ascii="Symbol" w:hAnsi="Symbol" w:hint="default"/>
      </w:rPr>
    </w:lvl>
  </w:abstractNum>
  <w:abstractNum w:abstractNumId="8" w15:restartNumberingAfterBreak="0">
    <w:nsid w:val="2AA12332"/>
    <w:multiLevelType w:val="multilevel"/>
    <w:tmpl w:val="1EB6A2FA"/>
    <w:lvl w:ilvl="0">
      <w:start w:val="1"/>
      <w:numFmt w:val="decimal"/>
      <w:lvlText w:val="РАЗДЕЛ %1."/>
      <w:lvlJc w:val="left"/>
      <w:pPr>
        <w:tabs>
          <w:tab w:val="num" w:pos="360"/>
        </w:tabs>
        <w:ind w:left="-720" w:hanging="360"/>
      </w:pPr>
      <w:rPr>
        <w:rFonts w:hint="default"/>
      </w:rPr>
    </w:lvl>
    <w:lvl w:ilvl="1">
      <w:start w:val="1"/>
      <w:numFmt w:val="decimal"/>
      <w:lvlText w:val="%1.%2."/>
      <w:lvlJc w:val="left"/>
      <w:pPr>
        <w:tabs>
          <w:tab w:val="num" w:pos="1440"/>
        </w:tabs>
        <w:ind w:left="-288" w:hanging="432"/>
      </w:pPr>
      <w:rPr>
        <w:rFonts w:hint="default"/>
      </w:rPr>
    </w:lvl>
    <w:lvl w:ilvl="2">
      <w:start w:val="1"/>
      <w:numFmt w:val="decimal"/>
      <w:lvlRestart w:val="0"/>
      <w:lvlText w:val="Статья %3."/>
      <w:lvlJc w:val="left"/>
      <w:pPr>
        <w:tabs>
          <w:tab w:val="num" w:pos="720"/>
        </w:tabs>
        <w:ind w:left="144" w:hanging="5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num" w:pos="648"/>
        </w:tabs>
        <w:ind w:left="648" w:hanging="648"/>
      </w:pPr>
      <w:rPr>
        <w:rFonts w:hint="default"/>
      </w:rPr>
    </w:lvl>
    <w:lvl w:ilvl="4">
      <w:start w:val="1"/>
      <w:numFmt w:val="decimal"/>
      <w:lvlText w:val="%3.%4.%5."/>
      <w:lvlJc w:val="left"/>
      <w:pPr>
        <w:tabs>
          <w:tab w:val="num" w:pos="2052"/>
        </w:tabs>
        <w:ind w:left="2052" w:hanging="792"/>
      </w:pPr>
      <w:rPr>
        <w:rFonts w:hint="default"/>
      </w:rPr>
    </w:lvl>
    <w:lvl w:ilvl="5">
      <w:start w:val="1"/>
      <w:numFmt w:val="lowerLetter"/>
      <w:lvlText w:val="%6)"/>
      <w:lvlJc w:val="left"/>
      <w:pPr>
        <w:tabs>
          <w:tab w:val="num" w:pos="1656"/>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9" w15:restartNumberingAfterBreak="0">
    <w:nsid w:val="2D124F26"/>
    <w:multiLevelType w:val="hybridMultilevel"/>
    <w:tmpl w:val="4E22C8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AF2851"/>
    <w:multiLevelType w:val="multilevel"/>
    <w:tmpl w:val="D0F618A2"/>
    <w:lvl w:ilvl="0">
      <w:start w:val="2"/>
      <w:numFmt w:val="decimal"/>
      <w:lvlText w:val="%1"/>
      <w:lvlJc w:val="left"/>
      <w:pPr>
        <w:ind w:left="444" w:hanging="444"/>
      </w:pPr>
      <w:rPr>
        <w:rFonts w:hint="default"/>
      </w:rPr>
    </w:lvl>
    <w:lvl w:ilvl="1">
      <w:start w:val="1"/>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3A116BBF"/>
    <w:multiLevelType w:val="multilevel"/>
    <w:tmpl w:val="0E7638FE"/>
    <w:lvl w:ilvl="0">
      <w:start w:val="1"/>
      <w:numFmt w:val="decimal"/>
      <w:pStyle w:val="a0"/>
      <w:lvlText w:val="%1."/>
      <w:lvlJc w:val="left"/>
      <w:pPr>
        <w:tabs>
          <w:tab w:val="num" w:pos="360"/>
        </w:tabs>
        <w:ind w:left="360" w:hanging="360"/>
      </w:pPr>
      <w:rPr>
        <w:rFonts w:ascii="Tahoma" w:hAnsi="Tahoma" w:cs="Tahoma" w:hint="default"/>
        <w:b/>
        <w:bCs/>
      </w:rPr>
    </w:lvl>
    <w:lvl w:ilvl="1">
      <w:start w:val="1"/>
      <w:numFmt w:val="decimal"/>
      <w:pStyle w:val="a1"/>
      <w:lvlText w:val="%1.%2."/>
      <w:lvlJc w:val="left"/>
      <w:pPr>
        <w:tabs>
          <w:tab w:val="num" w:pos="786"/>
        </w:tabs>
        <w:ind w:left="786" w:hanging="360"/>
      </w:pPr>
      <w:rPr>
        <w:rFonts w:ascii="Tahoma" w:hAnsi="Tahoma" w:cs="Tahoma" w:hint="default"/>
      </w:rPr>
    </w:lvl>
    <w:lvl w:ilvl="2">
      <w:start w:val="1"/>
      <w:numFmt w:val="decimal"/>
      <w:pStyle w:val="10"/>
      <w:lvlText w:val="%1.%2.%3."/>
      <w:lvlJc w:val="left"/>
      <w:pPr>
        <w:tabs>
          <w:tab w:val="num" w:pos="720"/>
        </w:tabs>
        <w:ind w:left="720" w:hanging="720"/>
      </w:pPr>
      <w:rPr>
        <w:rFonts w:ascii="Tahoma" w:hAnsi="Tahoma" w:cs="Tahoma" w:hint="default"/>
      </w:r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2" w15:restartNumberingAfterBreak="0">
    <w:nsid w:val="44BB6E09"/>
    <w:multiLevelType w:val="multilevel"/>
    <w:tmpl w:val="5736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46650"/>
    <w:multiLevelType w:val="hybridMultilevel"/>
    <w:tmpl w:val="D3668E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6B12803"/>
    <w:multiLevelType w:val="multilevel"/>
    <w:tmpl w:val="867A6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D3074DD"/>
    <w:multiLevelType w:val="hybridMultilevel"/>
    <w:tmpl w:val="525E5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1156A30"/>
    <w:multiLevelType w:val="hybridMultilevel"/>
    <w:tmpl w:val="F568462C"/>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7" w15:restartNumberingAfterBreak="0">
    <w:nsid w:val="5AEB3904"/>
    <w:multiLevelType w:val="hybridMultilevel"/>
    <w:tmpl w:val="17F0AF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6A19BC"/>
    <w:multiLevelType w:val="hybridMultilevel"/>
    <w:tmpl w:val="D982EA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5CA31141"/>
    <w:multiLevelType w:val="hybridMultilevel"/>
    <w:tmpl w:val="309679D8"/>
    <w:lvl w:ilvl="0" w:tplc="04190001">
      <w:start w:val="1"/>
      <w:numFmt w:val="bullet"/>
      <w:lvlText w:val=""/>
      <w:lvlJc w:val="left"/>
      <w:pPr>
        <w:ind w:left="2340" w:hanging="360"/>
      </w:pPr>
      <w:rPr>
        <w:rFonts w:ascii="Symbol" w:hAnsi="Symbol" w:hint="default"/>
      </w:rPr>
    </w:lvl>
    <w:lvl w:ilvl="1" w:tplc="04190003" w:tentative="1">
      <w:start w:val="1"/>
      <w:numFmt w:val="bullet"/>
      <w:lvlText w:val="o"/>
      <w:lvlJc w:val="left"/>
      <w:pPr>
        <w:ind w:left="3060" w:hanging="360"/>
      </w:pPr>
      <w:rPr>
        <w:rFonts w:ascii="Courier New" w:hAnsi="Courier New" w:cs="Courier New" w:hint="default"/>
      </w:rPr>
    </w:lvl>
    <w:lvl w:ilvl="2" w:tplc="04190005" w:tentative="1">
      <w:start w:val="1"/>
      <w:numFmt w:val="bullet"/>
      <w:lvlText w:val=""/>
      <w:lvlJc w:val="left"/>
      <w:pPr>
        <w:ind w:left="3780" w:hanging="360"/>
      </w:pPr>
      <w:rPr>
        <w:rFonts w:ascii="Wingdings" w:hAnsi="Wingdings" w:hint="default"/>
      </w:rPr>
    </w:lvl>
    <w:lvl w:ilvl="3" w:tplc="04190001" w:tentative="1">
      <w:start w:val="1"/>
      <w:numFmt w:val="bullet"/>
      <w:lvlText w:val=""/>
      <w:lvlJc w:val="left"/>
      <w:pPr>
        <w:ind w:left="4500" w:hanging="360"/>
      </w:pPr>
      <w:rPr>
        <w:rFonts w:ascii="Symbol" w:hAnsi="Symbol" w:hint="default"/>
      </w:rPr>
    </w:lvl>
    <w:lvl w:ilvl="4" w:tplc="04190003" w:tentative="1">
      <w:start w:val="1"/>
      <w:numFmt w:val="bullet"/>
      <w:lvlText w:val="o"/>
      <w:lvlJc w:val="left"/>
      <w:pPr>
        <w:ind w:left="5220" w:hanging="360"/>
      </w:pPr>
      <w:rPr>
        <w:rFonts w:ascii="Courier New" w:hAnsi="Courier New" w:cs="Courier New" w:hint="default"/>
      </w:rPr>
    </w:lvl>
    <w:lvl w:ilvl="5" w:tplc="04190005" w:tentative="1">
      <w:start w:val="1"/>
      <w:numFmt w:val="bullet"/>
      <w:lvlText w:val=""/>
      <w:lvlJc w:val="left"/>
      <w:pPr>
        <w:ind w:left="5940" w:hanging="360"/>
      </w:pPr>
      <w:rPr>
        <w:rFonts w:ascii="Wingdings" w:hAnsi="Wingdings" w:hint="default"/>
      </w:rPr>
    </w:lvl>
    <w:lvl w:ilvl="6" w:tplc="04190001" w:tentative="1">
      <w:start w:val="1"/>
      <w:numFmt w:val="bullet"/>
      <w:lvlText w:val=""/>
      <w:lvlJc w:val="left"/>
      <w:pPr>
        <w:ind w:left="6660" w:hanging="360"/>
      </w:pPr>
      <w:rPr>
        <w:rFonts w:ascii="Symbol" w:hAnsi="Symbol" w:hint="default"/>
      </w:rPr>
    </w:lvl>
    <w:lvl w:ilvl="7" w:tplc="04190003" w:tentative="1">
      <w:start w:val="1"/>
      <w:numFmt w:val="bullet"/>
      <w:lvlText w:val="o"/>
      <w:lvlJc w:val="left"/>
      <w:pPr>
        <w:ind w:left="7380" w:hanging="360"/>
      </w:pPr>
      <w:rPr>
        <w:rFonts w:ascii="Courier New" w:hAnsi="Courier New" w:cs="Courier New" w:hint="default"/>
      </w:rPr>
    </w:lvl>
    <w:lvl w:ilvl="8" w:tplc="04190005" w:tentative="1">
      <w:start w:val="1"/>
      <w:numFmt w:val="bullet"/>
      <w:lvlText w:val=""/>
      <w:lvlJc w:val="left"/>
      <w:pPr>
        <w:ind w:left="8100" w:hanging="360"/>
      </w:pPr>
      <w:rPr>
        <w:rFonts w:ascii="Wingdings" w:hAnsi="Wingdings" w:hint="default"/>
      </w:rPr>
    </w:lvl>
  </w:abstractNum>
  <w:abstractNum w:abstractNumId="20" w15:restartNumberingAfterBreak="0">
    <w:nsid w:val="63451B2D"/>
    <w:multiLevelType w:val="hybridMultilevel"/>
    <w:tmpl w:val="766EF0D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1" w15:restartNumberingAfterBreak="0">
    <w:nsid w:val="672D6EC0"/>
    <w:multiLevelType w:val="hybridMultilevel"/>
    <w:tmpl w:val="1918FD0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2" w15:restartNumberingAfterBreak="0">
    <w:nsid w:val="6874746F"/>
    <w:multiLevelType w:val="multilevel"/>
    <w:tmpl w:val="925E8A04"/>
    <w:lvl w:ilvl="0">
      <w:start w:val="1"/>
      <w:numFmt w:val="decimal"/>
      <w:pStyle w:val="a2"/>
      <w:lvlText w:val="Раздел %1."/>
      <w:lvlJc w:val="left"/>
      <w:pPr>
        <w:tabs>
          <w:tab w:val="num" w:pos="180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3" w15:restartNumberingAfterBreak="0">
    <w:nsid w:val="6F56152E"/>
    <w:multiLevelType w:val="hybridMultilevel"/>
    <w:tmpl w:val="852A0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645FBD"/>
    <w:multiLevelType w:val="hybridMultilevel"/>
    <w:tmpl w:val="A002D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7"/>
  </w:num>
  <w:num w:numId="3">
    <w:abstractNumId w:val="11"/>
    <w:lvlOverride w:ilvl="0">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3"/>
  </w:num>
  <w:num w:numId="8">
    <w:abstractNumId w:val="11"/>
  </w:num>
  <w:num w:numId="9">
    <w:abstractNumId w:val="14"/>
  </w:num>
  <w:num w:numId="10">
    <w:abstractNumId w:val="8"/>
  </w:num>
  <w:num w:numId="11">
    <w:abstractNumId w:val="12"/>
  </w:num>
  <w:num w:numId="12">
    <w:abstractNumId w:val="15"/>
  </w:num>
  <w:num w:numId="13">
    <w:abstractNumId w:val="7"/>
  </w:num>
  <w:num w:numId="14">
    <w:abstractNumId w:val="24"/>
  </w:num>
  <w:num w:numId="15">
    <w:abstractNumId w:val="9"/>
  </w:num>
  <w:num w:numId="16">
    <w:abstractNumId w:val="0"/>
  </w:num>
  <w:num w:numId="17">
    <w:abstractNumId w:val="21"/>
  </w:num>
  <w:num w:numId="18">
    <w:abstractNumId w:val="23"/>
  </w:num>
  <w:num w:numId="19">
    <w:abstractNumId w:val="19"/>
  </w:num>
  <w:num w:numId="20">
    <w:abstractNumId w:val="15"/>
  </w:num>
  <w:num w:numId="21">
    <w:abstractNumId w:val="18"/>
  </w:num>
  <w:num w:numId="22">
    <w:abstractNumId w:val="6"/>
  </w:num>
  <w:num w:numId="23">
    <w:abstractNumId w:val="2"/>
  </w:num>
  <w:num w:numId="24">
    <w:abstractNumId w:val="11"/>
    <w:lvlOverride w:ilvl="0">
      <w:startOverride w:val="2"/>
    </w:lvlOverride>
    <w:lvlOverride w:ilvl="1">
      <w:startOverride w:val="2"/>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1"/>
  </w:num>
  <w:num w:numId="28">
    <w:abstractNumId w:val="16"/>
  </w:num>
  <w:num w:numId="29">
    <w:abstractNumId w:val="20"/>
  </w:num>
  <w:num w:numId="30">
    <w:abstractNumId w:val="13"/>
  </w:num>
  <w:num w:numId="31">
    <w:abstractNumId w:val="17"/>
  </w:num>
  <w:num w:numId="32">
    <w:abstractNumId w:val="11"/>
  </w:num>
  <w:num w:numId="33">
    <w:abstractNumId w:val="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98"/>
    <w:rsid w:val="00000012"/>
    <w:rsid w:val="000062DB"/>
    <w:rsid w:val="00010D7A"/>
    <w:rsid w:val="000153CC"/>
    <w:rsid w:val="00017B4E"/>
    <w:rsid w:val="00017EC1"/>
    <w:rsid w:val="00022699"/>
    <w:rsid w:val="00023289"/>
    <w:rsid w:val="00034F8A"/>
    <w:rsid w:val="0003594B"/>
    <w:rsid w:val="00043B6D"/>
    <w:rsid w:val="000446D5"/>
    <w:rsid w:val="000558D1"/>
    <w:rsid w:val="00057B82"/>
    <w:rsid w:val="00066752"/>
    <w:rsid w:val="00066905"/>
    <w:rsid w:val="00070440"/>
    <w:rsid w:val="0009539C"/>
    <w:rsid w:val="000975C3"/>
    <w:rsid w:val="000A455D"/>
    <w:rsid w:val="000A7E81"/>
    <w:rsid w:val="000B7133"/>
    <w:rsid w:val="000C1F35"/>
    <w:rsid w:val="000E0906"/>
    <w:rsid w:val="000E7DDA"/>
    <w:rsid w:val="000F5F10"/>
    <w:rsid w:val="000F661C"/>
    <w:rsid w:val="00104433"/>
    <w:rsid w:val="001060B5"/>
    <w:rsid w:val="0010758D"/>
    <w:rsid w:val="00110E60"/>
    <w:rsid w:val="00111C26"/>
    <w:rsid w:val="00115554"/>
    <w:rsid w:val="001249B6"/>
    <w:rsid w:val="00125B93"/>
    <w:rsid w:val="001316FC"/>
    <w:rsid w:val="001449CC"/>
    <w:rsid w:val="00145BF6"/>
    <w:rsid w:val="001471A0"/>
    <w:rsid w:val="0014756D"/>
    <w:rsid w:val="001532A3"/>
    <w:rsid w:val="001633B0"/>
    <w:rsid w:val="00164C05"/>
    <w:rsid w:val="00166D3D"/>
    <w:rsid w:val="0017356C"/>
    <w:rsid w:val="001756FF"/>
    <w:rsid w:val="00181492"/>
    <w:rsid w:val="001820D3"/>
    <w:rsid w:val="001832FC"/>
    <w:rsid w:val="001834A6"/>
    <w:rsid w:val="00186372"/>
    <w:rsid w:val="00190D7C"/>
    <w:rsid w:val="00194758"/>
    <w:rsid w:val="001A59A5"/>
    <w:rsid w:val="001A5C5B"/>
    <w:rsid w:val="001A6A0B"/>
    <w:rsid w:val="001B3B57"/>
    <w:rsid w:val="001B6DBE"/>
    <w:rsid w:val="001C080F"/>
    <w:rsid w:val="001D5940"/>
    <w:rsid w:val="001E4FB2"/>
    <w:rsid w:val="001F0BE3"/>
    <w:rsid w:val="001F0ED6"/>
    <w:rsid w:val="001F50F3"/>
    <w:rsid w:val="001F740D"/>
    <w:rsid w:val="0020026C"/>
    <w:rsid w:val="00201C5E"/>
    <w:rsid w:val="002049BC"/>
    <w:rsid w:val="0020583C"/>
    <w:rsid w:val="00216A8E"/>
    <w:rsid w:val="00221EC5"/>
    <w:rsid w:val="0022349A"/>
    <w:rsid w:val="00223B64"/>
    <w:rsid w:val="00224B2C"/>
    <w:rsid w:val="00230645"/>
    <w:rsid w:val="00232B5C"/>
    <w:rsid w:val="00233E34"/>
    <w:rsid w:val="00235246"/>
    <w:rsid w:val="002367FD"/>
    <w:rsid w:val="00252D5C"/>
    <w:rsid w:val="0025441B"/>
    <w:rsid w:val="002549EE"/>
    <w:rsid w:val="00255B75"/>
    <w:rsid w:val="002569BE"/>
    <w:rsid w:val="00260AB5"/>
    <w:rsid w:val="00262409"/>
    <w:rsid w:val="00262FD8"/>
    <w:rsid w:val="00264705"/>
    <w:rsid w:val="00265B8A"/>
    <w:rsid w:val="00267657"/>
    <w:rsid w:val="00270428"/>
    <w:rsid w:val="00270BD3"/>
    <w:rsid w:val="0027302D"/>
    <w:rsid w:val="00273A72"/>
    <w:rsid w:val="00281ED7"/>
    <w:rsid w:val="00284041"/>
    <w:rsid w:val="002846A7"/>
    <w:rsid w:val="0028679C"/>
    <w:rsid w:val="00291D16"/>
    <w:rsid w:val="00292B50"/>
    <w:rsid w:val="00296FF2"/>
    <w:rsid w:val="002A4785"/>
    <w:rsid w:val="002A49BD"/>
    <w:rsid w:val="002B0777"/>
    <w:rsid w:val="002B17D9"/>
    <w:rsid w:val="002C13AD"/>
    <w:rsid w:val="002C21F3"/>
    <w:rsid w:val="002C4AA9"/>
    <w:rsid w:val="002D3444"/>
    <w:rsid w:val="002D72E7"/>
    <w:rsid w:val="002D7C30"/>
    <w:rsid w:val="002E33F0"/>
    <w:rsid w:val="002E3AAE"/>
    <w:rsid w:val="002E4B0E"/>
    <w:rsid w:val="002E5125"/>
    <w:rsid w:val="002E663F"/>
    <w:rsid w:val="002F0CE1"/>
    <w:rsid w:val="002F326E"/>
    <w:rsid w:val="002F6D11"/>
    <w:rsid w:val="002F7E61"/>
    <w:rsid w:val="002F7FA0"/>
    <w:rsid w:val="00302252"/>
    <w:rsid w:val="003042DA"/>
    <w:rsid w:val="003046E6"/>
    <w:rsid w:val="00305F03"/>
    <w:rsid w:val="00306FEF"/>
    <w:rsid w:val="00307888"/>
    <w:rsid w:val="00311491"/>
    <w:rsid w:val="003123ED"/>
    <w:rsid w:val="00313292"/>
    <w:rsid w:val="00314798"/>
    <w:rsid w:val="00315C4A"/>
    <w:rsid w:val="00326ED6"/>
    <w:rsid w:val="003300AF"/>
    <w:rsid w:val="00331D36"/>
    <w:rsid w:val="00333530"/>
    <w:rsid w:val="0033417E"/>
    <w:rsid w:val="00334D49"/>
    <w:rsid w:val="003468D4"/>
    <w:rsid w:val="0035128F"/>
    <w:rsid w:val="0035473B"/>
    <w:rsid w:val="00361216"/>
    <w:rsid w:val="00363074"/>
    <w:rsid w:val="003768A8"/>
    <w:rsid w:val="00376B0E"/>
    <w:rsid w:val="00383B57"/>
    <w:rsid w:val="00384736"/>
    <w:rsid w:val="003971C2"/>
    <w:rsid w:val="003A1EDB"/>
    <w:rsid w:val="003A4281"/>
    <w:rsid w:val="003A4FC3"/>
    <w:rsid w:val="003B57E3"/>
    <w:rsid w:val="003C3ACF"/>
    <w:rsid w:val="003C5B5E"/>
    <w:rsid w:val="003D11F4"/>
    <w:rsid w:val="003D3911"/>
    <w:rsid w:val="003D512B"/>
    <w:rsid w:val="003D5894"/>
    <w:rsid w:val="003D7413"/>
    <w:rsid w:val="003D747E"/>
    <w:rsid w:val="003E031C"/>
    <w:rsid w:val="003E03FA"/>
    <w:rsid w:val="003E0FC4"/>
    <w:rsid w:val="003E1A1C"/>
    <w:rsid w:val="003E217A"/>
    <w:rsid w:val="003E2297"/>
    <w:rsid w:val="003E340C"/>
    <w:rsid w:val="003E7B19"/>
    <w:rsid w:val="003F0702"/>
    <w:rsid w:val="003F38F8"/>
    <w:rsid w:val="0040429B"/>
    <w:rsid w:val="004046E4"/>
    <w:rsid w:val="00404DE6"/>
    <w:rsid w:val="00413554"/>
    <w:rsid w:val="004141A5"/>
    <w:rsid w:val="004147B7"/>
    <w:rsid w:val="00420EF8"/>
    <w:rsid w:val="00424533"/>
    <w:rsid w:val="00424B1E"/>
    <w:rsid w:val="00425ADD"/>
    <w:rsid w:val="00425B4C"/>
    <w:rsid w:val="00432CD4"/>
    <w:rsid w:val="00434D4A"/>
    <w:rsid w:val="004418AE"/>
    <w:rsid w:val="004424D4"/>
    <w:rsid w:val="00450C2D"/>
    <w:rsid w:val="00451CC0"/>
    <w:rsid w:val="004537E3"/>
    <w:rsid w:val="00453E92"/>
    <w:rsid w:val="004575B4"/>
    <w:rsid w:val="0046162E"/>
    <w:rsid w:val="00461F58"/>
    <w:rsid w:val="0046205E"/>
    <w:rsid w:val="004621CB"/>
    <w:rsid w:val="0046308E"/>
    <w:rsid w:val="00463EDB"/>
    <w:rsid w:val="00470614"/>
    <w:rsid w:val="00485C2C"/>
    <w:rsid w:val="00486CF5"/>
    <w:rsid w:val="00486F26"/>
    <w:rsid w:val="00492B21"/>
    <w:rsid w:val="00492EAD"/>
    <w:rsid w:val="004A0BD2"/>
    <w:rsid w:val="004A312F"/>
    <w:rsid w:val="004A562C"/>
    <w:rsid w:val="004A5646"/>
    <w:rsid w:val="004A7EAD"/>
    <w:rsid w:val="004B174E"/>
    <w:rsid w:val="004B2BA3"/>
    <w:rsid w:val="004C1638"/>
    <w:rsid w:val="004C7252"/>
    <w:rsid w:val="004C7FB8"/>
    <w:rsid w:val="004D066B"/>
    <w:rsid w:val="004D550B"/>
    <w:rsid w:val="004F6172"/>
    <w:rsid w:val="00507FA5"/>
    <w:rsid w:val="00514158"/>
    <w:rsid w:val="00514B1D"/>
    <w:rsid w:val="00522D80"/>
    <w:rsid w:val="00522ED5"/>
    <w:rsid w:val="005255C9"/>
    <w:rsid w:val="005302F6"/>
    <w:rsid w:val="00531693"/>
    <w:rsid w:val="005348CC"/>
    <w:rsid w:val="0053755D"/>
    <w:rsid w:val="00543907"/>
    <w:rsid w:val="00547387"/>
    <w:rsid w:val="0055027C"/>
    <w:rsid w:val="00550D12"/>
    <w:rsid w:val="00551143"/>
    <w:rsid w:val="00553236"/>
    <w:rsid w:val="00553790"/>
    <w:rsid w:val="005621E0"/>
    <w:rsid w:val="00563D8B"/>
    <w:rsid w:val="0056532D"/>
    <w:rsid w:val="00580773"/>
    <w:rsid w:val="00582610"/>
    <w:rsid w:val="00582968"/>
    <w:rsid w:val="0058638E"/>
    <w:rsid w:val="005905C4"/>
    <w:rsid w:val="00593CC5"/>
    <w:rsid w:val="0059529A"/>
    <w:rsid w:val="00596D9E"/>
    <w:rsid w:val="00597A3E"/>
    <w:rsid w:val="005A3213"/>
    <w:rsid w:val="005A58E2"/>
    <w:rsid w:val="005B1E6C"/>
    <w:rsid w:val="005B21DD"/>
    <w:rsid w:val="005B4377"/>
    <w:rsid w:val="005C70E2"/>
    <w:rsid w:val="005C7C41"/>
    <w:rsid w:val="005D490C"/>
    <w:rsid w:val="005E1F01"/>
    <w:rsid w:val="005E3B88"/>
    <w:rsid w:val="005E663F"/>
    <w:rsid w:val="005F0683"/>
    <w:rsid w:val="005F40F5"/>
    <w:rsid w:val="005F5736"/>
    <w:rsid w:val="00600519"/>
    <w:rsid w:val="0060081A"/>
    <w:rsid w:val="006022B8"/>
    <w:rsid w:val="00611E08"/>
    <w:rsid w:val="00622038"/>
    <w:rsid w:val="006361EB"/>
    <w:rsid w:val="0064149C"/>
    <w:rsid w:val="0064425A"/>
    <w:rsid w:val="00650E8C"/>
    <w:rsid w:val="00651BB4"/>
    <w:rsid w:val="00651DB0"/>
    <w:rsid w:val="00654B00"/>
    <w:rsid w:val="00657A13"/>
    <w:rsid w:val="00662F75"/>
    <w:rsid w:val="00663B5E"/>
    <w:rsid w:val="00664064"/>
    <w:rsid w:val="006673D9"/>
    <w:rsid w:val="00674DC9"/>
    <w:rsid w:val="00676C3C"/>
    <w:rsid w:val="00680CA1"/>
    <w:rsid w:val="006844D8"/>
    <w:rsid w:val="006867D2"/>
    <w:rsid w:val="00690E9B"/>
    <w:rsid w:val="006965D8"/>
    <w:rsid w:val="006A0DD9"/>
    <w:rsid w:val="006A37C8"/>
    <w:rsid w:val="006A6D3C"/>
    <w:rsid w:val="006B0BDD"/>
    <w:rsid w:val="006B5161"/>
    <w:rsid w:val="006B5D44"/>
    <w:rsid w:val="006C1BF1"/>
    <w:rsid w:val="006C1FE2"/>
    <w:rsid w:val="006C3685"/>
    <w:rsid w:val="006D0CC1"/>
    <w:rsid w:val="006D1F01"/>
    <w:rsid w:val="006D5208"/>
    <w:rsid w:val="006D5543"/>
    <w:rsid w:val="006E3E82"/>
    <w:rsid w:val="006E4896"/>
    <w:rsid w:val="006E4EC0"/>
    <w:rsid w:val="006F1090"/>
    <w:rsid w:val="006F6CE1"/>
    <w:rsid w:val="007028A9"/>
    <w:rsid w:val="007053DD"/>
    <w:rsid w:val="007075D3"/>
    <w:rsid w:val="00707E5F"/>
    <w:rsid w:val="00716203"/>
    <w:rsid w:val="00716C96"/>
    <w:rsid w:val="00721075"/>
    <w:rsid w:val="00724D5E"/>
    <w:rsid w:val="00730EE4"/>
    <w:rsid w:val="00733190"/>
    <w:rsid w:val="00737041"/>
    <w:rsid w:val="00737F89"/>
    <w:rsid w:val="007452E4"/>
    <w:rsid w:val="007466B3"/>
    <w:rsid w:val="007470D2"/>
    <w:rsid w:val="00750004"/>
    <w:rsid w:val="00750B98"/>
    <w:rsid w:val="00752B7D"/>
    <w:rsid w:val="00767AC3"/>
    <w:rsid w:val="00767E85"/>
    <w:rsid w:val="007734F2"/>
    <w:rsid w:val="00774359"/>
    <w:rsid w:val="00775C23"/>
    <w:rsid w:val="00776F72"/>
    <w:rsid w:val="00781054"/>
    <w:rsid w:val="0078221A"/>
    <w:rsid w:val="00782ABD"/>
    <w:rsid w:val="0078739B"/>
    <w:rsid w:val="007875BB"/>
    <w:rsid w:val="00791BE4"/>
    <w:rsid w:val="007949AF"/>
    <w:rsid w:val="0079685C"/>
    <w:rsid w:val="007A042F"/>
    <w:rsid w:val="007A1CDD"/>
    <w:rsid w:val="007A377C"/>
    <w:rsid w:val="007A63DF"/>
    <w:rsid w:val="007A7AFD"/>
    <w:rsid w:val="007B17D0"/>
    <w:rsid w:val="007B1A21"/>
    <w:rsid w:val="007B58D6"/>
    <w:rsid w:val="007C0CC9"/>
    <w:rsid w:val="007C1CBB"/>
    <w:rsid w:val="007C1DAF"/>
    <w:rsid w:val="007C5A0E"/>
    <w:rsid w:val="007C645D"/>
    <w:rsid w:val="007C64C9"/>
    <w:rsid w:val="007C6DF1"/>
    <w:rsid w:val="007D3CB1"/>
    <w:rsid w:val="007D49E9"/>
    <w:rsid w:val="007D4BCE"/>
    <w:rsid w:val="007D6E9D"/>
    <w:rsid w:val="007D7969"/>
    <w:rsid w:val="007E1A61"/>
    <w:rsid w:val="007E1FEA"/>
    <w:rsid w:val="007E3BB6"/>
    <w:rsid w:val="007E575F"/>
    <w:rsid w:val="007E7793"/>
    <w:rsid w:val="007F493A"/>
    <w:rsid w:val="007F591A"/>
    <w:rsid w:val="007F5D3F"/>
    <w:rsid w:val="008001CE"/>
    <w:rsid w:val="00805B81"/>
    <w:rsid w:val="00805BF7"/>
    <w:rsid w:val="008064CB"/>
    <w:rsid w:val="00806EED"/>
    <w:rsid w:val="0081156F"/>
    <w:rsid w:val="00811A12"/>
    <w:rsid w:val="008136E3"/>
    <w:rsid w:val="008143AB"/>
    <w:rsid w:val="00817B6D"/>
    <w:rsid w:val="00821879"/>
    <w:rsid w:val="00822C96"/>
    <w:rsid w:val="00824EBC"/>
    <w:rsid w:val="00826DDE"/>
    <w:rsid w:val="00827C6F"/>
    <w:rsid w:val="00833489"/>
    <w:rsid w:val="00834DEE"/>
    <w:rsid w:val="0084307A"/>
    <w:rsid w:val="00852EC2"/>
    <w:rsid w:val="00857383"/>
    <w:rsid w:val="008608BA"/>
    <w:rsid w:val="00860EF4"/>
    <w:rsid w:val="0087444A"/>
    <w:rsid w:val="008755F6"/>
    <w:rsid w:val="00877AC2"/>
    <w:rsid w:val="00880C45"/>
    <w:rsid w:val="00885DFA"/>
    <w:rsid w:val="0088660D"/>
    <w:rsid w:val="0089026B"/>
    <w:rsid w:val="0089322F"/>
    <w:rsid w:val="00897165"/>
    <w:rsid w:val="008A3018"/>
    <w:rsid w:val="008A75D9"/>
    <w:rsid w:val="008B34AD"/>
    <w:rsid w:val="008C3CC8"/>
    <w:rsid w:val="008D0E47"/>
    <w:rsid w:val="008D1F57"/>
    <w:rsid w:val="008E3A59"/>
    <w:rsid w:val="008F335B"/>
    <w:rsid w:val="008F48E0"/>
    <w:rsid w:val="009026C7"/>
    <w:rsid w:val="009071B1"/>
    <w:rsid w:val="009072BC"/>
    <w:rsid w:val="00910492"/>
    <w:rsid w:val="00911BAC"/>
    <w:rsid w:val="009139E3"/>
    <w:rsid w:val="0092190B"/>
    <w:rsid w:val="00921CAE"/>
    <w:rsid w:val="009248D2"/>
    <w:rsid w:val="00925AE9"/>
    <w:rsid w:val="009313FD"/>
    <w:rsid w:val="009346F5"/>
    <w:rsid w:val="00936105"/>
    <w:rsid w:val="00940D28"/>
    <w:rsid w:val="009427A4"/>
    <w:rsid w:val="00945564"/>
    <w:rsid w:val="009457D2"/>
    <w:rsid w:val="00950E56"/>
    <w:rsid w:val="00951DE9"/>
    <w:rsid w:val="0096320D"/>
    <w:rsid w:val="00973BA8"/>
    <w:rsid w:val="00975626"/>
    <w:rsid w:val="00976483"/>
    <w:rsid w:val="0098108A"/>
    <w:rsid w:val="009855D7"/>
    <w:rsid w:val="009901DC"/>
    <w:rsid w:val="00994B6E"/>
    <w:rsid w:val="009A008B"/>
    <w:rsid w:val="009A3C9F"/>
    <w:rsid w:val="009A6045"/>
    <w:rsid w:val="009A749B"/>
    <w:rsid w:val="009A7E1A"/>
    <w:rsid w:val="009B49DA"/>
    <w:rsid w:val="009B5602"/>
    <w:rsid w:val="009C4B1D"/>
    <w:rsid w:val="009C61D5"/>
    <w:rsid w:val="009C7BDB"/>
    <w:rsid w:val="009D25C1"/>
    <w:rsid w:val="009D51FB"/>
    <w:rsid w:val="009D64A3"/>
    <w:rsid w:val="009E545E"/>
    <w:rsid w:val="009E6835"/>
    <w:rsid w:val="009F0FE1"/>
    <w:rsid w:val="009F3760"/>
    <w:rsid w:val="009F7D91"/>
    <w:rsid w:val="00A0231F"/>
    <w:rsid w:val="00A03A80"/>
    <w:rsid w:val="00A06387"/>
    <w:rsid w:val="00A06955"/>
    <w:rsid w:val="00A075A5"/>
    <w:rsid w:val="00A11BE3"/>
    <w:rsid w:val="00A17E7A"/>
    <w:rsid w:val="00A20C47"/>
    <w:rsid w:val="00A238E2"/>
    <w:rsid w:val="00A24FE4"/>
    <w:rsid w:val="00A27965"/>
    <w:rsid w:val="00A41532"/>
    <w:rsid w:val="00A41EAF"/>
    <w:rsid w:val="00A44B10"/>
    <w:rsid w:val="00A44ECB"/>
    <w:rsid w:val="00A44ED5"/>
    <w:rsid w:val="00A51167"/>
    <w:rsid w:val="00A52476"/>
    <w:rsid w:val="00A52C80"/>
    <w:rsid w:val="00A602E9"/>
    <w:rsid w:val="00A612AF"/>
    <w:rsid w:val="00A63790"/>
    <w:rsid w:val="00A64046"/>
    <w:rsid w:val="00A64750"/>
    <w:rsid w:val="00A67F21"/>
    <w:rsid w:val="00A739C8"/>
    <w:rsid w:val="00A74CF3"/>
    <w:rsid w:val="00A768FB"/>
    <w:rsid w:val="00A80E52"/>
    <w:rsid w:val="00A8101C"/>
    <w:rsid w:val="00A81DBB"/>
    <w:rsid w:val="00A830A2"/>
    <w:rsid w:val="00A83A8E"/>
    <w:rsid w:val="00A872E6"/>
    <w:rsid w:val="00A96B8D"/>
    <w:rsid w:val="00A977F4"/>
    <w:rsid w:val="00AA2327"/>
    <w:rsid w:val="00AA2B1B"/>
    <w:rsid w:val="00AB31E9"/>
    <w:rsid w:val="00AB484A"/>
    <w:rsid w:val="00AB580C"/>
    <w:rsid w:val="00AD4202"/>
    <w:rsid w:val="00AD5B75"/>
    <w:rsid w:val="00AE1F84"/>
    <w:rsid w:val="00AE2E0F"/>
    <w:rsid w:val="00AE3060"/>
    <w:rsid w:val="00AE6C58"/>
    <w:rsid w:val="00AF343D"/>
    <w:rsid w:val="00AF5766"/>
    <w:rsid w:val="00AF6013"/>
    <w:rsid w:val="00AF6E74"/>
    <w:rsid w:val="00B00889"/>
    <w:rsid w:val="00B0218B"/>
    <w:rsid w:val="00B02CB2"/>
    <w:rsid w:val="00B0550C"/>
    <w:rsid w:val="00B06CA8"/>
    <w:rsid w:val="00B0721D"/>
    <w:rsid w:val="00B07CDF"/>
    <w:rsid w:val="00B10062"/>
    <w:rsid w:val="00B126A3"/>
    <w:rsid w:val="00B12E93"/>
    <w:rsid w:val="00B172E9"/>
    <w:rsid w:val="00B20E87"/>
    <w:rsid w:val="00B23434"/>
    <w:rsid w:val="00B24D0B"/>
    <w:rsid w:val="00B2571E"/>
    <w:rsid w:val="00B41866"/>
    <w:rsid w:val="00B41CFC"/>
    <w:rsid w:val="00B42D8F"/>
    <w:rsid w:val="00B450F6"/>
    <w:rsid w:val="00B46ECD"/>
    <w:rsid w:val="00B471DD"/>
    <w:rsid w:val="00B511FE"/>
    <w:rsid w:val="00B5385D"/>
    <w:rsid w:val="00B54CFD"/>
    <w:rsid w:val="00B553A3"/>
    <w:rsid w:val="00B56B2E"/>
    <w:rsid w:val="00B6480C"/>
    <w:rsid w:val="00B74078"/>
    <w:rsid w:val="00B75A48"/>
    <w:rsid w:val="00B87E9A"/>
    <w:rsid w:val="00B9552A"/>
    <w:rsid w:val="00B95922"/>
    <w:rsid w:val="00B97884"/>
    <w:rsid w:val="00BA156B"/>
    <w:rsid w:val="00BA3BC9"/>
    <w:rsid w:val="00BB04DC"/>
    <w:rsid w:val="00BB0BA0"/>
    <w:rsid w:val="00BB10A5"/>
    <w:rsid w:val="00BB7919"/>
    <w:rsid w:val="00BC0999"/>
    <w:rsid w:val="00BC1EC9"/>
    <w:rsid w:val="00BD1676"/>
    <w:rsid w:val="00BD2026"/>
    <w:rsid w:val="00BD5C02"/>
    <w:rsid w:val="00BE350B"/>
    <w:rsid w:val="00BE6258"/>
    <w:rsid w:val="00BF2C4F"/>
    <w:rsid w:val="00BF3062"/>
    <w:rsid w:val="00C03FA8"/>
    <w:rsid w:val="00C052BD"/>
    <w:rsid w:val="00C061F1"/>
    <w:rsid w:val="00C12BA6"/>
    <w:rsid w:val="00C13EE6"/>
    <w:rsid w:val="00C151EC"/>
    <w:rsid w:val="00C16FA8"/>
    <w:rsid w:val="00C23146"/>
    <w:rsid w:val="00C35A70"/>
    <w:rsid w:val="00C3764B"/>
    <w:rsid w:val="00C41A6F"/>
    <w:rsid w:val="00C4285F"/>
    <w:rsid w:val="00C5247C"/>
    <w:rsid w:val="00C547E3"/>
    <w:rsid w:val="00C55CE5"/>
    <w:rsid w:val="00C5744C"/>
    <w:rsid w:val="00C602FF"/>
    <w:rsid w:val="00C61A94"/>
    <w:rsid w:val="00C825E8"/>
    <w:rsid w:val="00C82F73"/>
    <w:rsid w:val="00C83A77"/>
    <w:rsid w:val="00C84B26"/>
    <w:rsid w:val="00C858C3"/>
    <w:rsid w:val="00C85D0A"/>
    <w:rsid w:val="00C91C90"/>
    <w:rsid w:val="00C920EF"/>
    <w:rsid w:val="00CA14FB"/>
    <w:rsid w:val="00CA1F12"/>
    <w:rsid w:val="00CA2FC2"/>
    <w:rsid w:val="00CA51BF"/>
    <w:rsid w:val="00CB1F53"/>
    <w:rsid w:val="00CB403D"/>
    <w:rsid w:val="00CB5DEA"/>
    <w:rsid w:val="00CB5E02"/>
    <w:rsid w:val="00CC4BAA"/>
    <w:rsid w:val="00CD2D54"/>
    <w:rsid w:val="00CD4662"/>
    <w:rsid w:val="00CD6A6E"/>
    <w:rsid w:val="00CE1880"/>
    <w:rsid w:val="00CE1BDE"/>
    <w:rsid w:val="00CE3DA7"/>
    <w:rsid w:val="00CE5C46"/>
    <w:rsid w:val="00CF3394"/>
    <w:rsid w:val="00D00AB2"/>
    <w:rsid w:val="00D02919"/>
    <w:rsid w:val="00D03B3F"/>
    <w:rsid w:val="00D042A5"/>
    <w:rsid w:val="00D0468D"/>
    <w:rsid w:val="00D053FC"/>
    <w:rsid w:val="00D06662"/>
    <w:rsid w:val="00D11188"/>
    <w:rsid w:val="00D11BC5"/>
    <w:rsid w:val="00D11D12"/>
    <w:rsid w:val="00D1224B"/>
    <w:rsid w:val="00D124C6"/>
    <w:rsid w:val="00D13DE1"/>
    <w:rsid w:val="00D201B2"/>
    <w:rsid w:val="00D228BC"/>
    <w:rsid w:val="00D25A36"/>
    <w:rsid w:val="00D2693B"/>
    <w:rsid w:val="00D26C10"/>
    <w:rsid w:val="00D32025"/>
    <w:rsid w:val="00D32EAC"/>
    <w:rsid w:val="00D34501"/>
    <w:rsid w:val="00D3572F"/>
    <w:rsid w:val="00D41DF5"/>
    <w:rsid w:val="00D506CA"/>
    <w:rsid w:val="00D51E35"/>
    <w:rsid w:val="00D52C2D"/>
    <w:rsid w:val="00D5602E"/>
    <w:rsid w:val="00D57447"/>
    <w:rsid w:val="00D57BC8"/>
    <w:rsid w:val="00D837C1"/>
    <w:rsid w:val="00D87A59"/>
    <w:rsid w:val="00D907C0"/>
    <w:rsid w:val="00D90C85"/>
    <w:rsid w:val="00D9372E"/>
    <w:rsid w:val="00D94BB8"/>
    <w:rsid w:val="00DA7ECF"/>
    <w:rsid w:val="00DB0C83"/>
    <w:rsid w:val="00DB552C"/>
    <w:rsid w:val="00DB58D8"/>
    <w:rsid w:val="00DB5AE1"/>
    <w:rsid w:val="00DB5C60"/>
    <w:rsid w:val="00DB7F24"/>
    <w:rsid w:val="00DC1DB8"/>
    <w:rsid w:val="00DC7782"/>
    <w:rsid w:val="00DD05E7"/>
    <w:rsid w:val="00DD1590"/>
    <w:rsid w:val="00DD449D"/>
    <w:rsid w:val="00DD68D7"/>
    <w:rsid w:val="00DD7AFE"/>
    <w:rsid w:val="00DE1D9D"/>
    <w:rsid w:val="00DE2B3A"/>
    <w:rsid w:val="00DE2DB5"/>
    <w:rsid w:val="00DE41AA"/>
    <w:rsid w:val="00DE583B"/>
    <w:rsid w:val="00DE698B"/>
    <w:rsid w:val="00DF07F3"/>
    <w:rsid w:val="00DF3D45"/>
    <w:rsid w:val="00E213C9"/>
    <w:rsid w:val="00E218EA"/>
    <w:rsid w:val="00E23222"/>
    <w:rsid w:val="00E23223"/>
    <w:rsid w:val="00E2490F"/>
    <w:rsid w:val="00E27CC4"/>
    <w:rsid w:val="00E31149"/>
    <w:rsid w:val="00E32F93"/>
    <w:rsid w:val="00E35CBE"/>
    <w:rsid w:val="00E44F31"/>
    <w:rsid w:val="00E5656D"/>
    <w:rsid w:val="00E56AA8"/>
    <w:rsid w:val="00E56F63"/>
    <w:rsid w:val="00E61331"/>
    <w:rsid w:val="00E628B7"/>
    <w:rsid w:val="00E62F9E"/>
    <w:rsid w:val="00E6328D"/>
    <w:rsid w:val="00E667D5"/>
    <w:rsid w:val="00E74335"/>
    <w:rsid w:val="00E7568D"/>
    <w:rsid w:val="00E77143"/>
    <w:rsid w:val="00E81C80"/>
    <w:rsid w:val="00E857F8"/>
    <w:rsid w:val="00E86AD6"/>
    <w:rsid w:val="00E93720"/>
    <w:rsid w:val="00E9438A"/>
    <w:rsid w:val="00EA4926"/>
    <w:rsid w:val="00EA5285"/>
    <w:rsid w:val="00EB26B4"/>
    <w:rsid w:val="00EB2E35"/>
    <w:rsid w:val="00EB4542"/>
    <w:rsid w:val="00EB496D"/>
    <w:rsid w:val="00EB56FB"/>
    <w:rsid w:val="00EB7817"/>
    <w:rsid w:val="00EB7819"/>
    <w:rsid w:val="00EC3318"/>
    <w:rsid w:val="00ED15C0"/>
    <w:rsid w:val="00ED25EF"/>
    <w:rsid w:val="00ED4E10"/>
    <w:rsid w:val="00ED6054"/>
    <w:rsid w:val="00ED759C"/>
    <w:rsid w:val="00EE0434"/>
    <w:rsid w:val="00EE0FDE"/>
    <w:rsid w:val="00EE126F"/>
    <w:rsid w:val="00EE4A76"/>
    <w:rsid w:val="00EE5118"/>
    <w:rsid w:val="00EF0A14"/>
    <w:rsid w:val="00EF297A"/>
    <w:rsid w:val="00EF6144"/>
    <w:rsid w:val="00F01C3E"/>
    <w:rsid w:val="00F028E4"/>
    <w:rsid w:val="00F02DBC"/>
    <w:rsid w:val="00F073F2"/>
    <w:rsid w:val="00F104E4"/>
    <w:rsid w:val="00F10A44"/>
    <w:rsid w:val="00F115C2"/>
    <w:rsid w:val="00F11C0C"/>
    <w:rsid w:val="00F22C33"/>
    <w:rsid w:val="00F24B67"/>
    <w:rsid w:val="00F31360"/>
    <w:rsid w:val="00F3285C"/>
    <w:rsid w:val="00F40A05"/>
    <w:rsid w:val="00F457B4"/>
    <w:rsid w:val="00F45CF4"/>
    <w:rsid w:val="00F45EB6"/>
    <w:rsid w:val="00F4648D"/>
    <w:rsid w:val="00F4784D"/>
    <w:rsid w:val="00F54893"/>
    <w:rsid w:val="00F63266"/>
    <w:rsid w:val="00F66D01"/>
    <w:rsid w:val="00F70E33"/>
    <w:rsid w:val="00F7369A"/>
    <w:rsid w:val="00F77702"/>
    <w:rsid w:val="00F803EE"/>
    <w:rsid w:val="00F81A78"/>
    <w:rsid w:val="00F85333"/>
    <w:rsid w:val="00F90A3D"/>
    <w:rsid w:val="00F94273"/>
    <w:rsid w:val="00F95531"/>
    <w:rsid w:val="00F97024"/>
    <w:rsid w:val="00FA1D40"/>
    <w:rsid w:val="00FA36DD"/>
    <w:rsid w:val="00FB2E92"/>
    <w:rsid w:val="00FB50B2"/>
    <w:rsid w:val="00FC0976"/>
    <w:rsid w:val="00FC1D9E"/>
    <w:rsid w:val="00FC21AD"/>
    <w:rsid w:val="00FC5CA0"/>
    <w:rsid w:val="00FC6467"/>
    <w:rsid w:val="00FC6554"/>
    <w:rsid w:val="00FD1351"/>
    <w:rsid w:val="00FF4039"/>
    <w:rsid w:val="00FF7A9B"/>
    <w:rsid w:val="00FF7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9AF56B"/>
  <w15:chartTrackingRefBased/>
  <w15:docId w15:val="{E71318D0-482A-46A7-AA3D-A8D5611F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3">
    <w:name w:val="Normal"/>
    <w:qFormat/>
    <w:rsid w:val="00314798"/>
    <w:pPr>
      <w:autoSpaceDE w:val="0"/>
      <w:autoSpaceDN w:val="0"/>
    </w:pPr>
    <w:rPr>
      <w:rFonts w:ascii="Times New Roman" w:eastAsia="Times New Roman" w:hAnsi="Times New Roman"/>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unhideWhenUsed/>
    <w:rsid w:val="00314798"/>
    <w:rPr>
      <w:color w:val="0000FF"/>
      <w:u w:val="single"/>
    </w:rPr>
  </w:style>
  <w:style w:type="paragraph" w:styleId="a8">
    <w:name w:val="Normal (Web)"/>
    <w:basedOn w:val="a3"/>
    <w:unhideWhenUsed/>
    <w:rsid w:val="00314798"/>
    <w:pPr>
      <w:spacing w:before="100" w:after="100"/>
    </w:pPr>
    <w:rPr>
      <w:color w:val="000000"/>
      <w:sz w:val="20"/>
      <w:szCs w:val="20"/>
    </w:rPr>
  </w:style>
  <w:style w:type="paragraph" w:styleId="a9">
    <w:name w:val="Body Text"/>
    <w:basedOn w:val="a3"/>
    <w:link w:val="aa"/>
    <w:unhideWhenUsed/>
    <w:rsid w:val="00314798"/>
    <w:pPr>
      <w:spacing w:after="120"/>
    </w:pPr>
  </w:style>
  <w:style w:type="character" w:customStyle="1" w:styleId="aa">
    <w:name w:val="Основной текст Знак"/>
    <w:link w:val="a9"/>
    <w:semiHidden/>
    <w:rsid w:val="00314798"/>
    <w:rPr>
      <w:rFonts w:ascii="Times New Roman" w:eastAsia="Times New Roman" w:hAnsi="Times New Roman" w:cs="Times New Roman"/>
      <w:sz w:val="24"/>
      <w:szCs w:val="24"/>
      <w:lang w:eastAsia="ru-RU"/>
    </w:rPr>
  </w:style>
  <w:style w:type="paragraph" w:customStyle="1" w:styleId="a1">
    <w:name w:val="Подпункт спецификации"/>
    <w:basedOn w:val="ab"/>
    <w:rsid w:val="00314798"/>
    <w:pPr>
      <w:numPr>
        <w:ilvl w:val="1"/>
        <w:numId w:val="8"/>
      </w:numPr>
      <w:tabs>
        <w:tab w:val="left" w:pos="9000"/>
      </w:tabs>
      <w:spacing w:before="120" w:after="0"/>
      <w:jc w:val="both"/>
    </w:pPr>
    <w:rPr>
      <w:rFonts w:ascii="Arial" w:hAnsi="Arial" w:cs="Arial"/>
      <w:sz w:val="20"/>
      <w:szCs w:val="20"/>
    </w:rPr>
  </w:style>
  <w:style w:type="paragraph" w:customStyle="1" w:styleId="a0">
    <w:name w:val="Пункт спецификации"/>
    <w:basedOn w:val="a3"/>
    <w:rsid w:val="00314798"/>
    <w:pPr>
      <w:numPr>
        <w:numId w:val="8"/>
      </w:numPr>
      <w:tabs>
        <w:tab w:val="left" w:pos="9000"/>
      </w:tabs>
      <w:spacing w:before="240"/>
      <w:ind w:right="57"/>
      <w:jc w:val="both"/>
    </w:pPr>
    <w:rPr>
      <w:rFonts w:ascii="Arial" w:hAnsi="Arial" w:cs="Arial"/>
      <w:b/>
      <w:bCs/>
      <w:sz w:val="20"/>
      <w:szCs w:val="20"/>
    </w:rPr>
  </w:style>
  <w:style w:type="paragraph" w:customStyle="1" w:styleId="ac">
    <w:name w:val="Текст таб"/>
    <w:basedOn w:val="a3"/>
    <w:rsid w:val="00314798"/>
    <w:pPr>
      <w:tabs>
        <w:tab w:val="left" w:pos="9000"/>
      </w:tabs>
      <w:spacing w:before="60"/>
      <w:ind w:left="851" w:right="58"/>
      <w:jc w:val="both"/>
    </w:pPr>
    <w:rPr>
      <w:rFonts w:ascii="Arial" w:hAnsi="Arial" w:cs="Arial"/>
      <w:sz w:val="20"/>
      <w:szCs w:val="20"/>
    </w:rPr>
  </w:style>
  <w:style w:type="paragraph" w:customStyle="1" w:styleId="Pointmark">
    <w:name w:val="Point (mark)"/>
    <w:rsid w:val="00314798"/>
    <w:pPr>
      <w:numPr>
        <w:numId w:val="2"/>
      </w:numPr>
      <w:autoSpaceDN w:val="0"/>
      <w:spacing w:before="60"/>
      <w:jc w:val="both"/>
    </w:pPr>
    <w:rPr>
      <w:rFonts w:ascii="Arial" w:eastAsia="Times New Roman" w:hAnsi="Arial" w:cs="Arial"/>
      <w:lang w:eastAsia="en-US"/>
    </w:rPr>
  </w:style>
  <w:style w:type="paragraph" w:customStyle="1" w:styleId="10">
    <w:name w:val="Подпункт спецификации 1"/>
    <w:basedOn w:val="a1"/>
    <w:rsid w:val="00314798"/>
    <w:pPr>
      <w:numPr>
        <w:ilvl w:val="2"/>
      </w:numPr>
      <w:tabs>
        <w:tab w:val="clear" w:pos="720"/>
        <w:tab w:val="num" w:pos="360"/>
        <w:tab w:val="num" w:pos="1418"/>
      </w:tabs>
      <w:ind w:left="1418" w:hanging="567"/>
    </w:pPr>
  </w:style>
  <w:style w:type="paragraph" w:styleId="ad">
    <w:name w:val="Plain Text"/>
    <w:basedOn w:val="ac"/>
    <w:link w:val="ae"/>
    <w:unhideWhenUsed/>
    <w:rsid w:val="00314798"/>
    <w:pPr>
      <w:ind w:left="0"/>
    </w:pPr>
  </w:style>
  <w:style w:type="character" w:customStyle="1" w:styleId="ae">
    <w:name w:val="Текст Знак"/>
    <w:link w:val="ad"/>
    <w:rsid w:val="00314798"/>
    <w:rPr>
      <w:rFonts w:ascii="Arial" w:eastAsia="Times New Roman" w:hAnsi="Arial" w:cs="Arial"/>
      <w:sz w:val="20"/>
      <w:szCs w:val="20"/>
      <w:lang w:val="en-GB" w:eastAsia="ru-RU"/>
    </w:rPr>
  </w:style>
  <w:style w:type="paragraph" w:styleId="ab">
    <w:name w:val="Body Text Indent"/>
    <w:basedOn w:val="a3"/>
    <w:link w:val="af"/>
    <w:unhideWhenUsed/>
    <w:rsid w:val="00314798"/>
    <w:pPr>
      <w:spacing w:after="120"/>
      <w:ind w:left="283"/>
    </w:pPr>
  </w:style>
  <w:style w:type="character" w:customStyle="1" w:styleId="af">
    <w:name w:val="Основной текст с отступом Знак"/>
    <w:link w:val="ab"/>
    <w:uiPriority w:val="99"/>
    <w:semiHidden/>
    <w:rsid w:val="00314798"/>
    <w:rPr>
      <w:rFonts w:ascii="Times New Roman" w:eastAsia="Times New Roman" w:hAnsi="Times New Roman" w:cs="Times New Roman"/>
      <w:sz w:val="24"/>
      <w:szCs w:val="24"/>
      <w:lang w:eastAsia="ru-RU"/>
    </w:rPr>
  </w:style>
  <w:style w:type="paragraph" w:styleId="af0">
    <w:name w:val="List Bullet"/>
    <w:basedOn w:val="a3"/>
    <w:autoRedefine/>
    <w:unhideWhenUsed/>
    <w:rsid w:val="00264705"/>
    <w:pPr>
      <w:ind w:left="708"/>
      <w:jc w:val="both"/>
    </w:pPr>
    <w:rPr>
      <w:rFonts w:ascii="Arial" w:hAnsi="Arial" w:cs="Arial"/>
      <w:sz w:val="20"/>
    </w:rPr>
  </w:style>
  <w:style w:type="paragraph" w:customStyle="1" w:styleId="Texttabtab">
    <w:name w:val="Text tab tab"/>
    <w:basedOn w:val="a3"/>
    <w:rsid w:val="00264705"/>
    <w:pPr>
      <w:autoSpaceDE/>
      <w:spacing w:before="60"/>
      <w:ind w:left="1134"/>
      <w:jc w:val="both"/>
    </w:pPr>
    <w:rPr>
      <w:rFonts w:ascii="Arial" w:hAnsi="Arial" w:cs="Arial"/>
      <w:iCs/>
      <w:sz w:val="20"/>
      <w:szCs w:val="20"/>
    </w:rPr>
  </w:style>
  <w:style w:type="paragraph" w:customStyle="1" w:styleId="a2">
    <w:name w:val="Раздел спецификации"/>
    <w:next w:val="a0"/>
    <w:rsid w:val="00264705"/>
    <w:pPr>
      <w:numPr>
        <w:numId w:val="4"/>
      </w:numPr>
      <w:tabs>
        <w:tab w:val="num" w:pos="709"/>
      </w:tabs>
      <w:autoSpaceDN w:val="0"/>
      <w:spacing w:before="240"/>
      <w:ind w:left="709" w:hanging="709"/>
      <w:jc w:val="both"/>
    </w:pPr>
    <w:rPr>
      <w:rFonts w:ascii="Arial" w:eastAsia="Times New Roman" w:hAnsi="Arial"/>
      <w:b/>
    </w:rPr>
  </w:style>
  <w:style w:type="character" w:customStyle="1" w:styleId="af1">
    <w:name w:val="Основной шрифт"/>
    <w:rsid w:val="002F7E61"/>
  </w:style>
  <w:style w:type="paragraph" w:styleId="af2">
    <w:name w:val="footer"/>
    <w:basedOn w:val="a3"/>
    <w:link w:val="af3"/>
    <w:rsid w:val="002F7E61"/>
    <w:pPr>
      <w:tabs>
        <w:tab w:val="center" w:pos="4153"/>
        <w:tab w:val="right" w:pos="8306"/>
      </w:tabs>
    </w:pPr>
  </w:style>
  <w:style w:type="character" w:customStyle="1" w:styleId="af3">
    <w:name w:val="Нижний колонтитул Знак"/>
    <w:link w:val="af2"/>
    <w:rsid w:val="002F7E61"/>
    <w:rPr>
      <w:rFonts w:ascii="Times New Roman" w:eastAsia="Times New Roman" w:hAnsi="Times New Roman" w:cs="Times New Roman"/>
      <w:sz w:val="24"/>
      <w:szCs w:val="24"/>
      <w:lang w:eastAsia="ru-RU"/>
    </w:rPr>
  </w:style>
  <w:style w:type="character" w:styleId="af4">
    <w:name w:val="page number"/>
    <w:basedOn w:val="a4"/>
    <w:rsid w:val="002F7E61"/>
  </w:style>
  <w:style w:type="paragraph" w:styleId="af5">
    <w:name w:val="Block Text"/>
    <w:basedOn w:val="a3"/>
    <w:rsid w:val="002F7E61"/>
    <w:pPr>
      <w:ind w:left="705" w:right="895" w:hanging="705"/>
    </w:pPr>
    <w:rPr>
      <w:rFonts w:ascii="Arial" w:hAnsi="Arial" w:cs="Arial"/>
      <w:sz w:val="20"/>
      <w:szCs w:val="20"/>
    </w:rPr>
  </w:style>
  <w:style w:type="paragraph" w:styleId="2">
    <w:name w:val="Body Text Indent 2"/>
    <w:basedOn w:val="a3"/>
    <w:link w:val="20"/>
    <w:rsid w:val="002F7E61"/>
    <w:pPr>
      <w:ind w:firstLine="705"/>
    </w:pPr>
    <w:rPr>
      <w:rFonts w:ascii="Arial" w:hAnsi="Arial" w:cs="Arial"/>
      <w:sz w:val="20"/>
      <w:szCs w:val="20"/>
    </w:rPr>
  </w:style>
  <w:style w:type="character" w:customStyle="1" w:styleId="20">
    <w:name w:val="Основной текст с отступом 2 Знак"/>
    <w:link w:val="2"/>
    <w:rsid w:val="002F7E61"/>
    <w:rPr>
      <w:rFonts w:ascii="Arial" w:eastAsia="Times New Roman" w:hAnsi="Arial" w:cs="Arial"/>
      <w:sz w:val="20"/>
      <w:szCs w:val="20"/>
      <w:lang w:eastAsia="ru-RU"/>
    </w:rPr>
  </w:style>
  <w:style w:type="paragraph" w:styleId="3">
    <w:name w:val="Body Text Indent 3"/>
    <w:basedOn w:val="a3"/>
    <w:link w:val="30"/>
    <w:rsid w:val="002F7E61"/>
    <w:pPr>
      <w:tabs>
        <w:tab w:val="num" w:pos="1440"/>
      </w:tabs>
      <w:ind w:left="1440" w:hanging="720"/>
    </w:pPr>
    <w:rPr>
      <w:rFonts w:ascii="Arial" w:hAnsi="Arial" w:cs="Arial"/>
      <w:sz w:val="20"/>
      <w:szCs w:val="20"/>
    </w:rPr>
  </w:style>
  <w:style w:type="character" w:customStyle="1" w:styleId="30">
    <w:name w:val="Основной текст с отступом 3 Знак"/>
    <w:link w:val="3"/>
    <w:rsid w:val="002F7E61"/>
    <w:rPr>
      <w:rFonts w:ascii="Arial" w:eastAsia="Times New Roman" w:hAnsi="Arial" w:cs="Arial"/>
      <w:sz w:val="20"/>
      <w:szCs w:val="20"/>
      <w:lang w:eastAsia="ru-RU"/>
    </w:rPr>
  </w:style>
  <w:style w:type="paragraph" w:customStyle="1" w:styleId="Headright">
    <w:name w:val="Head right"/>
    <w:basedOn w:val="a3"/>
    <w:rsid w:val="002F7E61"/>
    <w:pPr>
      <w:ind w:right="-694"/>
      <w:jc w:val="right"/>
    </w:pPr>
    <w:rPr>
      <w:rFonts w:ascii="Arial" w:hAnsi="Arial" w:cs="Arial"/>
      <w:sz w:val="20"/>
      <w:szCs w:val="20"/>
    </w:rPr>
  </w:style>
  <w:style w:type="paragraph" w:customStyle="1" w:styleId="a">
    <w:name w:val="Пункт регламента"/>
    <w:basedOn w:val="a8"/>
    <w:rsid w:val="002F7E61"/>
    <w:pPr>
      <w:numPr>
        <w:numId w:val="5"/>
      </w:numPr>
      <w:tabs>
        <w:tab w:val="left" w:pos="9000"/>
      </w:tabs>
      <w:spacing w:before="240" w:after="0"/>
      <w:ind w:right="58" w:hanging="720"/>
      <w:jc w:val="both"/>
    </w:pPr>
    <w:rPr>
      <w:color w:val="auto"/>
    </w:rPr>
  </w:style>
  <w:style w:type="paragraph" w:styleId="af6">
    <w:name w:val="header"/>
    <w:basedOn w:val="a3"/>
    <w:link w:val="af7"/>
    <w:rsid w:val="002F7E61"/>
    <w:pPr>
      <w:tabs>
        <w:tab w:val="center" w:pos="4844"/>
        <w:tab w:val="right" w:pos="9689"/>
      </w:tabs>
    </w:pPr>
  </w:style>
  <w:style w:type="character" w:customStyle="1" w:styleId="af7">
    <w:name w:val="Верхний колонтитул Знак"/>
    <w:link w:val="af6"/>
    <w:rsid w:val="002F7E61"/>
    <w:rPr>
      <w:rFonts w:ascii="Times New Roman" w:eastAsia="Times New Roman" w:hAnsi="Times New Roman" w:cs="Times New Roman"/>
      <w:sz w:val="24"/>
      <w:szCs w:val="24"/>
      <w:lang w:eastAsia="ru-RU"/>
    </w:rPr>
  </w:style>
  <w:style w:type="paragraph" w:customStyle="1" w:styleId="ConsNormal">
    <w:name w:val="ConsNormal"/>
    <w:rsid w:val="002F7E61"/>
    <w:pPr>
      <w:autoSpaceDE w:val="0"/>
      <w:autoSpaceDN w:val="0"/>
      <w:adjustRightInd w:val="0"/>
      <w:ind w:right="19772" w:firstLine="720"/>
    </w:pPr>
    <w:rPr>
      <w:rFonts w:ascii="Arial" w:eastAsia="Times New Roman" w:hAnsi="Arial" w:cs="Arial"/>
    </w:rPr>
  </w:style>
  <w:style w:type="paragraph" w:customStyle="1" w:styleId="BalloonText1">
    <w:name w:val="Balloon Text1"/>
    <w:basedOn w:val="a3"/>
    <w:rsid w:val="002F7E61"/>
    <w:rPr>
      <w:rFonts w:ascii="Tahoma" w:hAnsi="Tahoma" w:cs="Tahoma"/>
      <w:sz w:val="16"/>
      <w:szCs w:val="16"/>
    </w:rPr>
  </w:style>
  <w:style w:type="paragraph" w:customStyle="1" w:styleId="af8">
    <w:name w:val="Пункт"/>
    <w:basedOn w:val="a8"/>
    <w:rsid w:val="002F7E61"/>
    <w:pPr>
      <w:tabs>
        <w:tab w:val="num" w:pos="720"/>
      </w:tabs>
      <w:spacing w:before="120" w:after="0"/>
      <w:ind w:left="720" w:right="6" w:hanging="720"/>
      <w:jc w:val="both"/>
    </w:pPr>
    <w:rPr>
      <w:rFonts w:ascii="Arial CYR" w:eastAsia="Arial Unicode MS" w:hAnsi="Arial CYR"/>
    </w:rPr>
  </w:style>
  <w:style w:type="paragraph" w:customStyle="1" w:styleId="af9">
    <w:name w:val="Подпункт"/>
    <w:basedOn w:val="a8"/>
    <w:rsid w:val="002F7E61"/>
    <w:pPr>
      <w:tabs>
        <w:tab w:val="num" w:pos="1080"/>
      </w:tabs>
      <w:spacing w:before="60" w:after="0"/>
      <w:ind w:left="720" w:right="6" w:hanging="720"/>
      <w:jc w:val="both"/>
    </w:pPr>
    <w:rPr>
      <w:rFonts w:ascii="Arial CYR" w:eastAsia="Arial Unicode MS" w:hAnsi="Arial CYR"/>
    </w:rPr>
  </w:style>
  <w:style w:type="paragraph" w:customStyle="1" w:styleId="afa">
    <w:name w:val="Выдержка"/>
    <w:basedOn w:val="a9"/>
    <w:rsid w:val="002F7E61"/>
    <w:pPr>
      <w:tabs>
        <w:tab w:val="num" w:pos="540"/>
      </w:tabs>
      <w:autoSpaceDE/>
      <w:autoSpaceDN/>
      <w:spacing w:after="0"/>
      <w:ind w:left="1416"/>
      <w:jc w:val="both"/>
    </w:pPr>
    <w:rPr>
      <w:rFonts w:ascii="Arial" w:hAnsi="Arial" w:cs="Arial"/>
      <w:color w:val="000080"/>
      <w:sz w:val="20"/>
      <w:szCs w:val="20"/>
    </w:rPr>
  </w:style>
  <w:style w:type="paragraph" w:customStyle="1" w:styleId="ConsNonformat">
    <w:name w:val="ConsNonformat"/>
    <w:rsid w:val="002F7E61"/>
    <w:pPr>
      <w:autoSpaceDE w:val="0"/>
      <w:autoSpaceDN w:val="0"/>
      <w:adjustRightInd w:val="0"/>
      <w:ind w:right="19772"/>
    </w:pPr>
    <w:rPr>
      <w:rFonts w:ascii="Courier New" w:eastAsia="Times New Roman" w:hAnsi="Courier New" w:cs="Courier New"/>
      <w:lang w:eastAsia="en-US"/>
    </w:rPr>
  </w:style>
  <w:style w:type="paragraph" w:customStyle="1" w:styleId="ConsTitle">
    <w:name w:val="ConsTitle"/>
    <w:rsid w:val="002F7E61"/>
    <w:pPr>
      <w:autoSpaceDE w:val="0"/>
      <w:autoSpaceDN w:val="0"/>
      <w:adjustRightInd w:val="0"/>
      <w:ind w:right="19772"/>
    </w:pPr>
    <w:rPr>
      <w:rFonts w:ascii="Arial" w:eastAsia="Times New Roman" w:hAnsi="Arial" w:cs="Arial"/>
      <w:b/>
      <w:bCs/>
      <w:sz w:val="16"/>
      <w:szCs w:val="16"/>
      <w:lang w:eastAsia="en-US"/>
    </w:rPr>
  </w:style>
  <w:style w:type="paragraph" w:customStyle="1" w:styleId="ConsPlusNormal">
    <w:name w:val="ConsPlusNormal"/>
    <w:rsid w:val="002F7E61"/>
    <w:pPr>
      <w:autoSpaceDE w:val="0"/>
      <w:autoSpaceDN w:val="0"/>
      <w:adjustRightInd w:val="0"/>
      <w:ind w:left="1416" w:firstLine="2"/>
      <w:jc w:val="both"/>
    </w:pPr>
    <w:rPr>
      <w:rFonts w:ascii="Arial" w:eastAsia="Times New Roman" w:hAnsi="Arial" w:cs="Arial"/>
    </w:rPr>
  </w:style>
  <w:style w:type="paragraph" w:customStyle="1" w:styleId="ConsPlusNonformat">
    <w:name w:val="ConsPlusNonformat"/>
    <w:rsid w:val="002F7E61"/>
    <w:pPr>
      <w:autoSpaceDE w:val="0"/>
      <w:autoSpaceDN w:val="0"/>
      <w:adjustRightInd w:val="0"/>
    </w:pPr>
    <w:rPr>
      <w:rFonts w:ascii="Courier New" w:eastAsia="Times New Roman" w:hAnsi="Courier New" w:cs="Courier New"/>
    </w:rPr>
  </w:style>
  <w:style w:type="character" w:customStyle="1" w:styleId="rvts48220">
    <w:name w:val="rvts48220"/>
    <w:rsid w:val="002F7E61"/>
    <w:rPr>
      <w:rFonts w:ascii="Arial" w:hAnsi="Arial" w:cs="Arial" w:hint="default"/>
      <w:b w:val="0"/>
      <w:bCs w:val="0"/>
      <w:i w:val="0"/>
      <w:iCs w:val="0"/>
      <w:strike w:val="0"/>
      <w:dstrike w:val="0"/>
      <w:color w:val="000000"/>
      <w:sz w:val="20"/>
      <w:szCs w:val="20"/>
      <w:u w:val="none"/>
      <w:effect w:val="none"/>
    </w:rPr>
  </w:style>
  <w:style w:type="paragraph" w:customStyle="1" w:styleId="1">
    <w:name w:val="Маркированный список 1"/>
    <w:basedOn w:val="af0"/>
    <w:rsid w:val="002F7E61"/>
    <w:pPr>
      <w:numPr>
        <w:numId w:val="6"/>
      </w:numPr>
    </w:pPr>
  </w:style>
  <w:style w:type="character" w:styleId="afb">
    <w:name w:val="FollowedHyperlink"/>
    <w:rsid w:val="002F7E61"/>
    <w:rPr>
      <w:color w:val="800080"/>
      <w:u w:val="single"/>
    </w:rPr>
  </w:style>
  <w:style w:type="paragraph" w:customStyle="1" w:styleId="ConsPlusTitle">
    <w:name w:val="ConsPlusTitle"/>
    <w:rsid w:val="002F7E61"/>
    <w:pPr>
      <w:autoSpaceDE w:val="0"/>
      <w:autoSpaceDN w:val="0"/>
      <w:adjustRightInd w:val="0"/>
    </w:pPr>
    <w:rPr>
      <w:rFonts w:ascii="Arial" w:eastAsia="Times New Roman" w:hAnsi="Arial" w:cs="Arial"/>
      <w:b/>
      <w:bCs/>
    </w:rPr>
  </w:style>
  <w:style w:type="character" w:styleId="afc">
    <w:name w:val="annotation reference"/>
    <w:semiHidden/>
    <w:rsid w:val="002F7E61"/>
    <w:rPr>
      <w:sz w:val="16"/>
      <w:szCs w:val="16"/>
    </w:rPr>
  </w:style>
  <w:style w:type="paragraph" w:styleId="afd">
    <w:name w:val="annotation text"/>
    <w:basedOn w:val="a3"/>
    <w:link w:val="afe"/>
    <w:semiHidden/>
    <w:rsid w:val="002F7E61"/>
    <w:rPr>
      <w:sz w:val="20"/>
      <w:szCs w:val="20"/>
    </w:rPr>
  </w:style>
  <w:style w:type="character" w:customStyle="1" w:styleId="afe">
    <w:name w:val="Текст примечания Знак"/>
    <w:link w:val="afd"/>
    <w:semiHidden/>
    <w:rsid w:val="002F7E61"/>
    <w:rPr>
      <w:rFonts w:ascii="Times New Roman" w:eastAsia="Times New Roman" w:hAnsi="Times New Roman" w:cs="Times New Roman"/>
      <w:sz w:val="20"/>
      <w:szCs w:val="20"/>
      <w:lang w:eastAsia="ru-RU"/>
    </w:rPr>
  </w:style>
  <w:style w:type="paragraph" w:customStyle="1" w:styleId="aff">
    <w:name w:val="Поподпункт спецификации"/>
    <w:basedOn w:val="a1"/>
    <w:rsid w:val="002F7E61"/>
    <w:pPr>
      <w:numPr>
        <w:ilvl w:val="0"/>
        <w:numId w:val="0"/>
      </w:numPr>
      <w:tabs>
        <w:tab w:val="num" w:pos="2520"/>
        <w:tab w:val="num" w:pos="3240"/>
      </w:tabs>
      <w:spacing w:before="0"/>
      <w:ind w:left="1080" w:right="57" w:hanging="720"/>
    </w:pPr>
    <w:rPr>
      <w:rFonts w:ascii="Times New Roman" w:hAnsi="Times New Roman" w:cs="Times New Roman"/>
      <w:sz w:val="24"/>
    </w:rPr>
  </w:style>
  <w:style w:type="paragraph" w:customStyle="1" w:styleId="aff0">
    <w:name w:val="ПоПоподпункт спецификации"/>
    <w:basedOn w:val="aff"/>
    <w:rsid w:val="002F7E61"/>
    <w:pPr>
      <w:tabs>
        <w:tab w:val="num" w:pos="2880"/>
      </w:tabs>
      <w:ind w:left="2880" w:hanging="360"/>
    </w:pPr>
  </w:style>
  <w:style w:type="paragraph" w:styleId="aff1">
    <w:name w:val="Balloon Text"/>
    <w:basedOn w:val="a3"/>
    <w:link w:val="aff2"/>
    <w:semiHidden/>
    <w:rsid w:val="002F7E61"/>
    <w:rPr>
      <w:rFonts w:ascii="Tahoma" w:hAnsi="Tahoma" w:cs="Tahoma"/>
      <w:sz w:val="16"/>
      <w:szCs w:val="16"/>
    </w:rPr>
  </w:style>
  <w:style w:type="character" w:customStyle="1" w:styleId="aff2">
    <w:name w:val="Текст выноски Знак"/>
    <w:link w:val="aff1"/>
    <w:semiHidden/>
    <w:rsid w:val="002F7E61"/>
    <w:rPr>
      <w:rFonts w:ascii="Tahoma" w:eastAsia="Times New Roman" w:hAnsi="Tahoma" w:cs="Tahoma"/>
      <w:sz w:val="16"/>
      <w:szCs w:val="16"/>
      <w:lang w:eastAsia="ru-RU"/>
    </w:rPr>
  </w:style>
  <w:style w:type="paragraph" w:customStyle="1" w:styleId="Point">
    <w:name w:val="Point"/>
    <w:rsid w:val="002F7E61"/>
    <w:pPr>
      <w:numPr>
        <w:ilvl w:val="3"/>
        <w:numId w:val="7"/>
      </w:numPr>
      <w:spacing w:before="240"/>
      <w:jc w:val="both"/>
    </w:pPr>
    <w:rPr>
      <w:rFonts w:ascii="Arial" w:eastAsia="Times New Roman" w:hAnsi="Arial"/>
      <w:lang w:eastAsia="en-US"/>
    </w:rPr>
  </w:style>
  <w:style w:type="paragraph" w:customStyle="1" w:styleId="Point2">
    <w:name w:val="Point 2"/>
    <w:basedOn w:val="a3"/>
    <w:rsid w:val="002F7E61"/>
    <w:pPr>
      <w:numPr>
        <w:ilvl w:val="4"/>
        <w:numId w:val="7"/>
      </w:numPr>
      <w:tabs>
        <w:tab w:val="clear" w:pos="1152"/>
        <w:tab w:val="num" w:pos="720"/>
      </w:tabs>
      <w:autoSpaceDE/>
      <w:autoSpaceDN/>
      <w:spacing w:before="120"/>
      <w:ind w:left="720" w:hanging="720"/>
      <w:jc w:val="both"/>
    </w:pPr>
    <w:rPr>
      <w:rFonts w:ascii="Arial" w:hAnsi="Arial" w:cs="Arial"/>
      <w:sz w:val="20"/>
      <w:szCs w:val="20"/>
    </w:rPr>
  </w:style>
  <w:style w:type="paragraph" w:customStyle="1" w:styleId="Title1">
    <w:name w:val="Title 1"/>
    <w:rsid w:val="002F7E61"/>
    <w:pPr>
      <w:numPr>
        <w:numId w:val="7"/>
      </w:numPr>
      <w:tabs>
        <w:tab w:val="clear" w:pos="360"/>
        <w:tab w:val="num" w:pos="1440"/>
      </w:tabs>
      <w:spacing w:before="240"/>
      <w:ind w:left="1440" w:hanging="1440"/>
    </w:pPr>
    <w:rPr>
      <w:rFonts w:ascii="Arial" w:eastAsia="Times New Roman" w:hAnsi="Arial" w:cs="Arial"/>
      <w:b/>
      <w:bCs/>
      <w:lang w:eastAsia="en-US"/>
    </w:rPr>
  </w:style>
  <w:style w:type="paragraph" w:customStyle="1" w:styleId="Title2">
    <w:name w:val="Title 2"/>
    <w:rsid w:val="002F7E61"/>
    <w:pPr>
      <w:numPr>
        <w:ilvl w:val="1"/>
        <w:numId w:val="7"/>
      </w:numPr>
      <w:tabs>
        <w:tab w:val="clear" w:pos="1440"/>
        <w:tab w:val="num" w:pos="1980"/>
      </w:tabs>
      <w:spacing w:before="240"/>
      <w:ind w:left="1980" w:hanging="1980"/>
      <w:jc w:val="both"/>
    </w:pPr>
    <w:rPr>
      <w:rFonts w:ascii="Arial" w:eastAsia="Times New Roman" w:hAnsi="Arial"/>
      <w:b/>
      <w:lang w:eastAsia="en-US"/>
    </w:rPr>
  </w:style>
  <w:style w:type="paragraph" w:customStyle="1" w:styleId="Title3">
    <w:name w:val="Title 3"/>
    <w:rsid w:val="002F7E61"/>
    <w:pPr>
      <w:numPr>
        <w:ilvl w:val="2"/>
        <w:numId w:val="7"/>
      </w:numPr>
      <w:tabs>
        <w:tab w:val="clear" w:pos="720"/>
        <w:tab w:val="num" w:pos="1440"/>
      </w:tabs>
      <w:spacing w:before="240"/>
      <w:ind w:left="1440" w:hanging="1440"/>
    </w:pPr>
    <w:rPr>
      <w:rFonts w:ascii="Arial" w:eastAsia="Times New Roman" w:hAnsi="Arial"/>
      <w:b/>
      <w:bCs/>
      <w:lang w:eastAsia="en-US"/>
    </w:rPr>
  </w:style>
  <w:style w:type="paragraph" w:customStyle="1" w:styleId="Pointlet">
    <w:name w:val="Point (let)"/>
    <w:basedOn w:val="a3"/>
    <w:rsid w:val="002F7E61"/>
    <w:pPr>
      <w:numPr>
        <w:ilvl w:val="5"/>
        <w:numId w:val="7"/>
      </w:numPr>
      <w:spacing w:before="60"/>
      <w:jc w:val="both"/>
    </w:pPr>
    <w:rPr>
      <w:rFonts w:ascii="Arial" w:hAnsi="Arial" w:cs="Arial"/>
      <w:sz w:val="20"/>
      <w:szCs w:val="20"/>
    </w:rPr>
  </w:style>
  <w:style w:type="paragraph" w:styleId="aff3">
    <w:name w:val="footnote text"/>
    <w:basedOn w:val="a3"/>
    <w:link w:val="aff4"/>
    <w:semiHidden/>
    <w:rsid w:val="002F7E61"/>
    <w:rPr>
      <w:sz w:val="20"/>
      <w:szCs w:val="20"/>
    </w:rPr>
  </w:style>
  <w:style w:type="character" w:customStyle="1" w:styleId="aff4">
    <w:name w:val="Текст сноски Знак"/>
    <w:link w:val="aff3"/>
    <w:semiHidden/>
    <w:rsid w:val="002F7E61"/>
    <w:rPr>
      <w:rFonts w:ascii="Times New Roman" w:eastAsia="Times New Roman" w:hAnsi="Times New Roman" w:cs="Times New Roman"/>
      <w:sz w:val="20"/>
      <w:szCs w:val="20"/>
      <w:lang w:eastAsia="ru-RU"/>
    </w:rPr>
  </w:style>
  <w:style w:type="character" w:styleId="aff5">
    <w:name w:val="footnote reference"/>
    <w:semiHidden/>
    <w:rsid w:val="002F7E61"/>
    <w:rPr>
      <w:vertAlign w:val="superscript"/>
    </w:rPr>
  </w:style>
  <w:style w:type="table" w:styleId="aff6">
    <w:name w:val="Table Grid"/>
    <w:basedOn w:val="a5"/>
    <w:rsid w:val="002F7E61"/>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annotation subject"/>
    <w:basedOn w:val="afd"/>
    <w:next w:val="afd"/>
    <w:link w:val="aff8"/>
    <w:rsid w:val="002F7E61"/>
    <w:rPr>
      <w:b/>
      <w:bCs/>
    </w:rPr>
  </w:style>
  <w:style w:type="character" w:customStyle="1" w:styleId="aff8">
    <w:name w:val="Тема примечания Знак"/>
    <w:link w:val="aff7"/>
    <w:rsid w:val="002F7E61"/>
    <w:rPr>
      <w:rFonts w:ascii="Times New Roman" w:eastAsia="Times New Roman" w:hAnsi="Times New Roman" w:cs="Times New Roman"/>
      <w:b/>
      <w:bCs/>
      <w:sz w:val="20"/>
      <w:szCs w:val="20"/>
      <w:lang w:eastAsia="ru-RU"/>
    </w:rPr>
  </w:style>
  <w:style w:type="paragraph" w:styleId="aff9">
    <w:name w:val="Revision"/>
    <w:hidden/>
    <w:uiPriority w:val="99"/>
    <w:semiHidden/>
    <w:rsid w:val="002F7E61"/>
    <w:rPr>
      <w:rFonts w:ascii="Times New Roman" w:eastAsia="Times New Roman" w:hAnsi="Times New Roman"/>
      <w:sz w:val="24"/>
      <w:szCs w:val="24"/>
    </w:rPr>
  </w:style>
  <w:style w:type="paragraph" w:styleId="affa">
    <w:name w:val="List Paragraph"/>
    <w:basedOn w:val="a3"/>
    <w:uiPriority w:val="34"/>
    <w:qFormat/>
    <w:rsid w:val="002F7E61"/>
    <w:pPr>
      <w:ind w:left="708"/>
    </w:pPr>
  </w:style>
  <w:style w:type="paragraph" w:customStyle="1" w:styleId="11">
    <w:name w:val="Пункт 1"/>
    <w:basedOn w:val="ad"/>
    <w:rsid w:val="00B471DD"/>
    <w:pPr>
      <w:tabs>
        <w:tab w:val="clear" w:pos="9000"/>
        <w:tab w:val="num" w:pos="900"/>
      </w:tabs>
      <w:autoSpaceDE/>
      <w:autoSpaceDN/>
      <w:spacing w:before="120"/>
      <w:ind w:left="896" w:right="57" w:hanging="539"/>
    </w:pPr>
    <w:rPr>
      <w:rFonts w:ascii="Arial CYR" w:eastAsia="Arial Unicode MS" w:hAnsi="Arial CYR" w:cs="Arial CYR"/>
      <w:color w:val="000000"/>
    </w:rPr>
  </w:style>
  <w:style w:type="paragraph" w:customStyle="1" w:styleId="21">
    <w:name w:val="Пункт 2"/>
    <w:basedOn w:val="11"/>
    <w:rsid w:val="00B471DD"/>
    <w:pPr>
      <w:tabs>
        <w:tab w:val="clear" w:pos="900"/>
        <w:tab w:val="num" w:pos="1418"/>
      </w:tabs>
      <w:ind w:left="1418" w:hanging="567"/>
    </w:pPr>
  </w:style>
  <w:style w:type="paragraph" w:customStyle="1" w:styleId="affb">
    <w:name w:val="Пункт перечисление"/>
    <w:basedOn w:val="Pointmark"/>
    <w:rsid w:val="00B471DD"/>
    <w:pPr>
      <w:numPr>
        <w:numId w:val="0"/>
      </w:numPr>
      <w:tabs>
        <w:tab w:val="num" w:pos="1260"/>
      </w:tabs>
      <w:autoSpaceDN/>
      <w:ind w:left="1260" w:hanging="357"/>
    </w:pPr>
  </w:style>
  <w:style w:type="paragraph" w:customStyle="1" w:styleId="Default">
    <w:name w:val="Default"/>
    <w:rsid w:val="00600519"/>
    <w:pPr>
      <w:autoSpaceDE w:val="0"/>
      <w:autoSpaceDN w:val="0"/>
      <w:adjustRightInd w:val="0"/>
    </w:pPr>
    <w:rPr>
      <w:rFonts w:ascii="Times New Roman" w:hAnsi="Times New Roman"/>
      <w:color w:val="000000"/>
      <w:sz w:val="24"/>
      <w:szCs w:val="24"/>
      <w:lang w:eastAsia="en-US"/>
    </w:rPr>
  </w:style>
  <w:style w:type="paragraph" w:customStyle="1" w:styleId="12">
    <w:name w:val="пункт1"/>
    <w:basedOn w:val="2"/>
    <w:rsid w:val="003971C2"/>
    <w:pPr>
      <w:tabs>
        <w:tab w:val="num" w:pos="2052"/>
      </w:tabs>
      <w:autoSpaceDE/>
      <w:autoSpaceDN/>
      <w:spacing w:before="100" w:beforeAutospacing="1" w:after="100" w:afterAutospacing="1"/>
      <w:ind w:left="2052" w:hanging="792"/>
      <w:jc w:val="both"/>
    </w:pPr>
    <w:rPr>
      <w:rFonts w:cs="Times New Roman"/>
      <w:lang w:eastAsia="x-none"/>
    </w:rPr>
  </w:style>
  <w:style w:type="character" w:styleId="affc">
    <w:name w:val="Unresolved Mention"/>
    <w:basedOn w:val="a4"/>
    <w:uiPriority w:val="99"/>
    <w:semiHidden/>
    <w:unhideWhenUsed/>
    <w:rsid w:val="00514158"/>
    <w:rPr>
      <w:color w:val="605E5C"/>
      <w:shd w:val="clear" w:color="auto" w:fill="E1DFDD"/>
    </w:rPr>
  </w:style>
  <w:style w:type="paragraph" w:styleId="affd">
    <w:name w:val="endnote text"/>
    <w:basedOn w:val="a3"/>
    <w:link w:val="affe"/>
    <w:uiPriority w:val="99"/>
    <w:semiHidden/>
    <w:unhideWhenUsed/>
    <w:rsid w:val="00514158"/>
    <w:rPr>
      <w:sz w:val="20"/>
      <w:szCs w:val="20"/>
    </w:rPr>
  </w:style>
  <w:style w:type="character" w:customStyle="1" w:styleId="affe">
    <w:name w:val="Текст концевой сноски Знак"/>
    <w:basedOn w:val="a4"/>
    <w:link w:val="affd"/>
    <w:uiPriority w:val="99"/>
    <w:semiHidden/>
    <w:rsid w:val="00514158"/>
    <w:rPr>
      <w:rFonts w:ascii="Times New Roman" w:eastAsia="Times New Roman" w:hAnsi="Times New Roman"/>
    </w:rPr>
  </w:style>
  <w:style w:type="character" w:styleId="afff">
    <w:name w:val="endnote reference"/>
    <w:basedOn w:val="a4"/>
    <w:uiPriority w:val="99"/>
    <w:semiHidden/>
    <w:unhideWhenUsed/>
    <w:rsid w:val="005141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307">
      <w:bodyDiv w:val="1"/>
      <w:marLeft w:val="0"/>
      <w:marRight w:val="0"/>
      <w:marTop w:val="0"/>
      <w:marBottom w:val="0"/>
      <w:divBdr>
        <w:top w:val="none" w:sz="0" w:space="0" w:color="auto"/>
        <w:left w:val="none" w:sz="0" w:space="0" w:color="auto"/>
        <w:bottom w:val="none" w:sz="0" w:space="0" w:color="auto"/>
        <w:right w:val="none" w:sz="0" w:space="0" w:color="auto"/>
      </w:divBdr>
    </w:div>
    <w:div w:id="156003219">
      <w:bodyDiv w:val="1"/>
      <w:marLeft w:val="0"/>
      <w:marRight w:val="0"/>
      <w:marTop w:val="0"/>
      <w:marBottom w:val="0"/>
      <w:divBdr>
        <w:top w:val="none" w:sz="0" w:space="0" w:color="auto"/>
        <w:left w:val="none" w:sz="0" w:space="0" w:color="auto"/>
        <w:bottom w:val="none" w:sz="0" w:space="0" w:color="auto"/>
        <w:right w:val="none" w:sz="0" w:space="0" w:color="auto"/>
      </w:divBdr>
    </w:div>
    <w:div w:id="203566830">
      <w:bodyDiv w:val="1"/>
      <w:marLeft w:val="0"/>
      <w:marRight w:val="0"/>
      <w:marTop w:val="0"/>
      <w:marBottom w:val="0"/>
      <w:divBdr>
        <w:top w:val="none" w:sz="0" w:space="0" w:color="auto"/>
        <w:left w:val="none" w:sz="0" w:space="0" w:color="auto"/>
        <w:bottom w:val="none" w:sz="0" w:space="0" w:color="auto"/>
        <w:right w:val="none" w:sz="0" w:space="0" w:color="auto"/>
      </w:divBdr>
    </w:div>
    <w:div w:id="216596654">
      <w:bodyDiv w:val="1"/>
      <w:marLeft w:val="0"/>
      <w:marRight w:val="0"/>
      <w:marTop w:val="0"/>
      <w:marBottom w:val="0"/>
      <w:divBdr>
        <w:top w:val="none" w:sz="0" w:space="0" w:color="auto"/>
        <w:left w:val="none" w:sz="0" w:space="0" w:color="auto"/>
        <w:bottom w:val="none" w:sz="0" w:space="0" w:color="auto"/>
        <w:right w:val="none" w:sz="0" w:space="0" w:color="auto"/>
      </w:divBdr>
    </w:div>
    <w:div w:id="217866081">
      <w:bodyDiv w:val="1"/>
      <w:marLeft w:val="0"/>
      <w:marRight w:val="0"/>
      <w:marTop w:val="0"/>
      <w:marBottom w:val="0"/>
      <w:divBdr>
        <w:top w:val="none" w:sz="0" w:space="0" w:color="auto"/>
        <w:left w:val="none" w:sz="0" w:space="0" w:color="auto"/>
        <w:bottom w:val="none" w:sz="0" w:space="0" w:color="auto"/>
        <w:right w:val="none" w:sz="0" w:space="0" w:color="auto"/>
      </w:divBdr>
    </w:div>
    <w:div w:id="245774026">
      <w:bodyDiv w:val="1"/>
      <w:marLeft w:val="0"/>
      <w:marRight w:val="0"/>
      <w:marTop w:val="0"/>
      <w:marBottom w:val="0"/>
      <w:divBdr>
        <w:top w:val="none" w:sz="0" w:space="0" w:color="auto"/>
        <w:left w:val="none" w:sz="0" w:space="0" w:color="auto"/>
        <w:bottom w:val="none" w:sz="0" w:space="0" w:color="auto"/>
        <w:right w:val="none" w:sz="0" w:space="0" w:color="auto"/>
      </w:divBdr>
    </w:div>
    <w:div w:id="245848418">
      <w:bodyDiv w:val="1"/>
      <w:marLeft w:val="0"/>
      <w:marRight w:val="0"/>
      <w:marTop w:val="0"/>
      <w:marBottom w:val="0"/>
      <w:divBdr>
        <w:top w:val="none" w:sz="0" w:space="0" w:color="auto"/>
        <w:left w:val="none" w:sz="0" w:space="0" w:color="auto"/>
        <w:bottom w:val="none" w:sz="0" w:space="0" w:color="auto"/>
        <w:right w:val="none" w:sz="0" w:space="0" w:color="auto"/>
      </w:divBdr>
    </w:div>
    <w:div w:id="275910393">
      <w:bodyDiv w:val="1"/>
      <w:marLeft w:val="0"/>
      <w:marRight w:val="0"/>
      <w:marTop w:val="0"/>
      <w:marBottom w:val="0"/>
      <w:divBdr>
        <w:top w:val="none" w:sz="0" w:space="0" w:color="auto"/>
        <w:left w:val="none" w:sz="0" w:space="0" w:color="auto"/>
        <w:bottom w:val="none" w:sz="0" w:space="0" w:color="auto"/>
        <w:right w:val="none" w:sz="0" w:space="0" w:color="auto"/>
      </w:divBdr>
    </w:div>
    <w:div w:id="294873798">
      <w:bodyDiv w:val="1"/>
      <w:marLeft w:val="0"/>
      <w:marRight w:val="0"/>
      <w:marTop w:val="0"/>
      <w:marBottom w:val="0"/>
      <w:divBdr>
        <w:top w:val="none" w:sz="0" w:space="0" w:color="auto"/>
        <w:left w:val="none" w:sz="0" w:space="0" w:color="auto"/>
        <w:bottom w:val="none" w:sz="0" w:space="0" w:color="auto"/>
        <w:right w:val="none" w:sz="0" w:space="0" w:color="auto"/>
      </w:divBdr>
    </w:div>
    <w:div w:id="420179212">
      <w:bodyDiv w:val="1"/>
      <w:marLeft w:val="0"/>
      <w:marRight w:val="0"/>
      <w:marTop w:val="0"/>
      <w:marBottom w:val="0"/>
      <w:divBdr>
        <w:top w:val="none" w:sz="0" w:space="0" w:color="auto"/>
        <w:left w:val="none" w:sz="0" w:space="0" w:color="auto"/>
        <w:bottom w:val="none" w:sz="0" w:space="0" w:color="auto"/>
        <w:right w:val="none" w:sz="0" w:space="0" w:color="auto"/>
      </w:divBdr>
    </w:div>
    <w:div w:id="509374682">
      <w:bodyDiv w:val="1"/>
      <w:marLeft w:val="0"/>
      <w:marRight w:val="0"/>
      <w:marTop w:val="0"/>
      <w:marBottom w:val="0"/>
      <w:divBdr>
        <w:top w:val="none" w:sz="0" w:space="0" w:color="auto"/>
        <w:left w:val="none" w:sz="0" w:space="0" w:color="auto"/>
        <w:bottom w:val="none" w:sz="0" w:space="0" w:color="auto"/>
        <w:right w:val="none" w:sz="0" w:space="0" w:color="auto"/>
      </w:divBdr>
    </w:div>
    <w:div w:id="530076403">
      <w:bodyDiv w:val="1"/>
      <w:marLeft w:val="0"/>
      <w:marRight w:val="0"/>
      <w:marTop w:val="0"/>
      <w:marBottom w:val="0"/>
      <w:divBdr>
        <w:top w:val="none" w:sz="0" w:space="0" w:color="auto"/>
        <w:left w:val="none" w:sz="0" w:space="0" w:color="auto"/>
        <w:bottom w:val="none" w:sz="0" w:space="0" w:color="auto"/>
        <w:right w:val="none" w:sz="0" w:space="0" w:color="auto"/>
      </w:divBdr>
    </w:div>
    <w:div w:id="738211729">
      <w:bodyDiv w:val="1"/>
      <w:marLeft w:val="0"/>
      <w:marRight w:val="0"/>
      <w:marTop w:val="0"/>
      <w:marBottom w:val="0"/>
      <w:divBdr>
        <w:top w:val="none" w:sz="0" w:space="0" w:color="auto"/>
        <w:left w:val="none" w:sz="0" w:space="0" w:color="auto"/>
        <w:bottom w:val="none" w:sz="0" w:space="0" w:color="auto"/>
        <w:right w:val="none" w:sz="0" w:space="0" w:color="auto"/>
      </w:divBdr>
    </w:div>
    <w:div w:id="767846503">
      <w:bodyDiv w:val="1"/>
      <w:marLeft w:val="0"/>
      <w:marRight w:val="0"/>
      <w:marTop w:val="0"/>
      <w:marBottom w:val="0"/>
      <w:divBdr>
        <w:top w:val="none" w:sz="0" w:space="0" w:color="auto"/>
        <w:left w:val="none" w:sz="0" w:space="0" w:color="auto"/>
        <w:bottom w:val="none" w:sz="0" w:space="0" w:color="auto"/>
        <w:right w:val="none" w:sz="0" w:space="0" w:color="auto"/>
      </w:divBdr>
    </w:div>
    <w:div w:id="786004179">
      <w:bodyDiv w:val="1"/>
      <w:marLeft w:val="0"/>
      <w:marRight w:val="0"/>
      <w:marTop w:val="0"/>
      <w:marBottom w:val="0"/>
      <w:divBdr>
        <w:top w:val="none" w:sz="0" w:space="0" w:color="auto"/>
        <w:left w:val="none" w:sz="0" w:space="0" w:color="auto"/>
        <w:bottom w:val="none" w:sz="0" w:space="0" w:color="auto"/>
        <w:right w:val="none" w:sz="0" w:space="0" w:color="auto"/>
      </w:divBdr>
    </w:div>
    <w:div w:id="812404467">
      <w:bodyDiv w:val="1"/>
      <w:marLeft w:val="0"/>
      <w:marRight w:val="0"/>
      <w:marTop w:val="0"/>
      <w:marBottom w:val="0"/>
      <w:divBdr>
        <w:top w:val="none" w:sz="0" w:space="0" w:color="auto"/>
        <w:left w:val="none" w:sz="0" w:space="0" w:color="auto"/>
        <w:bottom w:val="none" w:sz="0" w:space="0" w:color="auto"/>
        <w:right w:val="none" w:sz="0" w:space="0" w:color="auto"/>
      </w:divBdr>
    </w:div>
    <w:div w:id="878978260">
      <w:bodyDiv w:val="1"/>
      <w:marLeft w:val="0"/>
      <w:marRight w:val="0"/>
      <w:marTop w:val="0"/>
      <w:marBottom w:val="0"/>
      <w:divBdr>
        <w:top w:val="none" w:sz="0" w:space="0" w:color="auto"/>
        <w:left w:val="none" w:sz="0" w:space="0" w:color="auto"/>
        <w:bottom w:val="none" w:sz="0" w:space="0" w:color="auto"/>
        <w:right w:val="none" w:sz="0" w:space="0" w:color="auto"/>
      </w:divBdr>
    </w:div>
    <w:div w:id="915431191">
      <w:bodyDiv w:val="1"/>
      <w:marLeft w:val="0"/>
      <w:marRight w:val="0"/>
      <w:marTop w:val="0"/>
      <w:marBottom w:val="0"/>
      <w:divBdr>
        <w:top w:val="none" w:sz="0" w:space="0" w:color="auto"/>
        <w:left w:val="none" w:sz="0" w:space="0" w:color="auto"/>
        <w:bottom w:val="none" w:sz="0" w:space="0" w:color="auto"/>
        <w:right w:val="none" w:sz="0" w:space="0" w:color="auto"/>
      </w:divBdr>
    </w:div>
    <w:div w:id="1007754251">
      <w:bodyDiv w:val="1"/>
      <w:marLeft w:val="0"/>
      <w:marRight w:val="0"/>
      <w:marTop w:val="0"/>
      <w:marBottom w:val="0"/>
      <w:divBdr>
        <w:top w:val="none" w:sz="0" w:space="0" w:color="auto"/>
        <w:left w:val="none" w:sz="0" w:space="0" w:color="auto"/>
        <w:bottom w:val="none" w:sz="0" w:space="0" w:color="auto"/>
        <w:right w:val="none" w:sz="0" w:space="0" w:color="auto"/>
      </w:divBdr>
    </w:div>
    <w:div w:id="1023017437">
      <w:bodyDiv w:val="1"/>
      <w:marLeft w:val="0"/>
      <w:marRight w:val="0"/>
      <w:marTop w:val="0"/>
      <w:marBottom w:val="0"/>
      <w:divBdr>
        <w:top w:val="none" w:sz="0" w:space="0" w:color="auto"/>
        <w:left w:val="none" w:sz="0" w:space="0" w:color="auto"/>
        <w:bottom w:val="none" w:sz="0" w:space="0" w:color="auto"/>
        <w:right w:val="none" w:sz="0" w:space="0" w:color="auto"/>
      </w:divBdr>
    </w:div>
    <w:div w:id="1075126195">
      <w:bodyDiv w:val="1"/>
      <w:marLeft w:val="0"/>
      <w:marRight w:val="0"/>
      <w:marTop w:val="0"/>
      <w:marBottom w:val="0"/>
      <w:divBdr>
        <w:top w:val="none" w:sz="0" w:space="0" w:color="auto"/>
        <w:left w:val="none" w:sz="0" w:space="0" w:color="auto"/>
        <w:bottom w:val="none" w:sz="0" w:space="0" w:color="auto"/>
        <w:right w:val="none" w:sz="0" w:space="0" w:color="auto"/>
      </w:divBdr>
    </w:div>
    <w:div w:id="1224297296">
      <w:bodyDiv w:val="1"/>
      <w:marLeft w:val="0"/>
      <w:marRight w:val="0"/>
      <w:marTop w:val="0"/>
      <w:marBottom w:val="0"/>
      <w:divBdr>
        <w:top w:val="none" w:sz="0" w:space="0" w:color="auto"/>
        <w:left w:val="none" w:sz="0" w:space="0" w:color="auto"/>
        <w:bottom w:val="none" w:sz="0" w:space="0" w:color="auto"/>
        <w:right w:val="none" w:sz="0" w:space="0" w:color="auto"/>
      </w:divBdr>
    </w:div>
    <w:div w:id="1272396671">
      <w:bodyDiv w:val="1"/>
      <w:marLeft w:val="0"/>
      <w:marRight w:val="0"/>
      <w:marTop w:val="0"/>
      <w:marBottom w:val="0"/>
      <w:divBdr>
        <w:top w:val="none" w:sz="0" w:space="0" w:color="auto"/>
        <w:left w:val="none" w:sz="0" w:space="0" w:color="auto"/>
        <w:bottom w:val="none" w:sz="0" w:space="0" w:color="auto"/>
        <w:right w:val="none" w:sz="0" w:space="0" w:color="auto"/>
      </w:divBdr>
    </w:div>
    <w:div w:id="1326974492">
      <w:bodyDiv w:val="1"/>
      <w:marLeft w:val="0"/>
      <w:marRight w:val="0"/>
      <w:marTop w:val="0"/>
      <w:marBottom w:val="0"/>
      <w:divBdr>
        <w:top w:val="none" w:sz="0" w:space="0" w:color="auto"/>
        <w:left w:val="none" w:sz="0" w:space="0" w:color="auto"/>
        <w:bottom w:val="none" w:sz="0" w:space="0" w:color="auto"/>
        <w:right w:val="none" w:sz="0" w:space="0" w:color="auto"/>
      </w:divBdr>
    </w:div>
    <w:div w:id="1348365839">
      <w:bodyDiv w:val="1"/>
      <w:marLeft w:val="0"/>
      <w:marRight w:val="0"/>
      <w:marTop w:val="0"/>
      <w:marBottom w:val="0"/>
      <w:divBdr>
        <w:top w:val="none" w:sz="0" w:space="0" w:color="auto"/>
        <w:left w:val="none" w:sz="0" w:space="0" w:color="auto"/>
        <w:bottom w:val="none" w:sz="0" w:space="0" w:color="auto"/>
        <w:right w:val="none" w:sz="0" w:space="0" w:color="auto"/>
      </w:divBdr>
    </w:div>
    <w:div w:id="1379278531">
      <w:bodyDiv w:val="1"/>
      <w:marLeft w:val="0"/>
      <w:marRight w:val="0"/>
      <w:marTop w:val="0"/>
      <w:marBottom w:val="0"/>
      <w:divBdr>
        <w:top w:val="none" w:sz="0" w:space="0" w:color="auto"/>
        <w:left w:val="none" w:sz="0" w:space="0" w:color="auto"/>
        <w:bottom w:val="none" w:sz="0" w:space="0" w:color="auto"/>
        <w:right w:val="none" w:sz="0" w:space="0" w:color="auto"/>
      </w:divBdr>
    </w:div>
    <w:div w:id="1422919165">
      <w:bodyDiv w:val="1"/>
      <w:marLeft w:val="0"/>
      <w:marRight w:val="0"/>
      <w:marTop w:val="0"/>
      <w:marBottom w:val="0"/>
      <w:divBdr>
        <w:top w:val="none" w:sz="0" w:space="0" w:color="auto"/>
        <w:left w:val="none" w:sz="0" w:space="0" w:color="auto"/>
        <w:bottom w:val="none" w:sz="0" w:space="0" w:color="auto"/>
        <w:right w:val="none" w:sz="0" w:space="0" w:color="auto"/>
      </w:divBdr>
    </w:div>
    <w:div w:id="1442143958">
      <w:bodyDiv w:val="1"/>
      <w:marLeft w:val="0"/>
      <w:marRight w:val="0"/>
      <w:marTop w:val="0"/>
      <w:marBottom w:val="0"/>
      <w:divBdr>
        <w:top w:val="none" w:sz="0" w:space="0" w:color="auto"/>
        <w:left w:val="none" w:sz="0" w:space="0" w:color="auto"/>
        <w:bottom w:val="none" w:sz="0" w:space="0" w:color="auto"/>
        <w:right w:val="none" w:sz="0" w:space="0" w:color="auto"/>
      </w:divBdr>
    </w:div>
    <w:div w:id="1475559956">
      <w:bodyDiv w:val="1"/>
      <w:marLeft w:val="0"/>
      <w:marRight w:val="0"/>
      <w:marTop w:val="0"/>
      <w:marBottom w:val="0"/>
      <w:divBdr>
        <w:top w:val="none" w:sz="0" w:space="0" w:color="auto"/>
        <w:left w:val="none" w:sz="0" w:space="0" w:color="auto"/>
        <w:bottom w:val="none" w:sz="0" w:space="0" w:color="auto"/>
        <w:right w:val="none" w:sz="0" w:space="0" w:color="auto"/>
      </w:divBdr>
    </w:div>
    <w:div w:id="1509440843">
      <w:bodyDiv w:val="1"/>
      <w:marLeft w:val="0"/>
      <w:marRight w:val="0"/>
      <w:marTop w:val="0"/>
      <w:marBottom w:val="0"/>
      <w:divBdr>
        <w:top w:val="none" w:sz="0" w:space="0" w:color="auto"/>
        <w:left w:val="none" w:sz="0" w:space="0" w:color="auto"/>
        <w:bottom w:val="none" w:sz="0" w:space="0" w:color="auto"/>
        <w:right w:val="none" w:sz="0" w:space="0" w:color="auto"/>
      </w:divBdr>
    </w:div>
    <w:div w:id="1611816282">
      <w:bodyDiv w:val="1"/>
      <w:marLeft w:val="0"/>
      <w:marRight w:val="0"/>
      <w:marTop w:val="0"/>
      <w:marBottom w:val="0"/>
      <w:divBdr>
        <w:top w:val="none" w:sz="0" w:space="0" w:color="auto"/>
        <w:left w:val="none" w:sz="0" w:space="0" w:color="auto"/>
        <w:bottom w:val="none" w:sz="0" w:space="0" w:color="auto"/>
        <w:right w:val="none" w:sz="0" w:space="0" w:color="auto"/>
      </w:divBdr>
    </w:div>
    <w:div w:id="1621035722">
      <w:bodyDiv w:val="1"/>
      <w:marLeft w:val="0"/>
      <w:marRight w:val="0"/>
      <w:marTop w:val="0"/>
      <w:marBottom w:val="0"/>
      <w:divBdr>
        <w:top w:val="none" w:sz="0" w:space="0" w:color="auto"/>
        <w:left w:val="none" w:sz="0" w:space="0" w:color="auto"/>
        <w:bottom w:val="none" w:sz="0" w:space="0" w:color="auto"/>
        <w:right w:val="none" w:sz="0" w:space="0" w:color="auto"/>
      </w:divBdr>
    </w:div>
    <w:div w:id="1653757443">
      <w:bodyDiv w:val="1"/>
      <w:marLeft w:val="0"/>
      <w:marRight w:val="0"/>
      <w:marTop w:val="0"/>
      <w:marBottom w:val="0"/>
      <w:divBdr>
        <w:top w:val="none" w:sz="0" w:space="0" w:color="auto"/>
        <w:left w:val="none" w:sz="0" w:space="0" w:color="auto"/>
        <w:bottom w:val="none" w:sz="0" w:space="0" w:color="auto"/>
        <w:right w:val="none" w:sz="0" w:space="0" w:color="auto"/>
      </w:divBdr>
    </w:div>
    <w:div w:id="1778020889">
      <w:bodyDiv w:val="1"/>
      <w:marLeft w:val="0"/>
      <w:marRight w:val="0"/>
      <w:marTop w:val="0"/>
      <w:marBottom w:val="0"/>
      <w:divBdr>
        <w:top w:val="none" w:sz="0" w:space="0" w:color="auto"/>
        <w:left w:val="none" w:sz="0" w:space="0" w:color="auto"/>
        <w:bottom w:val="none" w:sz="0" w:space="0" w:color="auto"/>
        <w:right w:val="none" w:sz="0" w:space="0" w:color="auto"/>
      </w:divBdr>
    </w:div>
    <w:div w:id="1795057299">
      <w:bodyDiv w:val="1"/>
      <w:marLeft w:val="0"/>
      <w:marRight w:val="0"/>
      <w:marTop w:val="0"/>
      <w:marBottom w:val="0"/>
      <w:divBdr>
        <w:top w:val="none" w:sz="0" w:space="0" w:color="auto"/>
        <w:left w:val="none" w:sz="0" w:space="0" w:color="auto"/>
        <w:bottom w:val="none" w:sz="0" w:space="0" w:color="auto"/>
        <w:right w:val="none" w:sz="0" w:space="0" w:color="auto"/>
      </w:divBdr>
    </w:div>
    <w:div w:id="1802264137">
      <w:bodyDiv w:val="1"/>
      <w:marLeft w:val="0"/>
      <w:marRight w:val="0"/>
      <w:marTop w:val="0"/>
      <w:marBottom w:val="0"/>
      <w:divBdr>
        <w:top w:val="none" w:sz="0" w:space="0" w:color="auto"/>
        <w:left w:val="none" w:sz="0" w:space="0" w:color="auto"/>
        <w:bottom w:val="none" w:sz="0" w:space="0" w:color="auto"/>
        <w:right w:val="none" w:sz="0" w:space="0" w:color="auto"/>
      </w:divBdr>
    </w:div>
    <w:div w:id="1810248600">
      <w:bodyDiv w:val="1"/>
      <w:marLeft w:val="0"/>
      <w:marRight w:val="0"/>
      <w:marTop w:val="0"/>
      <w:marBottom w:val="0"/>
      <w:divBdr>
        <w:top w:val="none" w:sz="0" w:space="0" w:color="auto"/>
        <w:left w:val="none" w:sz="0" w:space="0" w:color="auto"/>
        <w:bottom w:val="none" w:sz="0" w:space="0" w:color="auto"/>
        <w:right w:val="none" w:sz="0" w:space="0" w:color="auto"/>
      </w:divBdr>
    </w:div>
    <w:div w:id="1861163730">
      <w:bodyDiv w:val="1"/>
      <w:marLeft w:val="0"/>
      <w:marRight w:val="0"/>
      <w:marTop w:val="0"/>
      <w:marBottom w:val="0"/>
      <w:divBdr>
        <w:top w:val="none" w:sz="0" w:space="0" w:color="auto"/>
        <w:left w:val="none" w:sz="0" w:space="0" w:color="auto"/>
        <w:bottom w:val="none" w:sz="0" w:space="0" w:color="auto"/>
        <w:right w:val="none" w:sz="0" w:space="0" w:color="auto"/>
      </w:divBdr>
    </w:div>
    <w:div w:id="1880583938">
      <w:bodyDiv w:val="1"/>
      <w:marLeft w:val="0"/>
      <w:marRight w:val="0"/>
      <w:marTop w:val="0"/>
      <w:marBottom w:val="0"/>
      <w:divBdr>
        <w:top w:val="none" w:sz="0" w:space="0" w:color="auto"/>
        <w:left w:val="none" w:sz="0" w:space="0" w:color="auto"/>
        <w:bottom w:val="none" w:sz="0" w:space="0" w:color="auto"/>
        <w:right w:val="none" w:sz="0" w:space="0" w:color="auto"/>
      </w:divBdr>
    </w:div>
    <w:div w:id="2029796736">
      <w:bodyDiv w:val="1"/>
      <w:marLeft w:val="0"/>
      <w:marRight w:val="0"/>
      <w:marTop w:val="0"/>
      <w:marBottom w:val="0"/>
      <w:divBdr>
        <w:top w:val="none" w:sz="0" w:space="0" w:color="auto"/>
        <w:left w:val="none" w:sz="0" w:space="0" w:color="auto"/>
        <w:bottom w:val="none" w:sz="0" w:space="0" w:color="auto"/>
        <w:right w:val="none" w:sz="0" w:space="0" w:color="auto"/>
      </w:divBdr>
    </w:div>
    <w:div w:id="2033339297">
      <w:bodyDiv w:val="1"/>
      <w:marLeft w:val="0"/>
      <w:marRight w:val="0"/>
      <w:marTop w:val="0"/>
      <w:marBottom w:val="0"/>
      <w:divBdr>
        <w:top w:val="none" w:sz="0" w:space="0" w:color="auto"/>
        <w:left w:val="none" w:sz="0" w:space="0" w:color="auto"/>
        <w:bottom w:val="none" w:sz="0" w:space="0" w:color="auto"/>
        <w:right w:val="none" w:sz="0" w:space="0" w:color="auto"/>
      </w:divBdr>
    </w:div>
    <w:div w:id="2051492961">
      <w:bodyDiv w:val="1"/>
      <w:marLeft w:val="0"/>
      <w:marRight w:val="0"/>
      <w:marTop w:val="0"/>
      <w:marBottom w:val="0"/>
      <w:divBdr>
        <w:top w:val="none" w:sz="0" w:space="0" w:color="auto"/>
        <w:left w:val="none" w:sz="0" w:space="0" w:color="auto"/>
        <w:bottom w:val="none" w:sz="0" w:space="0" w:color="auto"/>
        <w:right w:val="none" w:sz="0" w:space="0" w:color="auto"/>
      </w:divBdr>
    </w:div>
    <w:div w:id="207338749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775DA8E0BF19748BB24D462BA49B2B8" ma:contentTypeVersion="10" ma:contentTypeDescription="Создание документа." ma:contentTypeScope="" ma:versionID="93adfe8bfb6fe53b3f7b89e4ef7448c6">
  <xsd:schema xmlns:xsd="http://www.w3.org/2001/XMLSchema" xmlns:xs="http://www.w3.org/2001/XMLSchema" xmlns:p="http://schemas.microsoft.com/office/2006/metadata/properties" xmlns:ns2="3d16ac60-ca44-4310-891e-6ee324d946e9" xmlns:ns3="8c8bead1-c00a-4acf-9384-c08cb59451be" targetNamespace="http://schemas.microsoft.com/office/2006/metadata/properties" ma:root="true" ma:fieldsID="b5a6208bdaadf79a83c39e9f0f5812d6" ns2:_="" ns3:_="">
    <xsd:import namespace="3d16ac60-ca44-4310-891e-6ee324d946e9"/>
    <xsd:import namespace="8c8bead1-c00a-4acf-9384-c08cb5945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6ac60-ca44-4310-891e-6ee324d94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bead1-c00a-4acf-9384-c08cb59451be"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E216B-65A0-4BC7-BE0C-14D81405C56E}">
  <ds:schemaRefs>
    <ds:schemaRef ds:uri="http://schemas.microsoft.com/sharepoint/v3/contenttype/forms"/>
  </ds:schemaRefs>
</ds:datastoreItem>
</file>

<file path=customXml/itemProps2.xml><?xml version="1.0" encoding="utf-8"?>
<ds:datastoreItem xmlns:ds="http://schemas.openxmlformats.org/officeDocument/2006/customXml" ds:itemID="{654D74CC-D00E-43EB-9714-C8883C47C950}">
  <ds:schemaRefs>
    <ds:schemaRef ds:uri="8c8bead1-c00a-4acf-9384-c08cb59451be"/>
    <ds:schemaRef ds:uri="http://purl.org/dc/elements/1.1/"/>
    <ds:schemaRef ds:uri="http://schemas.microsoft.com/office/2006/metadata/properties"/>
    <ds:schemaRef ds:uri="3d16ac60-ca44-4310-891e-6ee324d946e9"/>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9530582-ED6C-4AEF-AA5A-B6532BC59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6ac60-ca44-4310-891e-6ee324d946e9"/>
    <ds:schemaRef ds:uri="8c8bead1-c00a-4acf-9384-c08cb5945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80CAB3-0865-4483-94CA-E120540E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1900</Words>
  <Characters>10836</Characters>
  <Application>Microsoft Office Word</Application>
  <DocSecurity>0</DocSecurity>
  <Lines>90</Lines>
  <Paragraphs>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12711</CharactersWithSpaces>
  <SharedDoc>false</SharedDoc>
  <HLinks>
    <vt:vector size="12" baseType="variant">
      <vt:variant>
        <vt:i4>5767234</vt:i4>
      </vt:variant>
      <vt:variant>
        <vt:i4>6</vt:i4>
      </vt:variant>
      <vt:variant>
        <vt:i4>0</vt:i4>
      </vt:variant>
      <vt:variant>
        <vt:i4>5</vt:i4>
      </vt:variant>
      <vt:variant>
        <vt:lpwstr>http://www.nyse.com/</vt:lpwstr>
      </vt:variant>
      <vt:variant>
        <vt:lpwstr/>
      </vt:variant>
      <vt:variant>
        <vt:i4>5767234</vt:i4>
      </vt:variant>
      <vt:variant>
        <vt:i4>3</vt:i4>
      </vt:variant>
      <vt:variant>
        <vt:i4>0</vt:i4>
      </vt:variant>
      <vt:variant>
        <vt:i4>5</vt:i4>
      </vt:variant>
      <vt:variant>
        <vt:lpwstr>http://www.nyse.com/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Никитина Татьяна</dc:creator>
  <cp:keywords/>
  <cp:lastModifiedBy>Бандакова Екатерина Игоревна</cp:lastModifiedBy>
  <cp:revision>3</cp:revision>
  <cp:lastPrinted>2020-02-26T09:42:00Z</cp:lastPrinted>
  <dcterms:created xsi:type="dcterms:W3CDTF">2025-04-15T14:55:00Z</dcterms:created>
  <dcterms:modified xsi:type="dcterms:W3CDTF">2025-04-17T13:37:00Z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0x010100B775DA8E0BF19748BB24D462BA49B2B8</vt:lpwstr>
  </property>
</Properties>
</file>