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C097" w14:textId="77777777" w:rsidR="005104AD" w:rsidRPr="003042DA" w:rsidRDefault="005104AD" w:rsidP="00F05BCF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F05BCF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0F641FA3" w:rsidR="005104AD" w:rsidRPr="002E491A" w:rsidRDefault="005104AD" w:rsidP="00F05BCF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3F6133">
        <w:rPr>
          <w:rFonts w:ascii="Tahoma" w:hAnsi="Tahoma" w:cs="Tahoma"/>
          <w:sz w:val="20"/>
          <w:szCs w:val="20"/>
          <w:lang w:val="ru-RU"/>
        </w:rPr>
        <w:t>202</w:t>
      </w:r>
      <w:r w:rsidR="002E7F12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21261A">
        <w:rPr>
          <w:rFonts w:ascii="Tahoma" w:hAnsi="Tahoma" w:cs="Tahoma"/>
          <w:sz w:val="20"/>
          <w:szCs w:val="20"/>
          <w:lang w:val="ru-RU"/>
        </w:rPr>
        <w:t>3969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 xml:space="preserve"> от </w:t>
      </w:r>
      <w:r w:rsidR="00637554">
        <w:rPr>
          <w:rFonts w:ascii="Tahoma" w:hAnsi="Tahoma" w:cs="Tahoma"/>
          <w:sz w:val="20"/>
          <w:szCs w:val="20"/>
          <w:lang w:val="ru-RU"/>
        </w:rPr>
        <w:t xml:space="preserve">22 ноября </w:t>
      </w:r>
      <w:r w:rsidR="002370B2">
        <w:rPr>
          <w:rFonts w:ascii="Tahoma" w:hAnsi="Tahoma" w:cs="Tahoma"/>
          <w:sz w:val="20"/>
          <w:szCs w:val="20"/>
          <w:lang w:val="ru-RU"/>
        </w:rPr>
        <w:t>2</w:t>
      </w:r>
      <w:r w:rsidRPr="002E491A">
        <w:rPr>
          <w:rFonts w:ascii="Tahoma" w:hAnsi="Tahoma" w:cs="Tahoma"/>
          <w:sz w:val="20"/>
          <w:szCs w:val="20"/>
        </w:rPr>
        <w:t>0</w:t>
      </w:r>
      <w:r w:rsidR="003F6133">
        <w:rPr>
          <w:rFonts w:ascii="Tahoma" w:hAnsi="Tahoma" w:cs="Tahoma"/>
          <w:sz w:val="20"/>
          <w:szCs w:val="20"/>
          <w:lang w:val="ru-RU"/>
        </w:rPr>
        <w:t>2</w:t>
      </w:r>
      <w:r w:rsidR="002E7F12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286E0DAF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российских эмитентов, </w:t>
      </w:r>
      <w:r w:rsidR="004A3497" w:rsidRPr="004A3497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BD39E7">
        <w:rPr>
          <w:rFonts w:ascii="Tahoma" w:hAnsi="Tahoma" w:cs="Tahoma"/>
        </w:rPr>
        <w:t>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BD39E7">
        <w:rPr>
          <w:rFonts w:ascii="Tahoma" w:hAnsi="Tahoma" w:cs="Tahoma"/>
          <w:sz w:val="20"/>
          <w:szCs w:val="20"/>
        </w:rPr>
        <w:t>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последний день заключения Контракта указывается арабскими цифрами в формате ДДММГГ (например, 170322 – 17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2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3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3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4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4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5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6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5"/>
      <w:bookmarkEnd w:id="6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3F4E4185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C8C8D56" w14:textId="77777777" w:rsidR="00FD6DBE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  <w:sectPr w:rsidR="00FD6DB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FBCDD" w14:textId="240AA6BA" w:rsidR="00FD6DBE" w:rsidRPr="00A42900" w:rsidRDefault="00A42900" w:rsidP="00A42900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bCs/>
          <w:sz w:val="22"/>
          <w:szCs w:val="20"/>
        </w:rPr>
      </w:pPr>
      <w:r w:rsidRPr="00A42900">
        <w:rPr>
          <w:rFonts w:ascii="Tahoma" w:hAnsi="Tahoma" w:cs="Tahoma"/>
          <w:b/>
          <w:bCs/>
        </w:rPr>
        <w:lastRenderedPageBreak/>
        <w:t>Приложение № 1</w:t>
      </w:r>
    </w:p>
    <w:p w14:paraId="735D1B23" w14:textId="77777777" w:rsidR="00FD6DBE" w:rsidRDefault="00FD6DBE" w:rsidP="00FD6DB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55E6F809" w14:textId="77777777" w:rsidR="00FD6DBE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C667E2" w14:textId="77777777" w:rsidR="00FD6DBE" w:rsidRPr="002A65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0E8C1130" w14:textId="77777777" w:rsidR="00FD6DBE" w:rsidRPr="00125F2A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2E7C07E0" w14:textId="77777777" w:rsidR="00FD6DBE" w:rsidRPr="00C84C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4111"/>
        <w:gridCol w:w="1417"/>
        <w:gridCol w:w="1276"/>
        <w:gridCol w:w="1559"/>
        <w:gridCol w:w="1701"/>
        <w:gridCol w:w="1418"/>
      </w:tblGrid>
      <w:tr w:rsidR="00FD6DBE" w:rsidRPr="00CD2745" w14:paraId="405917A8" w14:textId="77777777" w:rsidTr="00A42900">
        <w:trPr>
          <w:trHeight w:val="720"/>
        </w:trPr>
        <w:tc>
          <w:tcPr>
            <w:tcW w:w="659" w:type="dxa"/>
            <w:vAlign w:val="center"/>
          </w:tcPr>
          <w:p w14:paraId="6746E102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447" w:type="dxa"/>
            <w:vAlign w:val="center"/>
          </w:tcPr>
          <w:p w14:paraId="2532F241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4111" w:type="dxa"/>
            <w:vAlign w:val="center"/>
          </w:tcPr>
          <w:p w14:paraId="2E846A00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417" w:type="dxa"/>
            <w:vAlign w:val="center"/>
          </w:tcPr>
          <w:p w14:paraId="28E3594B" w14:textId="77777777" w:rsidR="00FD6DBE" w:rsidRPr="00296423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34E55D2D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276" w:type="dxa"/>
            <w:vAlign w:val="center"/>
          </w:tcPr>
          <w:p w14:paraId="5E345366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</w:p>
          <w:p w14:paraId="187057E8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28E92FAE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14D6FC3B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16972AFE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FD6DBE" w:rsidRPr="00CD2745" w14:paraId="4BB5B7C9" w14:textId="77777777" w:rsidTr="00A42900">
        <w:trPr>
          <w:trHeight w:val="480"/>
        </w:trPr>
        <w:tc>
          <w:tcPr>
            <w:tcW w:w="659" w:type="dxa"/>
            <w:vAlign w:val="center"/>
          </w:tcPr>
          <w:p w14:paraId="34ED698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2F5AC7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«Сбербанк России»</w:t>
            </w:r>
          </w:p>
        </w:tc>
        <w:tc>
          <w:tcPr>
            <w:tcW w:w="4111" w:type="dxa"/>
            <w:vAlign w:val="center"/>
          </w:tcPr>
          <w:p w14:paraId="75E738CF" w14:textId="77777777" w:rsidR="00FD6DBE" w:rsidRPr="001267B6" w:rsidRDefault="00FD6DBE" w:rsidP="00A4290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</w:rPr>
              <w:br/>
              <w:t>ISIN: RU0009029540</w:t>
            </w:r>
          </w:p>
        </w:tc>
        <w:tc>
          <w:tcPr>
            <w:tcW w:w="1417" w:type="dxa"/>
            <w:vAlign w:val="center"/>
          </w:tcPr>
          <w:p w14:paraId="427B51A3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FF7BE8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E55BCA7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</w:t>
            </w:r>
          </w:p>
        </w:tc>
        <w:tc>
          <w:tcPr>
            <w:tcW w:w="1701" w:type="dxa"/>
            <w:vAlign w:val="center"/>
          </w:tcPr>
          <w:p w14:paraId="2A332A8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7F48C4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E9DD4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5884D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FEE133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«Газпром»</w:t>
            </w:r>
          </w:p>
        </w:tc>
        <w:tc>
          <w:tcPr>
            <w:tcW w:w="4111" w:type="dxa"/>
            <w:vAlign w:val="center"/>
          </w:tcPr>
          <w:p w14:paraId="6B64D5C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</w:rPr>
              <w:br/>
              <w:t>ISIN: RU0007661625</w:t>
            </w:r>
          </w:p>
        </w:tc>
        <w:tc>
          <w:tcPr>
            <w:tcW w:w="1417" w:type="dxa"/>
            <w:vAlign w:val="center"/>
          </w:tcPr>
          <w:p w14:paraId="166A7CE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E47622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38CFB4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GAZP</w:t>
            </w:r>
          </w:p>
        </w:tc>
        <w:tc>
          <w:tcPr>
            <w:tcW w:w="1701" w:type="dxa"/>
            <w:vAlign w:val="center"/>
          </w:tcPr>
          <w:p w14:paraId="3291E5A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225383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048F7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DA19E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21509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«НК «ЛУКОЙЛ»</w:t>
            </w:r>
          </w:p>
        </w:tc>
        <w:tc>
          <w:tcPr>
            <w:tcW w:w="4111" w:type="dxa"/>
            <w:vAlign w:val="center"/>
          </w:tcPr>
          <w:p w14:paraId="791EAE1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</w:rPr>
              <w:br/>
              <w:t>ISIN: RU0009024277</w:t>
            </w:r>
          </w:p>
        </w:tc>
        <w:tc>
          <w:tcPr>
            <w:tcW w:w="1417" w:type="dxa"/>
            <w:vAlign w:val="center"/>
          </w:tcPr>
          <w:p w14:paraId="2909896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DE87D7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B23458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LKOH</w:t>
            </w:r>
          </w:p>
        </w:tc>
        <w:tc>
          <w:tcPr>
            <w:tcW w:w="1701" w:type="dxa"/>
            <w:vAlign w:val="center"/>
          </w:tcPr>
          <w:p w14:paraId="632E541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35C8AE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F48107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A4A514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1C910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4111" w:type="dxa"/>
            <w:vAlign w:val="center"/>
          </w:tcPr>
          <w:p w14:paraId="12F4353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</w:rPr>
              <w:br/>
              <w:t>ISIN: RU0007288411</w:t>
            </w:r>
          </w:p>
        </w:tc>
        <w:tc>
          <w:tcPr>
            <w:tcW w:w="1417" w:type="dxa"/>
            <w:vAlign w:val="center"/>
          </w:tcPr>
          <w:p w14:paraId="3DA9AAFD" w14:textId="7701A418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31116E0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4B5B16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GMKN</w:t>
            </w:r>
          </w:p>
        </w:tc>
        <w:tc>
          <w:tcPr>
            <w:tcW w:w="1701" w:type="dxa"/>
            <w:vAlign w:val="center"/>
          </w:tcPr>
          <w:p w14:paraId="4964314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C38813" w14:textId="0C507225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09410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00C48D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ACEE6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743270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4111" w:type="dxa"/>
            <w:vAlign w:val="center"/>
          </w:tcPr>
          <w:p w14:paraId="763D458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</w:rPr>
              <w:br/>
              <w:t>ISIN: RU000A0J2Q06</w:t>
            </w:r>
          </w:p>
        </w:tc>
        <w:tc>
          <w:tcPr>
            <w:tcW w:w="1417" w:type="dxa"/>
            <w:vAlign w:val="center"/>
          </w:tcPr>
          <w:p w14:paraId="27A1544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32A70D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38EF6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ROSN</w:t>
            </w:r>
          </w:p>
        </w:tc>
        <w:tc>
          <w:tcPr>
            <w:tcW w:w="1701" w:type="dxa"/>
            <w:vAlign w:val="center"/>
          </w:tcPr>
          <w:p w14:paraId="29444A7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BE94BC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E740D5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253212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A2B55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>
              <w:rPr>
                <w:rFonts w:ascii="Tahoma" w:hAnsi="Tahoma" w:cs="Tahoma"/>
              </w:rPr>
              <w:br/>
              <w:t>АК «АЛРОСА» (ПАО)</w:t>
            </w:r>
          </w:p>
        </w:tc>
        <w:tc>
          <w:tcPr>
            <w:tcW w:w="4111" w:type="dxa"/>
            <w:vAlign w:val="center"/>
          </w:tcPr>
          <w:p w14:paraId="6B77D9C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>
              <w:rPr>
                <w:rFonts w:ascii="Tahoma" w:hAnsi="Tahoma" w:cs="Tahoma"/>
              </w:rPr>
              <w:br/>
              <w:t xml:space="preserve">АК «АЛРОСА» (ПАО), </w:t>
            </w:r>
            <w:r>
              <w:rPr>
                <w:rFonts w:ascii="Tahoma" w:hAnsi="Tahoma" w:cs="Tahoma"/>
              </w:rPr>
              <w:br/>
              <w:t>ISIN: RU0007252813</w:t>
            </w:r>
          </w:p>
        </w:tc>
        <w:tc>
          <w:tcPr>
            <w:tcW w:w="1417" w:type="dxa"/>
            <w:vAlign w:val="center"/>
          </w:tcPr>
          <w:p w14:paraId="6FEAC29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C391612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5106EF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ALRS</w:t>
            </w:r>
          </w:p>
        </w:tc>
        <w:tc>
          <w:tcPr>
            <w:tcW w:w="1701" w:type="dxa"/>
            <w:vAlign w:val="center"/>
          </w:tcPr>
          <w:p w14:paraId="727D6C3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AE6C0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2FF216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53145B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E4C0E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«ПАО Сбербанк»</w:t>
            </w:r>
          </w:p>
        </w:tc>
        <w:tc>
          <w:tcPr>
            <w:tcW w:w="4111" w:type="dxa"/>
            <w:vAlign w:val="center"/>
          </w:tcPr>
          <w:p w14:paraId="26E5F3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</w:rPr>
              <w:br/>
              <w:t>ISIN: RU0009029557</w:t>
            </w:r>
          </w:p>
        </w:tc>
        <w:tc>
          <w:tcPr>
            <w:tcW w:w="1417" w:type="dxa"/>
            <w:vAlign w:val="center"/>
          </w:tcPr>
          <w:p w14:paraId="5EB713E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0825C5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41CE83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SBERP</w:t>
            </w:r>
          </w:p>
        </w:tc>
        <w:tc>
          <w:tcPr>
            <w:tcW w:w="1701" w:type="dxa"/>
            <w:vAlign w:val="center"/>
          </w:tcPr>
          <w:p w14:paraId="34048C4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D871A0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CCE492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0B1BE4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DDE147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«НОВАТЭК»</w:t>
            </w:r>
          </w:p>
        </w:tc>
        <w:tc>
          <w:tcPr>
            <w:tcW w:w="4111" w:type="dxa"/>
            <w:vAlign w:val="center"/>
          </w:tcPr>
          <w:p w14:paraId="0BC4158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</w:rPr>
              <w:br/>
              <w:t>ISIN: RU000A0DKVS5</w:t>
            </w:r>
          </w:p>
        </w:tc>
        <w:tc>
          <w:tcPr>
            <w:tcW w:w="1417" w:type="dxa"/>
            <w:vAlign w:val="center"/>
          </w:tcPr>
          <w:p w14:paraId="7C7B1B2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9CEC1E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BF271A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NVTK</w:t>
            </w:r>
          </w:p>
        </w:tc>
        <w:tc>
          <w:tcPr>
            <w:tcW w:w="1701" w:type="dxa"/>
            <w:vAlign w:val="center"/>
          </w:tcPr>
          <w:p w14:paraId="0EFEAAE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EEF8D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A120A1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0D8EAE2" w14:textId="77777777" w:rsidR="00FD6DBE" w:rsidRPr="0099573E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CB79CCC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Опцион на обыкновенные акции «Банк ВТБ» (ПАО)</w:t>
            </w:r>
          </w:p>
        </w:tc>
        <w:tc>
          <w:tcPr>
            <w:tcW w:w="4111" w:type="dxa"/>
            <w:vAlign w:val="center"/>
          </w:tcPr>
          <w:p w14:paraId="7B06F687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 xml:space="preserve">Обыкновенные акции «Банк ВТБ» (ПАО), </w:t>
            </w:r>
            <w:r w:rsidRPr="0099573E">
              <w:rPr>
                <w:rFonts w:ascii="Tahoma" w:hAnsi="Tahoma" w:cs="Tahoma"/>
              </w:rPr>
              <w:br/>
              <w:t>ISIN: RU000A0JP5V6</w:t>
            </w:r>
          </w:p>
        </w:tc>
        <w:tc>
          <w:tcPr>
            <w:tcW w:w="1417" w:type="dxa"/>
            <w:vAlign w:val="center"/>
          </w:tcPr>
          <w:p w14:paraId="552C90A1" w14:textId="0537BF1A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</w:t>
            </w:r>
          </w:p>
        </w:tc>
        <w:tc>
          <w:tcPr>
            <w:tcW w:w="1276" w:type="dxa"/>
            <w:vAlign w:val="center"/>
          </w:tcPr>
          <w:p w14:paraId="29B5466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A5BD0EA" w14:textId="77777777" w:rsidR="00FD6DBE" w:rsidRPr="0099573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99573E">
              <w:rPr>
                <w:rFonts w:ascii="Tahoma" w:hAnsi="Tahoma" w:cs="Tahoma"/>
              </w:rPr>
              <w:t>VTBR</w:t>
            </w:r>
          </w:p>
        </w:tc>
        <w:tc>
          <w:tcPr>
            <w:tcW w:w="1701" w:type="dxa"/>
            <w:vAlign w:val="center"/>
          </w:tcPr>
          <w:p w14:paraId="1F6A6A84" w14:textId="46AAEAC3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8504B2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58360A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119DDA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858826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«Северсталь»</w:t>
            </w:r>
          </w:p>
        </w:tc>
        <w:tc>
          <w:tcPr>
            <w:tcW w:w="4111" w:type="dxa"/>
            <w:vAlign w:val="center"/>
          </w:tcPr>
          <w:p w14:paraId="1690124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</w:rPr>
              <w:br/>
              <w:t>ISIN: RU0009046510</w:t>
            </w:r>
          </w:p>
        </w:tc>
        <w:tc>
          <w:tcPr>
            <w:tcW w:w="1417" w:type="dxa"/>
            <w:vAlign w:val="center"/>
          </w:tcPr>
          <w:p w14:paraId="301AB5C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BBBF6F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FE6EF8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CHMF</w:t>
            </w:r>
          </w:p>
        </w:tc>
        <w:tc>
          <w:tcPr>
            <w:tcW w:w="1701" w:type="dxa"/>
            <w:vAlign w:val="center"/>
          </w:tcPr>
          <w:p w14:paraId="6FF408F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09DD8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96013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C1EAD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02148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«НЛМК»</w:t>
            </w:r>
          </w:p>
        </w:tc>
        <w:tc>
          <w:tcPr>
            <w:tcW w:w="4111" w:type="dxa"/>
            <w:vAlign w:val="center"/>
          </w:tcPr>
          <w:p w14:paraId="1ADA943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</w:rPr>
              <w:br/>
              <w:t>ISIN: RU0009046452</w:t>
            </w:r>
          </w:p>
        </w:tc>
        <w:tc>
          <w:tcPr>
            <w:tcW w:w="1417" w:type="dxa"/>
            <w:vAlign w:val="center"/>
          </w:tcPr>
          <w:p w14:paraId="4E75416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35BA99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E86127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NLMK</w:t>
            </w:r>
          </w:p>
        </w:tc>
        <w:tc>
          <w:tcPr>
            <w:tcW w:w="1701" w:type="dxa"/>
            <w:vAlign w:val="center"/>
          </w:tcPr>
          <w:p w14:paraId="288069A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620B8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4B4068F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5DAF13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B63F75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«ОК РУСАЛ»</w:t>
            </w:r>
          </w:p>
        </w:tc>
        <w:tc>
          <w:tcPr>
            <w:tcW w:w="4111" w:type="dxa"/>
            <w:vAlign w:val="center"/>
          </w:tcPr>
          <w:p w14:paraId="4515695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</w:rPr>
              <w:br/>
              <w:t>ISIN: RU000A1025V3</w:t>
            </w:r>
          </w:p>
        </w:tc>
        <w:tc>
          <w:tcPr>
            <w:tcW w:w="1417" w:type="dxa"/>
            <w:vAlign w:val="center"/>
          </w:tcPr>
          <w:p w14:paraId="61776EF2" w14:textId="60654CF2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3DE81E2B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CDA32D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RUAL</w:t>
            </w:r>
          </w:p>
        </w:tc>
        <w:tc>
          <w:tcPr>
            <w:tcW w:w="1701" w:type="dxa"/>
            <w:vAlign w:val="center"/>
          </w:tcPr>
          <w:p w14:paraId="29DC0B3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A6F28D" w14:textId="25FD1C06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1B2A819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96C4ED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B18DB4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«Полюс»</w:t>
            </w:r>
          </w:p>
        </w:tc>
        <w:tc>
          <w:tcPr>
            <w:tcW w:w="4111" w:type="dxa"/>
            <w:vAlign w:val="center"/>
          </w:tcPr>
          <w:p w14:paraId="73A2135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</w:rPr>
              <w:br/>
              <w:t>ISIN: RU000A0JNAA8</w:t>
            </w:r>
          </w:p>
        </w:tc>
        <w:tc>
          <w:tcPr>
            <w:tcW w:w="1417" w:type="dxa"/>
            <w:vAlign w:val="center"/>
          </w:tcPr>
          <w:p w14:paraId="2BCC6F1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5CCF46B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6D971A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PLZL</w:t>
            </w:r>
          </w:p>
        </w:tc>
        <w:tc>
          <w:tcPr>
            <w:tcW w:w="1701" w:type="dxa"/>
            <w:vAlign w:val="center"/>
          </w:tcPr>
          <w:p w14:paraId="2EEA58A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F57ECF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B802E8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8BA712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3946D5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«Магнит»</w:t>
            </w:r>
          </w:p>
        </w:tc>
        <w:tc>
          <w:tcPr>
            <w:tcW w:w="4111" w:type="dxa"/>
            <w:vAlign w:val="center"/>
          </w:tcPr>
          <w:p w14:paraId="6034747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</w:rPr>
              <w:br/>
              <w:t>ISIN: RU000A0JKQU8</w:t>
            </w:r>
          </w:p>
        </w:tc>
        <w:tc>
          <w:tcPr>
            <w:tcW w:w="1417" w:type="dxa"/>
            <w:vAlign w:val="center"/>
          </w:tcPr>
          <w:p w14:paraId="5764870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469C8E7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F12B8F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MGNT</w:t>
            </w:r>
          </w:p>
        </w:tc>
        <w:tc>
          <w:tcPr>
            <w:tcW w:w="1701" w:type="dxa"/>
            <w:vAlign w:val="center"/>
          </w:tcPr>
          <w:p w14:paraId="0C4F6D2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AF6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532F60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F84D220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7DBF2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741A6D5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</w:rPr>
              <w:br/>
              <w:t>ISIN: RU0008926258</w:t>
            </w:r>
          </w:p>
        </w:tc>
        <w:tc>
          <w:tcPr>
            <w:tcW w:w="1417" w:type="dxa"/>
            <w:vAlign w:val="center"/>
          </w:tcPr>
          <w:p w14:paraId="34E0A0E8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2889AE1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E8589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</w:t>
            </w:r>
          </w:p>
        </w:tc>
        <w:tc>
          <w:tcPr>
            <w:tcW w:w="1701" w:type="dxa"/>
            <w:vAlign w:val="center"/>
          </w:tcPr>
          <w:p w14:paraId="209C319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281ED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F9C7D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F15CDB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82283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«Интер РАО ЕЭС»</w:t>
            </w:r>
          </w:p>
        </w:tc>
        <w:tc>
          <w:tcPr>
            <w:tcW w:w="4111" w:type="dxa"/>
            <w:vAlign w:val="center"/>
          </w:tcPr>
          <w:p w14:paraId="764DC96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</w:rPr>
              <w:br/>
              <w:t>ISIN: RU000A0JPNM1</w:t>
            </w:r>
          </w:p>
        </w:tc>
        <w:tc>
          <w:tcPr>
            <w:tcW w:w="1417" w:type="dxa"/>
            <w:vAlign w:val="center"/>
          </w:tcPr>
          <w:p w14:paraId="2134653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vAlign w:val="center"/>
          </w:tcPr>
          <w:p w14:paraId="721AA42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3182B1D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IRAO</w:t>
            </w:r>
          </w:p>
        </w:tc>
        <w:tc>
          <w:tcPr>
            <w:tcW w:w="1701" w:type="dxa"/>
            <w:vAlign w:val="center"/>
          </w:tcPr>
          <w:p w14:paraId="513A9AD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0527FB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2CB02D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474B72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A365E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4111" w:type="dxa"/>
            <w:vAlign w:val="center"/>
          </w:tcPr>
          <w:p w14:paraId="0388353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</w:rPr>
              <w:br/>
              <w:t>ISIN: RU0009084396</w:t>
            </w:r>
          </w:p>
        </w:tc>
        <w:tc>
          <w:tcPr>
            <w:tcW w:w="1417" w:type="dxa"/>
            <w:vAlign w:val="center"/>
          </w:tcPr>
          <w:p w14:paraId="1B6F507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86E768B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0C6646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MAGN</w:t>
            </w:r>
          </w:p>
        </w:tc>
        <w:tc>
          <w:tcPr>
            <w:tcW w:w="1701" w:type="dxa"/>
            <w:vAlign w:val="center"/>
          </w:tcPr>
          <w:p w14:paraId="360675D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E3C2A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1FF7F2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DC3133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FC5BB7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FB68A6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RU0009033591</w:t>
            </w:r>
          </w:p>
        </w:tc>
        <w:tc>
          <w:tcPr>
            <w:tcW w:w="1417" w:type="dxa"/>
            <w:vAlign w:val="center"/>
          </w:tcPr>
          <w:p w14:paraId="38E81251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A138E2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B41817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</w:t>
            </w:r>
          </w:p>
        </w:tc>
        <w:tc>
          <w:tcPr>
            <w:tcW w:w="1701" w:type="dxa"/>
            <w:vAlign w:val="center"/>
          </w:tcPr>
          <w:p w14:paraId="3B11033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6B4D29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0AE0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1BE2A5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76B8C1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«Московская Биржа»</w:t>
            </w:r>
          </w:p>
        </w:tc>
        <w:tc>
          <w:tcPr>
            <w:tcW w:w="4111" w:type="dxa"/>
            <w:vAlign w:val="center"/>
          </w:tcPr>
          <w:p w14:paraId="23EA66E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</w:rPr>
              <w:br/>
              <w:t>ISIN: RU000A0JR4A1</w:t>
            </w:r>
          </w:p>
        </w:tc>
        <w:tc>
          <w:tcPr>
            <w:tcW w:w="1417" w:type="dxa"/>
            <w:vAlign w:val="center"/>
          </w:tcPr>
          <w:p w14:paraId="727ACB9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BE13C9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ADF4E71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MOEX</w:t>
            </w:r>
          </w:p>
        </w:tc>
        <w:tc>
          <w:tcPr>
            <w:tcW w:w="1701" w:type="dxa"/>
            <w:vAlign w:val="center"/>
          </w:tcPr>
          <w:p w14:paraId="23D1253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8C57A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6B4CA4F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45B471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C2EDD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3D2AF23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</w:rPr>
              <w:br/>
              <w:t>ISIN: RU0009029524</w:t>
            </w:r>
          </w:p>
        </w:tc>
        <w:tc>
          <w:tcPr>
            <w:tcW w:w="1417" w:type="dxa"/>
            <w:vAlign w:val="center"/>
          </w:tcPr>
          <w:p w14:paraId="339B597D" w14:textId="2945D4CE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69C4CFA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5EF8D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SNGSP</w:t>
            </w:r>
          </w:p>
        </w:tc>
        <w:tc>
          <w:tcPr>
            <w:tcW w:w="1701" w:type="dxa"/>
            <w:vAlign w:val="center"/>
          </w:tcPr>
          <w:p w14:paraId="5C7CE1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DF496DE" w14:textId="7A28DC35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74C5E9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6610A77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DB71B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«МТС»</w:t>
            </w:r>
          </w:p>
        </w:tc>
        <w:tc>
          <w:tcPr>
            <w:tcW w:w="4111" w:type="dxa"/>
            <w:vAlign w:val="center"/>
          </w:tcPr>
          <w:p w14:paraId="14A738E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«МТС», </w:t>
            </w:r>
            <w:r>
              <w:rPr>
                <w:rFonts w:ascii="Tahoma" w:hAnsi="Tahoma" w:cs="Tahoma"/>
              </w:rPr>
              <w:br/>
              <w:t>ISIN: RU0007775219</w:t>
            </w:r>
          </w:p>
        </w:tc>
        <w:tc>
          <w:tcPr>
            <w:tcW w:w="1417" w:type="dxa"/>
            <w:vAlign w:val="center"/>
          </w:tcPr>
          <w:p w14:paraId="6E3EB63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6E0E33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C7AD98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MTSS</w:t>
            </w:r>
          </w:p>
        </w:tc>
        <w:tc>
          <w:tcPr>
            <w:tcW w:w="1701" w:type="dxa"/>
            <w:vAlign w:val="center"/>
          </w:tcPr>
          <w:p w14:paraId="7FF8E53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7D630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01329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7D6251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D59D9D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«ФосАгро»</w:t>
            </w:r>
          </w:p>
        </w:tc>
        <w:tc>
          <w:tcPr>
            <w:tcW w:w="4111" w:type="dxa"/>
            <w:vAlign w:val="center"/>
          </w:tcPr>
          <w:p w14:paraId="4B06076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</w:rPr>
              <w:br/>
              <w:t>ISIN: RU000A0JRKT8</w:t>
            </w:r>
          </w:p>
        </w:tc>
        <w:tc>
          <w:tcPr>
            <w:tcW w:w="1417" w:type="dxa"/>
            <w:vAlign w:val="center"/>
          </w:tcPr>
          <w:p w14:paraId="4158055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8D2AB08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4F84179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PHOR</w:t>
            </w:r>
          </w:p>
        </w:tc>
        <w:tc>
          <w:tcPr>
            <w:tcW w:w="1701" w:type="dxa"/>
            <w:vAlign w:val="center"/>
          </w:tcPr>
          <w:p w14:paraId="72F4AA8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F3FDD2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D72A18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A20B78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2CED9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4111" w:type="dxa"/>
            <w:vAlign w:val="center"/>
          </w:tcPr>
          <w:p w14:paraId="1AA37AE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</w:rPr>
              <w:br/>
              <w:t>ISIN: RU000A0DQZE3</w:t>
            </w:r>
          </w:p>
        </w:tc>
        <w:tc>
          <w:tcPr>
            <w:tcW w:w="1417" w:type="dxa"/>
            <w:vAlign w:val="center"/>
          </w:tcPr>
          <w:p w14:paraId="0CAE702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B1103D3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6CC7AF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AFKS</w:t>
            </w:r>
          </w:p>
        </w:tc>
        <w:tc>
          <w:tcPr>
            <w:tcW w:w="1701" w:type="dxa"/>
            <w:vAlign w:val="center"/>
          </w:tcPr>
          <w:p w14:paraId="1D9609E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005E6C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0E9E2D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1AAA37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A4DB84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«Аэрофлот»</w:t>
            </w:r>
          </w:p>
        </w:tc>
        <w:tc>
          <w:tcPr>
            <w:tcW w:w="4111" w:type="dxa"/>
            <w:vAlign w:val="center"/>
          </w:tcPr>
          <w:p w14:paraId="32A3C13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</w:rPr>
              <w:br/>
              <w:t>ISIN: RU0009062285</w:t>
            </w:r>
          </w:p>
        </w:tc>
        <w:tc>
          <w:tcPr>
            <w:tcW w:w="1417" w:type="dxa"/>
            <w:vAlign w:val="center"/>
          </w:tcPr>
          <w:p w14:paraId="4F38BFD0" w14:textId="7979C263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53DFE" w:rsidRPr="00F62F63"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14:paraId="4F235E1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ADC5AF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AFLT</w:t>
            </w:r>
          </w:p>
        </w:tc>
        <w:tc>
          <w:tcPr>
            <w:tcW w:w="1701" w:type="dxa"/>
            <w:vAlign w:val="center"/>
          </w:tcPr>
          <w:p w14:paraId="12997BD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3081A2" w14:textId="0C94C8C8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697491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7B12F4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36F54F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«Мечел»</w:t>
            </w:r>
          </w:p>
        </w:tc>
        <w:tc>
          <w:tcPr>
            <w:tcW w:w="4111" w:type="dxa"/>
            <w:vAlign w:val="center"/>
          </w:tcPr>
          <w:p w14:paraId="011C4F7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</w:rPr>
              <w:br/>
              <w:t>ISIN: RU000A0DKXV5</w:t>
            </w:r>
          </w:p>
        </w:tc>
        <w:tc>
          <w:tcPr>
            <w:tcW w:w="1417" w:type="dxa"/>
            <w:vAlign w:val="center"/>
          </w:tcPr>
          <w:p w14:paraId="3621751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C963D5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ABCF2B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MTLR</w:t>
            </w:r>
          </w:p>
        </w:tc>
        <w:tc>
          <w:tcPr>
            <w:tcW w:w="1701" w:type="dxa"/>
            <w:vAlign w:val="center"/>
          </w:tcPr>
          <w:p w14:paraId="6DB795A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6F596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D07A95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D81D99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984414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 нефть»</w:t>
            </w:r>
          </w:p>
        </w:tc>
        <w:tc>
          <w:tcPr>
            <w:tcW w:w="4111" w:type="dxa"/>
            <w:vAlign w:val="center"/>
          </w:tcPr>
          <w:p w14:paraId="71C9241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</w:rPr>
              <w:br/>
              <w:t>ISIN: RU0009062467</w:t>
            </w:r>
          </w:p>
        </w:tc>
        <w:tc>
          <w:tcPr>
            <w:tcW w:w="1417" w:type="dxa"/>
            <w:vAlign w:val="center"/>
          </w:tcPr>
          <w:p w14:paraId="4C79BA3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4EA2E4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6FECA5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SIBN</w:t>
            </w:r>
          </w:p>
        </w:tc>
        <w:tc>
          <w:tcPr>
            <w:tcW w:w="1701" w:type="dxa"/>
            <w:vAlign w:val="center"/>
          </w:tcPr>
          <w:p w14:paraId="07A43B9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428F42E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BBFD13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9F7176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749FD9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«РусГидро»</w:t>
            </w:r>
          </w:p>
        </w:tc>
        <w:tc>
          <w:tcPr>
            <w:tcW w:w="4111" w:type="dxa"/>
            <w:vAlign w:val="center"/>
          </w:tcPr>
          <w:p w14:paraId="0C91AF9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</w:rPr>
              <w:br/>
              <w:t>ISIN: RU000A0JPKH7</w:t>
            </w:r>
          </w:p>
        </w:tc>
        <w:tc>
          <w:tcPr>
            <w:tcW w:w="1417" w:type="dxa"/>
            <w:vAlign w:val="center"/>
          </w:tcPr>
          <w:p w14:paraId="4C092C3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1000</w:t>
            </w:r>
          </w:p>
        </w:tc>
        <w:tc>
          <w:tcPr>
            <w:tcW w:w="1276" w:type="dxa"/>
            <w:vAlign w:val="center"/>
          </w:tcPr>
          <w:p w14:paraId="16F2DC7B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E01169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HYDR</w:t>
            </w:r>
          </w:p>
        </w:tc>
        <w:tc>
          <w:tcPr>
            <w:tcW w:w="1701" w:type="dxa"/>
            <w:vAlign w:val="center"/>
          </w:tcPr>
          <w:p w14:paraId="0ACDDDF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16C8ADC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21C3CD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8C8D7C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C0A059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«Транснефть»</w:t>
            </w:r>
          </w:p>
        </w:tc>
        <w:tc>
          <w:tcPr>
            <w:tcW w:w="4111" w:type="dxa"/>
            <w:vAlign w:val="center"/>
          </w:tcPr>
          <w:p w14:paraId="3785631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</w:rPr>
              <w:br/>
              <w:t>ISIN: RU0009091573</w:t>
            </w:r>
          </w:p>
        </w:tc>
        <w:tc>
          <w:tcPr>
            <w:tcW w:w="1417" w:type="dxa"/>
            <w:vAlign w:val="center"/>
          </w:tcPr>
          <w:p w14:paraId="133694F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2FFE738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FA28557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TRNFP</w:t>
            </w:r>
          </w:p>
        </w:tc>
        <w:tc>
          <w:tcPr>
            <w:tcW w:w="1701" w:type="dxa"/>
            <w:vAlign w:val="center"/>
          </w:tcPr>
          <w:p w14:paraId="28E2342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8F74B9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E9778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056110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D7A04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4111" w:type="dxa"/>
            <w:vAlign w:val="center"/>
          </w:tcPr>
          <w:p w14:paraId="4B2D2EE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</w:rPr>
              <w:br/>
              <w:t>ISIN: RU000A0JP7J7</w:t>
            </w:r>
          </w:p>
        </w:tc>
        <w:tc>
          <w:tcPr>
            <w:tcW w:w="1417" w:type="dxa"/>
            <w:vAlign w:val="center"/>
          </w:tcPr>
          <w:p w14:paraId="1F6DC6C3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516EF51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8BC58E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PIKK</w:t>
            </w:r>
          </w:p>
        </w:tc>
        <w:tc>
          <w:tcPr>
            <w:tcW w:w="1701" w:type="dxa"/>
            <w:vAlign w:val="center"/>
          </w:tcPr>
          <w:p w14:paraId="5CAC6E7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59F9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29FC4C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3F8DB9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D0D215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0BC61A7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 xml:space="preserve">», </w:t>
            </w:r>
            <w:r>
              <w:rPr>
                <w:rFonts w:ascii="Tahoma" w:hAnsi="Tahoma" w:cs="Tahoma"/>
              </w:rPr>
              <w:br/>
              <w:t>ISIN: RU000A0JPNN9</w:t>
            </w:r>
          </w:p>
        </w:tc>
        <w:tc>
          <w:tcPr>
            <w:tcW w:w="1417" w:type="dxa"/>
            <w:vAlign w:val="center"/>
          </w:tcPr>
          <w:p w14:paraId="49F2491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10000</w:t>
            </w:r>
          </w:p>
        </w:tc>
        <w:tc>
          <w:tcPr>
            <w:tcW w:w="1276" w:type="dxa"/>
            <w:vAlign w:val="center"/>
          </w:tcPr>
          <w:p w14:paraId="6EEA7C2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4A9AF9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FEES</w:t>
            </w:r>
          </w:p>
        </w:tc>
        <w:tc>
          <w:tcPr>
            <w:tcW w:w="1701" w:type="dxa"/>
            <w:vAlign w:val="center"/>
          </w:tcPr>
          <w:p w14:paraId="6CC33D4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13AB4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2B969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64BC56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E1D1F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«Ростелеком»</w:t>
            </w:r>
          </w:p>
        </w:tc>
        <w:tc>
          <w:tcPr>
            <w:tcW w:w="4111" w:type="dxa"/>
            <w:vAlign w:val="center"/>
          </w:tcPr>
          <w:p w14:paraId="0940FC1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</w:rPr>
              <w:br/>
              <w:t>ISIN: RU0008943394</w:t>
            </w:r>
          </w:p>
        </w:tc>
        <w:tc>
          <w:tcPr>
            <w:tcW w:w="1417" w:type="dxa"/>
            <w:vAlign w:val="center"/>
          </w:tcPr>
          <w:p w14:paraId="1D141F3B" w14:textId="33BFCE9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27FECD3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514567A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RTKM</w:t>
            </w:r>
          </w:p>
        </w:tc>
        <w:tc>
          <w:tcPr>
            <w:tcW w:w="1701" w:type="dxa"/>
            <w:vAlign w:val="center"/>
          </w:tcPr>
          <w:p w14:paraId="284684C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4617754" w14:textId="42E746F2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2EA16D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3D578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D54B29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«Группа компаний «Самолет»</w:t>
            </w:r>
          </w:p>
        </w:tc>
        <w:tc>
          <w:tcPr>
            <w:tcW w:w="4111" w:type="dxa"/>
            <w:vAlign w:val="center"/>
          </w:tcPr>
          <w:p w14:paraId="6554E43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</w:rPr>
              <w:br/>
              <w:t>ISIN: RU000A0ZZG02</w:t>
            </w:r>
          </w:p>
        </w:tc>
        <w:tc>
          <w:tcPr>
            <w:tcW w:w="1417" w:type="dxa"/>
            <w:vAlign w:val="center"/>
          </w:tcPr>
          <w:p w14:paraId="04C3C7D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5D6E70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06A333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SMLT</w:t>
            </w:r>
          </w:p>
        </w:tc>
        <w:tc>
          <w:tcPr>
            <w:tcW w:w="1701" w:type="dxa"/>
            <w:vAlign w:val="center"/>
          </w:tcPr>
          <w:p w14:paraId="053C856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DD5820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F4A8FBC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97A73C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9B9161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«СПБ Биржа»</w:t>
            </w:r>
          </w:p>
        </w:tc>
        <w:tc>
          <w:tcPr>
            <w:tcW w:w="4111" w:type="dxa"/>
            <w:vAlign w:val="center"/>
          </w:tcPr>
          <w:p w14:paraId="6C91CEB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</w:rPr>
              <w:br/>
              <w:t>ISIN: RU000A0JQ9P9</w:t>
            </w:r>
          </w:p>
        </w:tc>
        <w:tc>
          <w:tcPr>
            <w:tcW w:w="1417" w:type="dxa"/>
            <w:vAlign w:val="center"/>
          </w:tcPr>
          <w:p w14:paraId="30B52D0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18E70C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089D52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SPBE</w:t>
            </w:r>
          </w:p>
        </w:tc>
        <w:tc>
          <w:tcPr>
            <w:tcW w:w="1701" w:type="dxa"/>
            <w:vAlign w:val="center"/>
          </w:tcPr>
          <w:p w14:paraId="02C2A52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4702F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61D639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78F86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DDD900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«Энел Россия»</w:t>
            </w:r>
          </w:p>
        </w:tc>
        <w:tc>
          <w:tcPr>
            <w:tcW w:w="4111" w:type="dxa"/>
            <w:vAlign w:val="center"/>
          </w:tcPr>
          <w:p w14:paraId="37EC5BB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</w:rPr>
              <w:br/>
              <w:t>ISIN: RU000A100K72</w:t>
            </w:r>
          </w:p>
        </w:tc>
        <w:tc>
          <w:tcPr>
            <w:tcW w:w="1417" w:type="dxa"/>
            <w:vAlign w:val="center"/>
          </w:tcPr>
          <w:p w14:paraId="0187C51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50A1BB82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7A3392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ENPG</w:t>
            </w:r>
          </w:p>
        </w:tc>
        <w:tc>
          <w:tcPr>
            <w:tcW w:w="1701" w:type="dxa"/>
            <w:vAlign w:val="center"/>
          </w:tcPr>
          <w:p w14:paraId="7BD3703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83F36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396125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082D2C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DDE3B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«МКБ»</w:t>
            </w:r>
          </w:p>
        </w:tc>
        <w:tc>
          <w:tcPr>
            <w:tcW w:w="4111" w:type="dxa"/>
            <w:vAlign w:val="center"/>
          </w:tcPr>
          <w:p w14:paraId="5C764DE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«МКБ», </w:t>
            </w:r>
            <w:r>
              <w:rPr>
                <w:rFonts w:ascii="Tahoma" w:hAnsi="Tahoma" w:cs="Tahoma"/>
              </w:rPr>
              <w:br/>
              <w:t>ISIN: RU000A0JUG31</w:t>
            </w:r>
          </w:p>
        </w:tc>
        <w:tc>
          <w:tcPr>
            <w:tcW w:w="1417" w:type="dxa"/>
            <w:vAlign w:val="center"/>
          </w:tcPr>
          <w:p w14:paraId="41988AF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vAlign w:val="center"/>
          </w:tcPr>
          <w:p w14:paraId="1416ED1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E930F6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CBOM</w:t>
            </w:r>
          </w:p>
        </w:tc>
        <w:tc>
          <w:tcPr>
            <w:tcW w:w="1701" w:type="dxa"/>
            <w:vAlign w:val="center"/>
          </w:tcPr>
          <w:p w14:paraId="7AC3DB0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6B5B2B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ECBC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F4A50B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108919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0C7395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RU0006944147</w:t>
            </w:r>
          </w:p>
        </w:tc>
        <w:tc>
          <w:tcPr>
            <w:tcW w:w="1417" w:type="dxa"/>
            <w:vAlign w:val="center"/>
          </w:tcPr>
          <w:p w14:paraId="45EF510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904BA5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56D369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TATNP</w:t>
            </w:r>
          </w:p>
        </w:tc>
        <w:tc>
          <w:tcPr>
            <w:tcW w:w="1701" w:type="dxa"/>
            <w:vAlign w:val="center"/>
          </w:tcPr>
          <w:p w14:paraId="19D3B49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9C3E31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AE21B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710382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48210B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 w:rsidRPr="00166F42">
              <w:rPr>
                <w:rFonts w:ascii="Tahoma" w:hAnsi="Tahoma" w:cs="Tahoma"/>
              </w:rPr>
              <w:t xml:space="preserve">Опцион на </w:t>
            </w:r>
            <w:r>
              <w:rPr>
                <w:rFonts w:ascii="Tahoma" w:hAnsi="Tahoma" w:cs="Tahoma"/>
              </w:rPr>
              <w:t>о</w:t>
            </w:r>
            <w:r w:rsidRPr="003E2C87">
              <w:rPr>
                <w:rFonts w:ascii="Tahoma" w:hAnsi="Tahoma" w:cs="Tahoma"/>
              </w:rPr>
              <w:t>быкновенные акции ПАО «Группа Позитив»</w:t>
            </w:r>
          </w:p>
        </w:tc>
        <w:tc>
          <w:tcPr>
            <w:tcW w:w="4111" w:type="dxa"/>
            <w:vAlign w:val="center"/>
          </w:tcPr>
          <w:p w14:paraId="2E285ECA" w14:textId="5CAF4731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 w:rsidRPr="003E2C87">
              <w:rPr>
                <w:rFonts w:ascii="Tahoma" w:hAnsi="Tahoma" w:cs="Tahoma"/>
              </w:rPr>
              <w:t>Обыкновенные акции ПАО «Группа Позитив»</w:t>
            </w:r>
            <w:r w:rsidR="00D612CB" w:rsidRPr="00D612CB">
              <w:rPr>
                <w:rFonts w:ascii="Tahoma" w:hAnsi="Tahoma" w:cs="Tahoma"/>
              </w:rPr>
              <w:t>,</w:t>
            </w:r>
            <w:r w:rsidRPr="003E2C87">
              <w:rPr>
                <w:rFonts w:ascii="Tahoma" w:hAnsi="Tahoma" w:cs="Tahoma"/>
              </w:rPr>
              <w:t xml:space="preserve"> ISIN</w:t>
            </w:r>
            <w:r w:rsidR="00D612CB" w:rsidRPr="00AA6DDC">
              <w:rPr>
                <w:rFonts w:ascii="Tahoma" w:hAnsi="Tahoma" w:cs="Tahoma"/>
              </w:rPr>
              <w:t>:</w:t>
            </w:r>
            <w:r w:rsidRPr="003E2C87">
              <w:rPr>
                <w:rFonts w:ascii="Tahoma" w:hAnsi="Tahoma" w:cs="Tahoma"/>
              </w:rPr>
              <w:t xml:space="preserve"> RU000A103X66</w:t>
            </w:r>
          </w:p>
        </w:tc>
        <w:tc>
          <w:tcPr>
            <w:tcW w:w="1417" w:type="dxa"/>
            <w:vAlign w:val="center"/>
          </w:tcPr>
          <w:p w14:paraId="5DC9434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D26B0B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0573A79" w14:textId="77777777" w:rsidR="00FD6DBE" w:rsidRPr="00354C3C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4D6AF871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BC9E1A4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D82E28" w:rsidRPr="00CD2745" w14:paraId="7196BEB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F3A96CC" w14:textId="77777777" w:rsidR="00D82E28" w:rsidRPr="004F5DA5" w:rsidRDefault="00D82E28" w:rsidP="00D82E28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5B7E215" w14:textId="3FA11C98" w:rsidR="00D82E28" w:rsidRPr="00166F42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3A690E87" w14:textId="4B4B1B0F" w:rsidR="00D82E28" w:rsidRPr="009D27AB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  <w:r w:rsidR="00D612CB" w:rsidRPr="00D612C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ISIN</w:t>
            </w:r>
            <w:r w:rsidR="00D612CB" w:rsidRPr="00AA6DDC">
              <w:rPr>
                <w:rFonts w:ascii="Tahoma" w:hAnsi="Tahoma" w:cs="Tahoma"/>
              </w:rPr>
              <w:t>:</w:t>
            </w:r>
            <w:r>
              <w:t xml:space="preserve"> </w:t>
            </w:r>
            <w:r w:rsidRPr="009D27AB">
              <w:rPr>
                <w:rFonts w:ascii="Tahoma" w:hAnsi="Tahoma" w:cs="Tahoma"/>
              </w:rPr>
              <w:t>RU000A0JNAB6</w:t>
            </w:r>
          </w:p>
        </w:tc>
        <w:tc>
          <w:tcPr>
            <w:tcW w:w="1417" w:type="dxa"/>
            <w:vAlign w:val="center"/>
          </w:tcPr>
          <w:p w14:paraId="6B5F3525" w14:textId="2A10E981" w:rsidR="00D82E28" w:rsidRPr="00F62F63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86C00E" w14:textId="12D0E1EB" w:rsidR="00D82E28" w:rsidRPr="00F62F63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282BD6A" w14:textId="71E81317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7CA96DA9" w14:textId="50FB2F14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E0EAA7" w14:textId="627213CA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AB6CA9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7FA40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6986BA2" w14:textId="345EB33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</w:p>
        </w:tc>
        <w:tc>
          <w:tcPr>
            <w:tcW w:w="4111" w:type="dxa"/>
            <w:vAlign w:val="center"/>
          </w:tcPr>
          <w:p w14:paraId="6065EE0B" w14:textId="1B59FCBF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  <w:r w:rsidR="00D612CB" w:rsidRPr="00D612CB">
              <w:rPr>
                <w:rFonts w:ascii="Tahoma" w:hAnsi="Tahoma" w:cs="Tahoma"/>
                <w:szCs w:val="18"/>
              </w:rPr>
              <w:t>,</w:t>
            </w:r>
            <w:r w:rsidRPr="00FD6DBE">
              <w:rPr>
                <w:rFonts w:ascii="Tahoma" w:hAnsi="Tahoma" w:cs="Tahoma"/>
                <w:szCs w:val="18"/>
              </w:rPr>
              <w:t xml:space="preserve"> ISIN</w:t>
            </w:r>
            <w:r w:rsidR="00D612CB" w:rsidRPr="00AA6DDC">
              <w:rPr>
                <w:rFonts w:ascii="Tahoma" w:hAnsi="Tahoma" w:cs="Tahoma"/>
                <w:szCs w:val="18"/>
              </w:rPr>
              <w:t>:</w:t>
            </w:r>
            <w:r w:rsidRPr="00FD6DBE">
              <w:rPr>
                <w:rFonts w:ascii="Tahoma" w:hAnsi="Tahoma" w:cs="Tahoma"/>
                <w:szCs w:val="18"/>
              </w:rPr>
              <w:t xml:space="preserve"> RU000A106YF0</w:t>
            </w:r>
          </w:p>
        </w:tc>
        <w:tc>
          <w:tcPr>
            <w:tcW w:w="1417" w:type="dxa"/>
            <w:vAlign w:val="center"/>
          </w:tcPr>
          <w:p w14:paraId="416A0964" w14:textId="687275F0" w:rsidR="00FD6DBE" w:rsidRPr="00F62F63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BF722AA" w14:textId="0A236403" w:rsidR="00FD6DBE" w:rsidRPr="00F62F63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2F9855C" w14:textId="28437E67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  <w:lang w:val="en-US"/>
              </w:rPr>
              <w:t>VKCO</w:t>
            </w:r>
          </w:p>
        </w:tc>
        <w:tc>
          <w:tcPr>
            <w:tcW w:w="1701" w:type="dxa"/>
            <w:vAlign w:val="center"/>
          </w:tcPr>
          <w:p w14:paraId="697DFDB3" w14:textId="50E5126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17AAFCB" w14:textId="7EFF11DD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ED69B1" w:rsidRPr="00CD2745" w14:paraId="5B52A89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C9AAAC2" w14:textId="77777777" w:rsidR="00ED69B1" w:rsidRPr="004F5DA5" w:rsidRDefault="00ED69B1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49590B9" w14:textId="7504716B" w:rsidR="00ED69B1" w:rsidRPr="00ED69B1" w:rsidRDefault="00ED69B1" w:rsidP="00CF1D3B">
            <w:pPr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</w:rPr>
              <w:t xml:space="preserve">Опцион на обыкновенные акции </w:t>
            </w:r>
            <w:r w:rsidRPr="00CF1D3B">
              <w:rPr>
                <w:rFonts w:ascii="Tahoma" w:hAnsi="Tahoma" w:cs="Tahoma" w:hint="eastAsia"/>
              </w:rPr>
              <w:t>ПАО</w:t>
            </w:r>
            <w:r w:rsidRPr="00CF1D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CF1D3B">
              <w:rPr>
                <w:rFonts w:ascii="Tahoma" w:hAnsi="Tahoma" w:cs="Tahoma" w:hint="eastAsi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18DDBE2F" w14:textId="6641ED3F" w:rsidR="00ED69B1" w:rsidRPr="00ED69B1" w:rsidRDefault="00ED69B1" w:rsidP="00FD6DBE">
            <w:pPr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</w:rPr>
              <w:t>О</w:t>
            </w:r>
            <w:r w:rsidRPr="00E10EC4">
              <w:rPr>
                <w:rFonts w:ascii="Tahoma" w:hAnsi="Tahoma" w:cs="Tahoma"/>
              </w:rPr>
              <w:t xml:space="preserve">быкновенные акции ПАО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E10EC4">
              <w:rPr>
                <w:rFonts w:ascii="Tahoma" w:hAnsi="Tahoma" w:cs="Tahom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  <w:r w:rsidR="00D612CB" w:rsidRPr="00D612C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ISIN</w:t>
            </w:r>
            <w:r w:rsidR="00D612CB" w:rsidRPr="00D612CB">
              <w:rPr>
                <w:rFonts w:ascii="Tahoma" w:hAnsi="Tahoma" w:cs="Tahoma"/>
              </w:rPr>
              <w:t>:</w:t>
            </w:r>
            <w:r w:rsidRPr="00CF1D3B">
              <w:rPr>
                <w:rFonts w:ascii="Tahoma" w:hAnsi="Tahoma" w:cs="Tahoma"/>
              </w:rPr>
              <w:t xml:space="preserve"> </w:t>
            </w:r>
            <w:r w:rsidRPr="00ED69B1">
              <w:rPr>
                <w:rFonts w:ascii="Tahoma" w:hAnsi="Tahoma" w:cs="Tahoma"/>
              </w:rPr>
              <w:t>RU000A0ZZAC4</w:t>
            </w:r>
          </w:p>
        </w:tc>
        <w:tc>
          <w:tcPr>
            <w:tcW w:w="1417" w:type="dxa"/>
            <w:vAlign w:val="center"/>
          </w:tcPr>
          <w:p w14:paraId="0DD5D4AA" w14:textId="0A3CE022" w:rsidR="00ED69B1" w:rsidRPr="00F62F63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14:paraId="5F4C2B16" w14:textId="5C6F2D66" w:rsidR="00ED69B1" w:rsidRPr="00F62F63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81DE714" w14:textId="376C34FF" w:rsidR="00ED69B1" w:rsidRPr="00ED69B1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ED69B1">
              <w:rPr>
                <w:rFonts w:ascii="Tahoma" w:hAnsi="Tahoma" w:cs="Tahoma"/>
                <w:lang w:val="en-US"/>
              </w:rPr>
              <w:t>SVCB</w:t>
            </w:r>
          </w:p>
        </w:tc>
        <w:tc>
          <w:tcPr>
            <w:tcW w:w="1701" w:type="dxa"/>
            <w:vAlign w:val="center"/>
          </w:tcPr>
          <w:p w14:paraId="7E3695F2" w14:textId="300D5291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0.01 </w:t>
            </w: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F236126" w14:textId="548E37CF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2A7D72" w:rsidRPr="00CD2745" w14:paraId="33EFE2E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3CB09E5" w14:textId="77777777" w:rsidR="002A7D72" w:rsidRPr="004F5DA5" w:rsidRDefault="002A7D72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F475729" w14:textId="0C875065" w:rsidR="002A7D72" w:rsidRPr="00ED69B1" w:rsidRDefault="002A7D7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2A7D72">
              <w:rPr>
                <w:rFonts w:ascii="Tahoma" w:hAnsi="Tahoma" w:cs="Tahoma"/>
              </w:rPr>
              <w:t>обыкновенные акции МКПАО "ТКС Холдинг"</w:t>
            </w:r>
          </w:p>
        </w:tc>
        <w:tc>
          <w:tcPr>
            <w:tcW w:w="4111" w:type="dxa"/>
            <w:vAlign w:val="center"/>
          </w:tcPr>
          <w:p w14:paraId="3EE77685" w14:textId="0A377D21" w:rsidR="002A7D72" w:rsidRDefault="002A7D72" w:rsidP="002A7D72">
            <w:pPr>
              <w:jc w:val="center"/>
              <w:rPr>
                <w:rFonts w:ascii="Tahoma" w:hAnsi="Tahoma" w:cs="Tahoma"/>
              </w:rPr>
            </w:pPr>
            <w:r w:rsidRPr="002A7D72">
              <w:rPr>
                <w:rFonts w:ascii="Tahoma" w:hAnsi="Tahoma" w:cs="Tahoma"/>
              </w:rPr>
              <w:t>Обыкновенные акции МКПАО "ТКС Холдинг"</w:t>
            </w:r>
            <w:r w:rsidR="00D612CB" w:rsidRPr="00D612CB">
              <w:rPr>
                <w:rFonts w:ascii="Tahoma" w:hAnsi="Tahoma" w:cs="Tahoma"/>
              </w:rPr>
              <w:t>,</w:t>
            </w:r>
            <w:r w:rsidRPr="002A7D72">
              <w:rPr>
                <w:rFonts w:ascii="Tahoma" w:hAnsi="Tahoma" w:cs="Tahoma"/>
              </w:rPr>
              <w:t xml:space="preserve"> ISIN</w:t>
            </w:r>
            <w:r w:rsidR="00D612CB" w:rsidRPr="00AA6DDC">
              <w:rPr>
                <w:rFonts w:ascii="Tahoma" w:hAnsi="Tahoma" w:cs="Tahoma"/>
              </w:rPr>
              <w:t>:</w:t>
            </w:r>
            <w:r w:rsidRPr="002A7D72">
              <w:rPr>
                <w:rFonts w:ascii="Tahoma" w:hAnsi="Tahoma" w:cs="Tahoma"/>
              </w:rPr>
              <w:t xml:space="preserve"> RU000A107UL4</w:t>
            </w:r>
          </w:p>
        </w:tc>
        <w:tc>
          <w:tcPr>
            <w:tcW w:w="1417" w:type="dxa"/>
            <w:vAlign w:val="center"/>
          </w:tcPr>
          <w:p w14:paraId="50BA8FC0" w14:textId="45F591A8" w:rsidR="002A7D72" w:rsidRPr="00F62F63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2029A4E0" w14:textId="78E1A10F" w:rsidR="002A7D72" w:rsidRPr="00F62F63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8A6DCF8" w14:textId="277A8F64" w:rsidR="002A7D72" w:rsidRPr="00EE7E74" w:rsidRDefault="00EE7E74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</w:t>
            </w:r>
          </w:p>
        </w:tc>
        <w:tc>
          <w:tcPr>
            <w:tcW w:w="1701" w:type="dxa"/>
            <w:vAlign w:val="center"/>
          </w:tcPr>
          <w:p w14:paraId="34780DC1" w14:textId="02826C58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CB48219" w14:textId="60830FB5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21675B" w:rsidRPr="00CD2745" w14:paraId="30F2992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FAF7347" w14:textId="77777777" w:rsidR="0021675B" w:rsidRPr="004F5DA5" w:rsidRDefault="0021675B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8E65BB7" w14:textId="145926E8" w:rsid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="0021675B" w:rsidRPr="0021675B">
              <w:rPr>
                <w:rFonts w:ascii="Tahoma" w:hAnsi="Tahoma" w:cs="Tahoma"/>
              </w:rPr>
              <w:t>обыкновенные акции МКПАО "ЯНДЕКС"</w:t>
            </w:r>
          </w:p>
        </w:tc>
        <w:tc>
          <w:tcPr>
            <w:tcW w:w="4111" w:type="dxa"/>
            <w:vAlign w:val="center"/>
          </w:tcPr>
          <w:p w14:paraId="085924C5" w14:textId="0DC81C67" w:rsidR="0021675B" w:rsidRPr="002A7D72" w:rsidRDefault="0021675B" w:rsidP="002A7D72">
            <w:pPr>
              <w:jc w:val="center"/>
              <w:rPr>
                <w:rFonts w:ascii="Tahoma" w:hAnsi="Tahoma" w:cs="Tahoma"/>
              </w:rPr>
            </w:pPr>
            <w:r w:rsidRPr="0021675B">
              <w:rPr>
                <w:rFonts w:ascii="Tahoma" w:hAnsi="Tahoma" w:cs="Tahoma"/>
              </w:rPr>
              <w:t>Обыкновенные акции МКПАО "ЯНДЕКС"</w:t>
            </w:r>
            <w:r w:rsidR="00D612CB" w:rsidRPr="003F5733">
              <w:rPr>
                <w:rFonts w:ascii="Tahoma" w:hAnsi="Tahoma" w:cs="Tahoma"/>
              </w:rPr>
              <w:t xml:space="preserve">, </w:t>
            </w:r>
            <w:r w:rsidRPr="0021675B">
              <w:rPr>
                <w:rFonts w:ascii="Tahoma" w:hAnsi="Tahoma" w:cs="Tahoma"/>
              </w:rPr>
              <w:t>ISIN</w:t>
            </w:r>
            <w:r w:rsidR="00D612CB" w:rsidRPr="003F5733">
              <w:rPr>
                <w:rFonts w:ascii="Tahoma" w:hAnsi="Tahoma" w:cs="Tahoma"/>
              </w:rPr>
              <w:t>:</w:t>
            </w:r>
            <w:r w:rsidRPr="0021675B">
              <w:rPr>
                <w:rFonts w:ascii="Tahoma" w:hAnsi="Tahoma" w:cs="Tahoma"/>
              </w:rPr>
              <w:t xml:space="preserve"> RU000A107T19</w:t>
            </w:r>
          </w:p>
        </w:tc>
        <w:tc>
          <w:tcPr>
            <w:tcW w:w="1417" w:type="dxa"/>
            <w:vAlign w:val="center"/>
          </w:tcPr>
          <w:p w14:paraId="5EE45043" w14:textId="7E1743F6" w:rsidR="0021675B" w:rsidRPr="00F62F63" w:rsidRDefault="00FC35B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77E80B1B" w14:textId="21C210EB" w:rsidR="0021675B" w:rsidRPr="00F62F63" w:rsidRDefault="0021675B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BFEF2D0" w14:textId="708E64E8" w:rsidR="0021675B" w:rsidRPr="00094102" w:rsidRDefault="0021675B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YDEX</w:t>
            </w:r>
          </w:p>
        </w:tc>
        <w:tc>
          <w:tcPr>
            <w:tcW w:w="1701" w:type="dxa"/>
            <w:vAlign w:val="center"/>
          </w:tcPr>
          <w:p w14:paraId="1EB5CD89" w14:textId="168501A3" w:rsid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F9ACE8C" w14:textId="33EE30D6" w:rsidR="0021675B" w:rsidRDefault="00FC35BE" w:rsidP="002A7D72">
            <w:pPr>
              <w:jc w:val="center"/>
              <w:rPr>
                <w:rFonts w:ascii="Tahoma" w:hAnsi="Tahoma" w:cs="Tahoma"/>
              </w:rPr>
            </w:pPr>
            <w:r w:rsidRPr="00FC35BE"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1BB8B1E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7B146F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CBA916" w14:textId="45DBB860" w:rsidR="00C53DFE" w:rsidRP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</w:t>
            </w:r>
            <w:r w:rsidR="00C53DFE" w:rsidRPr="00C53DFE">
              <w:rPr>
                <w:rFonts w:ascii="Tahoma" w:hAnsi="Tahoma" w:cs="Tahoma"/>
              </w:rPr>
              <w:t>на обыкновенные акции ПАО Группа Астра</w:t>
            </w:r>
          </w:p>
        </w:tc>
        <w:tc>
          <w:tcPr>
            <w:tcW w:w="4111" w:type="dxa"/>
            <w:vAlign w:val="center"/>
          </w:tcPr>
          <w:p w14:paraId="7A2284C2" w14:textId="0A4EC734" w:rsidR="00C53DFE" w:rsidRPr="0021675B" w:rsidRDefault="00C53DFE" w:rsidP="002A7D72">
            <w:pPr>
              <w:jc w:val="center"/>
              <w:rPr>
                <w:rFonts w:ascii="Tahoma" w:hAnsi="Tahoma" w:cs="Tahoma"/>
              </w:rPr>
            </w:pPr>
            <w:r w:rsidRPr="00C53DFE">
              <w:rPr>
                <w:rFonts w:ascii="Tahoma" w:hAnsi="Tahoma" w:cs="Tahoma"/>
              </w:rPr>
              <w:t>Обыкновенные акции ПАО Группа Астра</w:t>
            </w:r>
            <w:r w:rsidR="00D612CB" w:rsidRPr="003F5733">
              <w:rPr>
                <w:rFonts w:ascii="Tahoma" w:hAnsi="Tahoma" w:cs="Tahoma"/>
              </w:rPr>
              <w:t>,</w:t>
            </w:r>
            <w:r w:rsidRPr="00C53DFE">
              <w:rPr>
                <w:rFonts w:ascii="Tahoma" w:hAnsi="Tahoma" w:cs="Tahoma"/>
              </w:rPr>
              <w:t xml:space="preserve"> ISIN</w:t>
            </w:r>
            <w:r w:rsidR="00567A19" w:rsidRPr="003F5733">
              <w:rPr>
                <w:rFonts w:ascii="Tahoma" w:hAnsi="Tahoma" w:cs="Tahoma"/>
              </w:rPr>
              <w:t>:</w:t>
            </w:r>
            <w:r w:rsidRPr="00C53DFE">
              <w:rPr>
                <w:rFonts w:ascii="Tahoma" w:hAnsi="Tahoma" w:cs="Tahoma"/>
              </w:rPr>
              <w:t xml:space="preserve"> RU000A106T36</w:t>
            </w:r>
          </w:p>
        </w:tc>
        <w:tc>
          <w:tcPr>
            <w:tcW w:w="1417" w:type="dxa"/>
            <w:vAlign w:val="center"/>
          </w:tcPr>
          <w:p w14:paraId="194C0987" w14:textId="173F563D" w:rsidR="00C53DFE" w:rsidRPr="00F62F6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5164E0C" w14:textId="3523A408" w:rsidR="00C53DFE" w:rsidRPr="00F62F6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3BCD936" w14:textId="4E427291" w:rsidR="00C53DFE" w:rsidRPr="00094102" w:rsidRDefault="00C53DF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ASTR</w:t>
            </w:r>
          </w:p>
        </w:tc>
        <w:tc>
          <w:tcPr>
            <w:tcW w:w="1701" w:type="dxa"/>
            <w:vAlign w:val="center"/>
          </w:tcPr>
          <w:p w14:paraId="4EE59E98" w14:textId="079C7800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020CFA" w14:textId="1F8DE9A1" w:rsid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4CB3B0A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0B7C5F3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531CADA" w14:textId="318682D3" w:rsidR="00C53DFE" w:rsidRP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</w:t>
            </w:r>
            <w:r w:rsidRPr="00094102">
              <w:rPr>
                <w:rFonts w:ascii="Tahoma" w:hAnsi="Tahoma" w:cs="Tahoma"/>
              </w:rPr>
              <w:t xml:space="preserve"> </w:t>
            </w:r>
            <w:r w:rsidRPr="00C53DFE">
              <w:rPr>
                <w:rFonts w:ascii="Tahoma" w:hAnsi="Tahoma" w:cs="Tahoma"/>
              </w:rPr>
              <w:t>обыкновенные</w:t>
            </w:r>
            <w:r w:rsidRPr="003F5733">
              <w:rPr>
                <w:rFonts w:ascii="Tahoma" w:hAnsi="Tahoma" w:cs="Tahoma"/>
              </w:rPr>
              <w:t xml:space="preserve"> </w:t>
            </w:r>
            <w:r w:rsidRPr="00C53DFE">
              <w:rPr>
                <w:rFonts w:ascii="Tahoma" w:hAnsi="Tahoma" w:cs="Tahoma"/>
              </w:rPr>
              <w:t>акции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523FE34A" w14:textId="0BB3B9DE" w:rsidR="00C53DFE" w:rsidRP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C917A2">
              <w:rPr>
                <w:rFonts w:ascii="Tahoma" w:hAnsi="Tahoma" w:cs="Tahoma"/>
              </w:rPr>
              <w:t>быкновенные акции ПАО "</w:t>
            </w:r>
            <w:proofErr w:type="spellStart"/>
            <w:r w:rsidRPr="00C917A2">
              <w:rPr>
                <w:rFonts w:ascii="Tahoma" w:hAnsi="Tahoma" w:cs="Tahoma"/>
              </w:rPr>
              <w:t>Диасофт</w:t>
            </w:r>
            <w:proofErr w:type="spellEnd"/>
            <w:r w:rsidRPr="00C917A2">
              <w:rPr>
                <w:rFonts w:ascii="Tahoma" w:hAnsi="Tahoma" w:cs="Tahoma"/>
              </w:rPr>
              <w:t>"</w:t>
            </w:r>
            <w:r w:rsidR="00D612CB" w:rsidRPr="003F5733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="00D612CB">
              <w:rPr>
                <w:rFonts w:ascii="Tahoma" w:hAnsi="Tahoma" w:cs="Tahoma"/>
                <w:lang w:val="en-US"/>
              </w:rPr>
              <w:t>ISIN</w:t>
            </w:r>
            <w:r w:rsidR="00D612CB" w:rsidRPr="003F5733">
              <w:rPr>
                <w:rFonts w:ascii="Tahoma" w:hAnsi="Tahoma" w:cs="Tahoma"/>
              </w:rPr>
              <w:t xml:space="preserve">: </w:t>
            </w:r>
            <w:r w:rsidRPr="00C917A2">
              <w:rPr>
                <w:rFonts w:ascii="Tahoma" w:hAnsi="Tahoma" w:cs="Tahoma"/>
              </w:rPr>
              <w:t>RU000A107ER5</w:t>
            </w:r>
          </w:p>
        </w:tc>
        <w:tc>
          <w:tcPr>
            <w:tcW w:w="1417" w:type="dxa"/>
            <w:vAlign w:val="center"/>
          </w:tcPr>
          <w:p w14:paraId="77FF5C68" w14:textId="73DC0D8A" w:rsidR="00C53DFE" w:rsidRPr="00F62F6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A88E969" w14:textId="33588DF0" w:rsidR="00C53DFE" w:rsidRPr="00F62F6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16F1CB7" w14:textId="77ADB56E" w:rsidR="00C53DFE" w:rsidRPr="003F5733" w:rsidRDefault="00C53DF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DIAS</w:t>
            </w:r>
          </w:p>
        </w:tc>
        <w:tc>
          <w:tcPr>
            <w:tcW w:w="1701" w:type="dxa"/>
            <w:vAlign w:val="center"/>
          </w:tcPr>
          <w:p w14:paraId="6EAD5B77" w14:textId="18B44ACE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B9ACCE9" w14:textId="224885B4" w:rsid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7E700F0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233BE31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6143B62" w14:textId="50B571C6" w:rsidR="00C53DFE" w:rsidRP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обыкновенные акции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ПАО "Мосэнерго"</w:t>
            </w:r>
          </w:p>
        </w:tc>
        <w:tc>
          <w:tcPr>
            <w:tcW w:w="4111" w:type="dxa"/>
            <w:vAlign w:val="center"/>
          </w:tcPr>
          <w:p w14:paraId="013719CA" w14:textId="0EE991AE" w:rsidR="00C53DFE" w:rsidRP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C917A2">
              <w:rPr>
                <w:rFonts w:ascii="Tahoma" w:hAnsi="Tahoma" w:cs="Tahoma"/>
              </w:rPr>
              <w:t>быкновенные акции ПАО "Мосэнерго"</w:t>
            </w:r>
            <w:r w:rsidR="00D612CB" w:rsidRPr="003F5733">
              <w:rPr>
                <w:rFonts w:ascii="Tahoma" w:hAnsi="Tahoma" w:cs="Tahoma"/>
              </w:rPr>
              <w:t xml:space="preserve">, </w:t>
            </w:r>
            <w:r w:rsidR="00D612CB">
              <w:rPr>
                <w:rFonts w:ascii="Tahoma" w:hAnsi="Tahoma" w:cs="Tahoma"/>
                <w:lang w:val="en-US"/>
              </w:rPr>
              <w:t>ISIN</w:t>
            </w:r>
            <w:r w:rsidR="00D612CB" w:rsidRPr="0080596C">
              <w:rPr>
                <w:rFonts w:ascii="Tahoma" w:hAnsi="Tahoma" w:cs="Tahoma"/>
              </w:rPr>
              <w:t>:</w:t>
            </w:r>
            <w:r w:rsidR="00D612CB" w:rsidRPr="003F5733">
              <w:rPr>
                <w:rFonts w:ascii="Tahoma" w:hAnsi="Tahoma" w:cs="Tahoma"/>
              </w:rPr>
              <w:t xml:space="preserve"> </w:t>
            </w:r>
            <w:r w:rsidRPr="00C917A2">
              <w:rPr>
                <w:rFonts w:ascii="Tahoma" w:hAnsi="Tahoma" w:cs="Tahoma"/>
              </w:rPr>
              <w:t>RU0008958863</w:t>
            </w:r>
          </w:p>
        </w:tc>
        <w:tc>
          <w:tcPr>
            <w:tcW w:w="1417" w:type="dxa"/>
            <w:vAlign w:val="center"/>
          </w:tcPr>
          <w:p w14:paraId="39E4FF2C" w14:textId="698055DA" w:rsidR="00C53DFE" w:rsidRPr="00F62F6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vAlign w:val="center"/>
          </w:tcPr>
          <w:p w14:paraId="211E1BF2" w14:textId="674A1184" w:rsidR="00C53DFE" w:rsidRPr="00F62F6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B22D381" w14:textId="7E41D5AF" w:rsidR="00C53DFE" w:rsidRDefault="00CE74C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MSNG</w:t>
            </w:r>
          </w:p>
        </w:tc>
        <w:tc>
          <w:tcPr>
            <w:tcW w:w="1701" w:type="dxa"/>
            <w:vAlign w:val="center"/>
          </w:tcPr>
          <w:p w14:paraId="2218C55F" w14:textId="57A67A28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B588842" w14:textId="7FE53942" w:rsidR="00C53DFE" w:rsidRPr="003F5733" w:rsidRDefault="00C917A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  <w:r w:rsidR="00D612CB">
              <w:rPr>
                <w:rFonts w:ascii="Tahoma" w:hAnsi="Tahoma" w:cs="Tahoma"/>
              </w:rPr>
              <w:t xml:space="preserve"> </w:t>
            </w:r>
            <w:r w:rsidR="00D612CB">
              <w:rPr>
                <w:rFonts w:ascii="Tahoma" w:hAnsi="Tahoma" w:cs="Tahoma"/>
                <w:lang w:val="en-US"/>
              </w:rPr>
              <w:t>RUB</w:t>
            </w:r>
          </w:p>
        </w:tc>
      </w:tr>
    </w:tbl>
    <w:p w14:paraId="0C0AA736" w14:textId="77777777" w:rsidR="00FD6DBE" w:rsidRPr="00CD2745" w:rsidRDefault="00FD6DBE" w:rsidP="00FD6DBE">
      <w:pPr>
        <w:jc w:val="both"/>
        <w:rPr>
          <w:rFonts w:ascii="Tahoma" w:hAnsi="Tahoma" w:cs="Tahoma"/>
        </w:rPr>
      </w:pPr>
    </w:p>
    <w:p w14:paraId="38345EA3" w14:textId="09FCA682" w:rsidR="00FD6DBE" w:rsidRPr="00300B62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</w:pPr>
    </w:p>
    <w:sectPr w:rsidR="00FD6DBE" w:rsidRPr="00300B62" w:rsidSect="00094102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4FCB3" w14:textId="77777777" w:rsidR="00E87D00" w:rsidRDefault="00E87D00">
      <w:pPr>
        <w:spacing w:after="0" w:line="240" w:lineRule="auto"/>
      </w:pPr>
      <w:r>
        <w:separator/>
      </w:r>
    </w:p>
  </w:endnote>
  <w:endnote w:type="continuationSeparator" w:id="0">
    <w:p w14:paraId="0CBA7BC6" w14:textId="77777777" w:rsidR="00E87D00" w:rsidRDefault="00E8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3214" w14:textId="77777777" w:rsidR="003949F4" w:rsidRDefault="003949F4" w:rsidP="00094102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63FD1C" w14:textId="77777777" w:rsidR="003949F4" w:rsidRDefault="003949F4" w:rsidP="0009410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D4D2" w14:textId="77777777" w:rsidR="003949F4" w:rsidRPr="00292051" w:rsidRDefault="003949F4" w:rsidP="00094102">
    <w:pPr>
      <w:pStyle w:val="af"/>
      <w:framePr w:wrap="around" w:vAnchor="text" w:hAnchor="margin" w:xAlign="right" w:y="1"/>
      <w:rPr>
        <w:rStyle w:val="af2"/>
        <w:rFonts w:ascii="Arial" w:hAnsi="Arial" w:cs="Arial"/>
        <w:sz w:val="20"/>
        <w:szCs w:val="20"/>
      </w:rPr>
    </w:pPr>
    <w:r w:rsidRPr="00292051">
      <w:rPr>
        <w:rStyle w:val="af2"/>
        <w:rFonts w:ascii="Arial" w:hAnsi="Arial" w:cs="Arial"/>
        <w:sz w:val="20"/>
        <w:szCs w:val="20"/>
      </w:rPr>
      <w:fldChar w:fldCharType="begin"/>
    </w:r>
    <w:r w:rsidRPr="00292051">
      <w:rPr>
        <w:rStyle w:val="af2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2"/>
        <w:rFonts w:ascii="Arial" w:hAnsi="Arial" w:cs="Arial"/>
        <w:sz w:val="20"/>
        <w:szCs w:val="20"/>
      </w:rPr>
      <w:fldChar w:fldCharType="separate"/>
    </w:r>
    <w:r>
      <w:rPr>
        <w:rStyle w:val="af2"/>
        <w:rFonts w:ascii="Arial" w:hAnsi="Arial" w:cs="Arial"/>
        <w:noProof/>
        <w:sz w:val="20"/>
        <w:szCs w:val="20"/>
      </w:rPr>
      <w:t>4</w:t>
    </w:r>
    <w:r w:rsidRPr="00292051">
      <w:rPr>
        <w:rStyle w:val="af2"/>
        <w:rFonts w:ascii="Arial" w:hAnsi="Arial" w:cs="Arial"/>
        <w:sz w:val="20"/>
        <w:szCs w:val="20"/>
      </w:rPr>
      <w:fldChar w:fldCharType="end"/>
    </w:r>
  </w:p>
  <w:p w14:paraId="55F652E8" w14:textId="77777777" w:rsidR="003949F4" w:rsidRDefault="003949F4" w:rsidP="0009410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85458" w14:textId="77777777" w:rsidR="00E87D00" w:rsidRDefault="00E87D00">
      <w:pPr>
        <w:spacing w:after="0" w:line="240" w:lineRule="auto"/>
      </w:pPr>
      <w:r>
        <w:separator/>
      </w:r>
    </w:p>
  </w:footnote>
  <w:footnote w:type="continuationSeparator" w:id="0">
    <w:p w14:paraId="570E8D49" w14:textId="77777777" w:rsidR="00E87D00" w:rsidRDefault="00E8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CA6E" w14:textId="77777777" w:rsidR="003949F4" w:rsidRPr="0035076F" w:rsidRDefault="003949F4" w:rsidP="00094102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3949F4" w:rsidRDefault="00394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7738" w14:textId="6B36BA40" w:rsidR="003949F4" w:rsidRDefault="003949F4" w:rsidP="00FD6DBE">
    <w:pPr>
      <w:pStyle w:val="af1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094102"/>
    <w:rsid w:val="00130FDD"/>
    <w:rsid w:val="001C04D6"/>
    <w:rsid w:val="001F4FD5"/>
    <w:rsid w:val="00206694"/>
    <w:rsid w:val="0021261A"/>
    <w:rsid w:val="0021675B"/>
    <w:rsid w:val="002370B2"/>
    <w:rsid w:val="0026409B"/>
    <w:rsid w:val="002A7D72"/>
    <w:rsid w:val="002E7F12"/>
    <w:rsid w:val="003863B4"/>
    <w:rsid w:val="003949F4"/>
    <w:rsid w:val="003955BC"/>
    <w:rsid w:val="003E227C"/>
    <w:rsid w:val="003F5733"/>
    <w:rsid w:val="003F6133"/>
    <w:rsid w:val="00481913"/>
    <w:rsid w:val="004A3497"/>
    <w:rsid w:val="004D051B"/>
    <w:rsid w:val="005104AD"/>
    <w:rsid w:val="00567A19"/>
    <w:rsid w:val="00637554"/>
    <w:rsid w:val="006713BB"/>
    <w:rsid w:val="0067228B"/>
    <w:rsid w:val="006B6AA0"/>
    <w:rsid w:val="00734899"/>
    <w:rsid w:val="007476CE"/>
    <w:rsid w:val="007A4DEF"/>
    <w:rsid w:val="007F6EA9"/>
    <w:rsid w:val="00811EFB"/>
    <w:rsid w:val="00891C41"/>
    <w:rsid w:val="009013CE"/>
    <w:rsid w:val="00942B07"/>
    <w:rsid w:val="0099573E"/>
    <w:rsid w:val="009C1958"/>
    <w:rsid w:val="009D3488"/>
    <w:rsid w:val="00A34DCC"/>
    <w:rsid w:val="00A42900"/>
    <w:rsid w:val="00A47B48"/>
    <w:rsid w:val="00A57710"/>
    <w:rsid w:val="00A93B2E"/>
    <w:rsid w:val="00AA6DDC"/>
    <w:rsid w:val="00C0784E"/>
    <w:rsid w:val="00C53DFE"/>
    <w:rsid w:val="00C917A2"/>
    <w:rsid w:val="00CE74CD"/>
    <w:rsid w:val="00CF1D3B"/>
    <w:rsid w:val="00D612CB"/>
    <w:rsid w:val="00D82E28"/>
    <w:rsid w:val="00D931D0"/>
    <w:rsid w:val="00E24E90"/>
    <w:rsid w:val="00E87D00"/>
    <w:rsid w:val="00ED69B1"/>
    <w:rsid w:val="00EE7E74"/>
    <w:rsid w:val="00F05BCF"/>
    <w:rsid w:val="00F62F63"/>
    <w:rsid w:val="00FC35BE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FD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FD6DBE"/>
  </w:style>
  <w:style w:type="paragraph" w:customStyle="1" w:styleId="af1">
    <w:name w:val="Текст таб"/>
    <w:basedOn w:val="a3"/>
    <w:rsid w:val="00FD6DBE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2">
    <w:name w:val="page number"/>
    <w:basedOn w:val="a4"/>
    <w:rsid w:val="00FD6DBE"/>
  </w:style>
  <w:style w:type="table" w:styleId="af3">
    <w:name w:val="Table Grid"/>
    <w:basedOn w:val="a5"/>
    <w:rsid w:val="00FD6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3"/>
    <w:link w:val="af5"/>
    <w:uiPriority w:val="99"/>
    <w:semiHidden/>
    <w:unhideWhenUsed/>
    <w:rsid w:val="00CF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CF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4</cp:revision>
  <dcterms:created xsi:type="dcterms:W3CDTF">2024-11-19T08:12:00Z</dcterms:created>
  <dcterms:modified xsi:type="dcterms:W3CDTF">2024-11-22T07:20:00Z</dcterms:modified>
</cp:coreProperties>
</file>