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874E1" w14:textId="77777777" w:rsidR="0017567D" w:rsidRPr="006B5A3E" w:rsidRDefault="006B5A3E" w:rsidP="00261FC4">
      <w:pPr>
        <w:pStyle w:val="1"/>
        <w:ind w:left="4956"/>
        <w:rPr>
          <w:sz w:val="20"/>
          <w:szCs w:val="20"/>
        </w:rPr>
      </w:pPr>
      <w:bookmarkStart w:id="0" w:name="_GoBack"/>
      <w:bookmarkEnd w:id="0"/>
      <w:r>
        <w:rPr>
          <w:sz w:val="20"/>
        </w:rPr>
        <w:t>APPROVED</w:t>
      </w:r>
    </w:p>
    <w:p w14:paraId="5558ACF6" w14:textId="77777777" w:rsidR="006B5A3E" w:rsidRDefault="006B5A3E" w:rsidP="00261FC4">
      <w:pPr>
        <w:ind w:left="4956"/>
        <w:rPr>
          <w:rFonts w:ascii="Arial" w:hAnsi="Arial" w:cs="Arial"/>
          <w:sz w:val="20"/>
          <w:szCs w:val="20"/>
        </w:rPr>
      </w:pPr>
    </w:p>
    <w:p w14:paraId="45F02F4F" w14:textId="64A9C41E" w:rsidR="006B5A3E" w:rsidRPr="006B5A3E" w:rsidRDefault="006B5A3E" w:rsidP="00261FC4">
      <w:pPr>
        <w:ind w:left="4956"/>
        <w:rPr>
          <w:rFonts w:ascii="Arial" w:hAnsi="Arial" w:cs="Arial"/>
          <w:sz w:val="20"/>
          <w:szCs w:val="20"/>
        </w:rPr>
      </w:pPr>
      <w:r>
        <w:rPr>
          <w:rFonts w:ascii="Arial" w:hAnsi="Arial"/>
          <w:sz w:val="20"/>
        </w:rPr>
        <w:t>By the Moscow Exchange Executive Board</w:t>
      </w:r>
    </w:p>
    <w:p w14:paraId="2A53D0A7" w14:textId="6E68D825" w:rsidR="006B5A3E" w:rsidRPr="006B5A3E" w:rsidRDefault="006B5A3E" w:rsidP="00261FC4">
      <w:pPr>
        <w:ind w:left="4956"/>
        <w:rPr>
          <w:rFonts w:ascii="Arial" w:hAnsi="Arial" w:cs="Arial"/>
          <w:sz w:val="20"/>
          <w:szCs w:val="20"/>
        </w:rPr>
      </w:pPr>
      <w:r>
        <w:rPr>
          <w:rFonts w:ascii="Arial" w:hAnsi="Arial"/>
          <w:sz w:val="20"/>
        </w:rPr>
        <w:t>23 October 2024, Minutes No. 84</w:t>
      </w:r>
    </w:p>
    <w:p w14:paraId="6C78602C" w14:textId="77777777" w:rsidR="006B5A3E" w:rsidRPr="006B5A3E" w:rsidRDefault="006B5A3E" w:rsidP="00261FC4">
      <w:pPr>
        <w:ind w:left="4956"/>
        <w:rPr>
          <w:rFonts w:ascii="Arial" w:hAnsi="Arial" w:cs="Arial"/>
          <w:sz w:val="20"/>
          <w:szCs w:val="20"/>
        </w:rPr>
      </w:pPr>
    </w:p>
    <w:p w14:paraId="610E5917" w14:textId="77777777" w:rsidR="006B5A3E" w:rsidRPr="006B5A3E" w:rsidRDefault="006B5A3E" w:rsidP="00261FC4">
      <w:pPr>
        <w:ind w:left="4956"/>
        <w:rPr>
          <w:rFonts w:ascii="Arial" w:hAnsi="Arial" w:cs="Arial"/>
          <w:sz w:val="20"/>
          <w:szCs w:val="20"/>
        </w:rPr>
      </w:pPr>
      <w:r>
        <w:rPr>
          <w:rFonts w:ascii="Arial" w:hAnsi="Arial"/>
          <w:sz w:val="20"/>
        </w:rPr>
        <w:t xml:space="preserve">Chairman of the Executive Board </w:t>
      </w:r>
    </w:p>
    <w:p w14:paraId="7E7CB0C7" w14:textId="5B4DA7AB" w:rsidR="006B5A3E" w:rsidRPr="006B5A3E" w:rsidRDefault="002445C0" w:rsidP="00261FC4">
      <w:pPr>
        <w:ind w:left="4956"/>
        <w:rPr>
          <w:rFonts w:ascii="Arial" w:hAnsi="Arial" w:cs="Arial"/>
          <w:sz w:val="20"/>
          <w:szCs w:val="20"/>
        </w:rPr>
      </w:pPr>
      <w:r>
        <w:rPr>
          <w:rFonts w:ascii="Arial" w:hAnsi="Arial"/>
          <w:sz w:val="20"/>
        </w:rPr>
        <w:t>Moscow Exchange</w:t>
      </w:r>
    </w:p>
    <w:p w14:paraId="1096B1F0" w14:textId="77777777" w:rsidR="006B5A3E" w:rsidRPr="006B5A3E" w:rsidRDefault="006B5A3E" w:rsidP="00261FC4">
      <w:pPr>
        <w:ind w:left="4956"/>
        <w:rPr>
          <w:rFonts w:ascii="Arial" w:hAnsi="Arial" w:cs="Arial"/>
          <w:sz w:val="20"/>
          <w:szCs w:val="20"/>
        </w:rPr>
      </w:pPr>
    </w:p>
    <w:p w14:paraId="0035108B" w14:textId="6E5C8492" w:rsidR="006B5A3E" w:rsidRPr="006B5A3E" w:rsidRDefault="006B5A3E" w:rsidP="00261FC4">
      <w:pPr>
        <w:ind w:left="4956"/>
        <w:rPr>
          <w:rFonts w:ascii="Arial" w:hAnsi="Arial" w:cs="Arial"/>
          <w:sz w:val="20"/>
          <w:szCs w:val="20"/>
        </w:rPr>
      </w:pPr>
      <w:r>
        <w:rPr>
          <w:rFonts w:ascii="Arial" w:hAnsi="Arial"/>
          <w:sz w:val="20"/>
        </w:rPr>
        <w:t xml:space="preserve">___________________ V. </w:t>
      </w:r>
      <w:proofErr w:type="spellStart"/>
      <w:r>
        <w:rPr>
          <w:rFonts w:ascii="Arial" w:hAnsi="Arial"/>
          <w:sz w:val="20"/>
        </w:rPr>
        <w:t>Zhidkov</w:t>
      </w:r>
      <w:proofErr w:type="spellEnd"/>
    </w:p>
    <w:p w14:paraId="0EC85B7F" w14:textId="77777777" w:rsidR="00CD73AC" w:rsidRDefault="00CD73AC" w:rsidP="00CD73AC"/>
    <w:p w14:paraId="376AD70E" w14:textId="77777777" w:rsidR="006B5A3E" w:rsidRPr="00CD73AC" w:rsidRDefault="006B5A3E" w:rsidP="00CD73AC"/>
    <w:p w14:paraId="18C8F39C" w14:textId="4A70C83B" w:rsidR="00ED2700" w:rsidRPr="00C35C17" w:rsidRDefault="008F409E" w:rsidP="00ED2700">
      <w:pPr>
        <w:pStyle w:val="1"/>
        <w:jc w:val="center"/>
        <w:rPr>
          <w:sz w:val="24"/>
          <w:szCs w:val="24"/>
        </w:rPr>
      </w:pPr>
      <w:bookmarkStart w:id="1" w:name="OLE_LINK2"/>
      <w:r>
        <w:rPr>
          <w:sz w:val="24"/>
        </w:rPr>
        <w:t>Indicative rate calculation methodology</w:t>
      </w:r>
      <w:bookmarkEnd w:id="1"/>
      <w:r>
        <w:rPr>
          <w:sz w:val="24"/>
        </w:rPr>
        <w:t xml:space="preserve"> </w:t>
      </w:r>
    </w:p>
    <w:p w14:paraId="70366436" w14:textId="77777777" w:rsidR="00107F25" w:rsidRDefault="00107F25" w:rsidP="000E01D8">
      <w:pPr>
        <w:spacing w:beforeLines="50" w:before="120" w:afterLines="50" w:after="120"/>
        <w:rPr>
          <w:rFonts w:ascii="Arial" w:hAnsi="Arial" w:cs="Arial"/>
          <w:b/>
          <w:sz w:val="20"/>
          <w:szCs w:val="20"/>
        </w:rPr>
      </w:pPr>
    </w:p>
    <w:p w14:paraId="71AF62D3" w14:textId="78F2BE82" w:rsidR="001E22ED" w:rsidRPr="00C6787C" w:rsidRDefault="001E22ED" w:rsidP="001E22ED">
      <w:pPr>
        <w:pStyle w:val="3"/>
        <w:numPr>
          <w:ilvl w:val="0"/>
          <w:numId w:val="1"/>
        </w:numPr>
        <w:spacing w:beforeLines="50" w:before="120" w:after="0"/>
        <w:jc w:val="both"/>
        <w:rPr>
          <w:rFonts w:cs="Arial"/>
          <w:szCs w:val="20"/>
        </w:rPr>
      </w:pPr>
      <w:r>
        <w:t>This Methodology defines the procedure for the calculation of the indicative rate (the "Indicator") in relation to the trades executed on the Exchange and specified in Clause 5 of this Methodology, by Public Joint-Stock Company Moscow Exchange MICEX-RTS (the "Exchange").</w:t>
      </w:r>
    </w:p>
    <w:p w14:paraId="4B6FDC77" w14:textId="35937B85" w:rsidR="002445C0" w:rsidRPr="00887A96" w:rsidRDefault="002445C0" w:rsidP="00C40944">
      <w:pPr>
        <w:pStyle w:val="3"/>
        <w:numPr>
          <w:ilvl w:val="0"/>
          <w:numId w:val="1"/>
        </w:numPr>
        <w:spacing w:beforeLines="50" w:before="120" w:after="0"/>
        <w:jc w:val="both"/>
        <w:rPr>
          <w:rFonts w:cs="Arial"/>
          <w:szCs w:val="20"/>
        </w:rPr>
      </w:pPr>
      <w:r>
        <w:t>The business of creating, calculating, revising and updating the Indicator as well as the revision of this Methodology is based on a set of administrative principles and rules described in the Moscow Exchange Index Management Policy.</w:t>
      </w:r>
    </w:p>
    <w:p w14:paraId="706F388D" w14:textId="69C3EC41" w:rsidR="009157ED" w:rsidRPr="00C6787C" w:rsidRDefault="009157ED" w:rsidP="009157ED">
      <w:pPr>
        <w:pStyle w:val="3"/>
        <w:numPr>
          <w:ilvl w:val="0"/>
          <w:numId w:val="1"/>
        </w:numPr>
        <w:spacing w:beforeLines="50" w:before="120" w:after="0"/>
        <w:jc w:val="both"/>
        <w:rPr>
          <w:rFonts w:cs="Arial"/>
          <w:szCs w:val="20"/>
        </w:rPr>
      </w:pPr>
      <w:r>
        <w:t>This Methodology, as well as all amendments and additions hereto are approved by the Exchange and come into effect on the date determined by the Exchange.</w:t>
      </w:r>
    </w:p>
    <w:p w14:paraId="75D97BD2" w14:textId="44562B87" w:rsidR="009157ED" w:rsidRDefault="009157ED" w:rsidP="009157ED">
      <w:pPr>
        <w:pStyle w:val="3"/>
        <w:numPr>
          <w:ilvl w:val="0"/>
          <w:numId w:val="1"/>
        </w:numPr>
        <w:spacing w:beforeLines="50" w:before="120" w:after="0"/>
        <w:jc w:val="both"/>
        <w:rPr>
          <w:rFonts w:cs="Arial"/>
          <w:szCs w:val="20"/>
        </w:rPr>
      </w:pPr>
      <w:r>
        <w:t>The Methodology as approved by the Executive Board (amendments and supplements thereto) shall be published on the Moscow Exchange website not later than three working days prior to its effective date, unless the Exchange resolves otherwise.</w:t>
      </w:r>
    </w:p>
    <w:p w14:paraId="33701835" w14:textId="43DD347E" w:rsidR="00D42D47" w:rsidRPr="00697E3E" w:rsidRDefault="00AF57A4" w:rsidP="00720C52">
      <w:pPr>
        <w:pStyle w:val="3"/>
        <w:numPr>
          <w:ilvl w:val="0"/>
          <w:numId w:val="1"/>
        </w:numPr>
        <w:spacing w:beforeLines="50" w:before="120" w:after="0"/>
        <w:jc w:val="both"/>
        <w:rPr>
          <w:rFonts w:cs="Arial"/>
          <w:szCs w:val="20"/>
        </w:rPr>
      </w:pPr>
      <w:r>
        <w:t>The Exchange calculates the Indicator for the CNY_TODTOM instrument (the "Instrument").</w:t>
      </w:r>
    </w:p>
    <w:p w14:paraId="6E5D78E6" w14:textId="3A1B4958" w:rsidR="00AA0F99" w:rsidRPr="00C6787C" w:rsidRDefault="00222B4D" w:rsidP="0048609B">
      <w:pPr>
        <w:pStyle w:val="3"/>
        <w:numPr>
          <w:ilvl w:val="0"/>
          <w:numId w:val="1"/>
        </w:numPr>
        <w:spacing w:beforeLines="50" w:before="120" w:after="0"/>
        <w:jc w:val="both"/>
        <w:rPr>
          <w:rFonts w:cs="Arial"/>
          <w:szCs w:val="20"/>
        </w:rPr>
      </w:pPr>
      <w:r>
        <w:t>The Exchange calculates the Indicator on the basis of the following market data for the Instrument:</w:t>
      </w:r>
    </w:p>
    <w:p w14:paraId="12F412FB" w14:textId="551CC04A" w:rsidR="008F409E" w:rsidRPr="00C6787C" w:rsidRDefault="00361746" w:rsidP="008F409E">
      <w:pPr>
        <w:pStyle w:val="3"/>
        <w:numPr>
          <w:ilvl w:val="1"/>
          <w:numId w:val="1"/>
        </w:numPr>
        <w:spacing w:beforeLines="50" w:before="120" w:after="0"/>
        <w:jc w:val="both"/>
        <w:rPr>
          <w:rFonts w:cs="Arial"/>
          <w:szCs w:val="20"/>
        </w:rPr>
      </w:pPr>
      <w:r>
        <w:t>orders to all trading members (the "orders</w:t>
      </w:r>
      <w:r w:rsidR="00534CA2">
        <w:t xml:space="preserve"> on the order book</w:t>
      </w:r>
      <w:r>
        <w:t>");</w:t>
      </w:r>
    </w:p>
    <w:p w14:paraId="3888F1BD" w14:textId="77777777" w:rsidR="008F409E" w:rsidRPr="00C6787C" w:rsidRDefault="00361746" w:rsidP="008F409E">
      <w:pPr>
        <w:pStyle w:val="3"/>
        <w:numPr>
          <w:ilvl w:val="1"/>
          <w:numId w:val="1"/>
        </w:numPr>
        <w:spacing w:beforeLines="50" w:before="120" w:after="0"/>
        <w:jc w:val="both"/>
        <w:rPr>
          <w:rFonts w:cs="Arial"/>
          <w:szCs w:val="20"/>
        </w:rPr>
      </w:pPr>
      <w:r>
        <w:t>trades executed on the basis of order book orders.</w:t>
      </w:r>
    </w:p>
    <w:p w14:paraId="78AEAF3B" w14:textId="2ED9D91C" w:rsidR="00296AB2" w:rsidRDefault="0048609B" w:rsidP="00AA0F99">
      <w:pPr>
        <w:pStyle w:val="3"/>
        <w:numPr>
          <w:ilvl w:val="0"/>
          <w:numId w:val="1"/>
        </w:numPr>
        <w:spacing w:beforeLines="50" w:before="120" w:after="0"/>
        <w:jc w:val="both"/>
        <w:rPr>
          <w:rFonts w:cs="Arial"/>
          <w:szCs w:val="20"/>
        </w:rPr>
      </w:pPr>
      <w:bookmarkStart w:id="2" w:name="_Ref351627290"/>
      <w:r>
        <w:t>The Indicator is calculated using aggregated information on the 20 best bids and 20 best asks from the order book.</w:t>
      </w:r>
      <w:bookmarkEnd w:id="2"/>
    </w:p>
    <w:p w14:paraId="608566E3" w14:textId="675B68F3" w:rsidR="008F409E" w:rsidRDefault="0048609B" w:rsidP="00AA0F99">
      <w:pPr>
        <w:pStyle w:val="3"/>
        <w:numPr>
          <w:ilvl w:val="0"/>
          <w:numId w:val="1"/>
        </w:numPr>
        <w:spacing w:beforeLines="50" w:before="120" w:after="0"/>
        <w:jc w:val="both"/>
        <w:rPr>
          <w:rFonts w:cs="Arial"/>
          <w:szCs w:val="20"/>
        </w:rPr>
      </w:pPr>
      <w:r>
        <w:t>The Indicator is calculated daily as of 12:30:00 pm MSK.</w:t>
      </w:r>
    </w:p>
    <w:p w14:paraId="78C9076D" w14:textId="727A3468" w:rsidR="00B37B9E" w:rsidRPr="00C6787C" w:rsidRDefault="00B37B9E" w:rsidP="00B37B9E">
      <w:pPr>
        <w:pStyle w:val="3"/>
        <w:numPr>
          <w:ilvl w:val="0"/>
          <w:numId w:val="1"/>
        </w:numPr>
        <w:spacing w:beforeLines="50" w:before="120" w:after="0"/>
        <w:jc w:val="both"/>
        <w:rPr>
          <w:rFonts w:cs="Arial"/>
          <w:szCs w:val="20"/>
        </w:rPr>
      </w:pPr>
      <w:bookmarkStart w:id="3" w:name="_Ref358906693"/>
      <w:r>
        <w:t>Values of the Indicator (</w:t>
      </w:r>
      <w:proofErr w:type="spellStart"/>
      <w:r>
        <w:t>P</w:t>
      </w:r>
      <w:r>
        <w:rPr>
          <w:vertAlign w:val="subscript"/>
        </w:rPr>
        <w:t>n</w:t>
      </w:r>
      <w:proofErr w:type="spellEnd"/>
      <w:r>
        <w:t xml:space="preserve">) are determined based on averaged prices of trades and orders (P </w:t>
      </w:r>
      <w:r>
        <w:rPr>
          <w:vertAlign w:val="subscript"/>
        </w:rPr>
        <w:t>FIX)</w:t>
      </w:r>
      <w:r>
        <w:t>, calculated per second over the period 12:25:01 - 12:30:00 pm MSK inclusive, unless otherwise set by the Exchange, by the formula:</w:t>
      </w:r>
      <w:bookmarkEnd w:id="3"/>
    </w:p>
    <w:p w14:paraId="532ECF31" w14:textId="77777777" w:rsidR="00B37B9E" w:rsidRPr="00C6787C" w:rsidRDefault="00C316BF" w:rsidP="00B37B9E">
      <w:pPr>
        <w:pStyle w:val="3"/>
        <w:spacing w:beforeLines="50" w:before="120" w:after="0"/>
        <w:ind w:left="360"/>
        <w:jc w:val="center"/>
        <w:rPr>
          <w:rFonts w:cs="Arial"/>
          <w:szCs w:val="20"/>
        </w:rPr>
      </w:pPr>
      <w:r>
        <w:rPr>
          <w:color w:val="FF0000"/>
        </w:rPr>
        <w:object w:dxaOrig="1860" w:dyaOrig="680" w14:anchorId="6DD33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33pt" o:ole="">
            <v:imagedata r:id="rId7" o:title=""/>
          </v:shape>
          <o:OLEObject Type="Embed" ProgID="Equation.3" ShapeID="_x0000_i1025" DrawAspect="Content" ObjectID="_1803883521" r:id="rId8"/>
        </w:object>
      </w:r>
    </w:p>
    <w:p w14:paraId="45CF6889" w14:textId="77777777" w:rsidR="008F409E" w:rsidRPr="00C6787C" w:rsidRDefault="00065E3E" w:rsidP="00AA0F99">
      <w:pPr>
        <w:pStyle w:val="3"/>
        <w:numPr>
          <w:ilvl w:val="0"/>
          <w:numId w:val="1"/>
        </w:numPr>
        <w:spacing w:beforeLines="50" w:before="120" w:after="0"/>
        <w:jc w:val="both"/>
        <w:rPr>
          <w:rFonts w:cs="Arial"/>
          <w:szCs w:val="20"/>
        </w:rPr>
      </w:pPr>
      <w:r>
        <w:t>The value (P</w:t>
      </w:r>
      <w:r>
        <w:rPr>
          <w:vertAlign w:val="subscript"/>
        </w:rPr>
        <w:t>FIX</w:t>
      </w:r>
      <w:r>
        <w:t>) at every time n is determined by the following algorithm:</w:t>
      </w:r>
    </w:p>
    <w:p w14:paraId="40EA3286" w14:textId="77777777" w:rsidR="008F409E" w:rsidRPr="00C6787C" w:rsidRDefault="00065E3E" w:rsidP="008F409E">
      <w:pPr>
        <w:pStyle w:val="3"/>
        <w:numPr>
          <w:ilvl w:val="1"/>
          <w:numId w:val="1"/>
        </w:numPr>
        <w:spacing w:beforeLines="50" w:before="120" w:after="0"/>
        <w:jc w:val="both"/>
        <w:rPr>
          <w:rFonts w:cs="Arial"/>
          <w:szCs w:val="20"/>
        </w:rPr>
      </w:pPr>
      <w:bookmarkStart w:id="4" w:name="_Ref333421231"/>
      <w:r>
        <w:t>The average price of bids on the order book (P</w:t>
      </w:r>
      <w:r>
        <w:rPr>
          <w:vertAlign w:val="subscript"/>
        </w:rPr>
        <w:t>BID</w:t>
      </w:r>
      <w:r>
        <w:t>), submitted by the trading member at time n:</w:t>
      </w:r>
      <w:bookmarkEnd w:id="4"/>
    </w:p>
    <w:p w14:paraId="73A127F3" w14:textId="77777777" w:rsidR="00065E3E" w:rsidRPr="00C6787C" w:rsidRDefault="00D90D7B" w:rsidP="00AC65FD">
      <w:pPr>
        <w:pStyle w:val="3"/>
        <w:spacing w:beforeLines="50" w:before="120" w:after="0"/>
        <w:ind w:left="720"/>
        <w:jc w:val="both"/>
        <w:rPr>
          <w:rFonts w:cs="Arial"/>
          <w:szCs w:val="20"/>
        </w:rPr>
      </w:pPr>
      <w:r>
        <w:object w:dxaOrig="2020" w:dyaOrig="1320" w14:anchorId="5A51C375">
          <v:shape id="_x0000_i1026" type="#_x0000_t75" style="width:91.2pt;height:60.6pt" o:ole="">
            <v:imagedata r:id="rId9" o:title=""/>
          </v:shape>
          <o:OLEObject Type="Embed" ProgID="Equation.3" ShapeID="_x0000_i1026" DrawAspect="Content" ObjectID="_1803883522" r:id="rId10"/>
        </w:object>
      </w:r>
    </w:p>
    <w:p w14:paraId="08869D5A" w14:textId="77777777" w:rsidR="00065E3E" w:rsidRPr="00C6787C" w:rsidRDefault="00A32C04" w:rsidP="00AC65FD">
      <w:pPr>
        <w:pStyle w:val="3"/>
        <w:spacing w:beforeLines="50" w:before="120" w:after="0"/>
        <w:ind w:left="720"/>
        <w:jc w:val="both"/>
        <w:rPr>
          <w:rFonts w:cs="Arial"/>
          <w:szCs w:val="20"/>
        </w:rPr>
      </w:pPr>
      <w:r>
        <w:t>Pi - the price of the i</w:t>
      </w:r>
      <w:r>
        <w:rPr>
          <w:vertAlign w:val="superscript"/>
        </w:rPr>
        <w:t>th</w:t>
      </w:r>
      <w:r>
        <w:t xml:space="preserve"> bid on the order book;</w:t>
      </w:r>
    </w:p>
    <w:p w14:paraId="2F4F33C7" w14:textId="77777777" w:rsidR="00A32C04" w:rsidRPr="00C6787C" w:rsidRDefault="00A32C04" w:rsidP="00AC65FD">
      <w:pPr>
        <w:pStyle w:val="3"/>
        <w:spacing w:beforeLines="50" w:before="120" w:after="0"/>
        <w:ind w:left="720"/>
        <w:jc w:val="both"/>
        <w:rPr>
          <w:rFonts w:cs="Arial"/>
          <w:szCs w:val="20"/>
        </w:rPr>
      </w:pPr>
      <w:r>
        <w:t>Qi - the volume of the i</w:t>
      </w:r>
      <w:r>
        <w:rPr>
          <w:vertAlign w:val="superscript"/>
        </w:rPr>
        <w:t>th</w:t>
      </w:r>
      <w:r>
        <w:t xml:space="preserve"> bid on the order book;</w:t>
      </w:r>
    </w:p>
    <w:p w14:paraId="0C8227F9" w14:textId="77777777" w:rsidR="00A23624" w:rsidRPr="00C6787C" w:rsidRDefault="00A23624" w:rsidP="00AC65FD">
      <w:pPr>
        <w:pStyle w:val="3"/>
        <w:spacing w:beforeLines="50" w:before="120" w:after="0"/>
        <w:ind w:left="720"/>
        <w:jc w:val="both"/>
        <w:rPr>
          <w:rFonts w:cs="Arial"/>
          <w:szCs w:val="20"/>
        </w:rPr>
      </w:pPr>
      <w:r>
        <w:t>N - number of bids on the order book at time n;</w:t>
      </w:r>
    </w:p>
    <w:p w14:paraId="7844244A" w14:textId="77777777" w:rsidR="00065E3E" w:rsidRPr="00C6787C" w:rsidRDefault="00A23624" w:rsidP="00AC65FD">
      <w:pPr>
        <w:pStyle w:val="3"/>
        <w:spacing w:beforeLines="50" w:before="120" w:after="0"/>
        <w:ind w:left="720"/>
        <w:jc w:val="both"/>
        <w:rPr>
          <w:rFonts w:cs="Arial"/>
          <w:szCs w:val="20"/>
        </w:rPr>
      </w:pPr>
      <w:r>
        <w:t>Wi - weighting coefficient, determined by the following formula:</w:t>
      </w:r>
    </w:p>
    <w:bookmarkStart w:id="5" w:name="OLE_LINK1"/>
    <w:p w14:paraId="69312ADC" w14:textId="77777777" w:rsidR="00065E3E" w:rsidRPr="00C6787C" w:rsidRDefault="008B008E" w:rsidP="00AC65FD">
      <w:pPr>
        <w:pStyle w:val="3"/>
        <w:spacing w:beforeLines="50" w:before="120" w:after="0"/>
        <w:ind w:left="720"/>
        <w:jc w:val="both"/>
        <w:rPr>
          <w:rFonts w:cs="Arial"/>
          <w:szCs w:val="20"/>
        </w:rPr>
      </w:pPr>
      <w:r>
        <w:object w:dxaOrig="840" w:dyaOrig="620" w14:anchorId="0DC4549F">
          <v:shape id="_x0000_i1027" type="#_x0000_t75" style="width:34.8pt;height:27pt" o:ole="">
            <v:imagedata r:id="rId11" o:title=""/>
          </v:shape>
          <o:OLEObject Type="Embed" ProgID="Equation.3" ShapeID="_x0000_i1027" DrawAspect="Content" ObjectID="_1803883523" r:id="rId12"/>
        </w:object>
      </w:r>
      <w:bookmarkEnd w:id="5"/>
    </w:p>
    <w:p w14:paraId="1E461D0E" w14:textId="77777777" w:rsidR="00ED39D7" w:rsidRPr="00C6787C" w:rsidRDefault="00ED39D7" w:rsidP="00AC65FD">
      <w:pPr>
        <w:pStyle w:val="3"/>
        <w:spacing w:beforeLines="50" w:before="120" w:after="0"/>
        <w:ind w:left="720"/>
        <w:jc w:val="both"/>
        <w:rPr>
          <w:rFonts w:cs="Arial"/>
          <w:szCs w:val="20"/>
        </w:rPr>
      </w:pPr>
      <w:r>
        <w:t>k=2, unless other value of the parameter is set by the Exchange.</w:t>
      </w:r>
    </w:p>
    <w:p w14:paraId="02D5617B" w14:textId="77777777" w:rsidR="00ED39D7" w:rsidRPr="00C6787C" w:rsidRDefault="00AC65FD" w:rsidP="00AC65FD">
      <w:pPr>
        <w:pStyle w:val="3"/>
        <w:spacing w:beforeLines="50" w:before="120" w:after="0"/>
        <w:ind w:left="720"/>
        <w:jc w:val="both"/>
        <w:rPr>
          <w:rFonts w:cs="Arial"/>
          <w:szCs w:val="20"/>
        </w:rPr>
      </w:pPr>
      <w:r>
        <w:t>i - notional number of the orders group, determined according to the following formula by rounding the result to the nearest whole number:</w:t>
      </w:r>
    </w:p>
    <w:p w14:paraId="4F09526C" w14:textId="77777777" w:rsidR="00ED39D7" w:rsidRPr="00C6787C" w:rsidRDefault="008E642A" w:rsidP="00AC65FD">
      <w:pPr>
        <w:pStyle w:val="3"/>
        <w:spacing w:beforeLines="50" w:before="120" w:after="0"/>
        <w:ind w:left="720"/>
        <w:jc w:val="both"/>
        <w:rPr>
          <w:rFonts w:cs="Arial"/>
          <w:szCs w:val="20"/>
        </w:rPr>
      </w:pPr>
      <w:r>
        <w:object w:dxaOrig="1680" w:dyaOrig="740" w14:anchorId="3FEF0791">
          <v:shape id="_x0000_i1028" type="#_x0000_t75" style="width:82.8pt;height:36.6pt" o:ole="">
            <v:imagedata r:id="rId13" o:title=""/>
          </v:shape>
          <o:OLEObject Type="Embed" ProgID="Equation.3" ShapeID="_x0000_i1028" DrawAspect="Content" ObjectID="_1803883524" r:id="rId14"/>
        </w:object>
      </w:r>
      <w:r>
        <w:t>,</w:t>
      </w:r>
    </w:p>
    <w:p w14:paraId="33ABCF8E" w14:textId="39A71C1B" w:rsidR="00ED39D7" w:rsidRPr="00C6787C" w:rsidRDefault="00E36339" w:rsidP="00AC65FD">
      <w:pPr>
        <w:pStyle w:val="3"/>
        <w:spacing w:beforeLines="50" w:before="120" w:after="0"/>
        <w:ind w:left="720"/>
        <w:jc w:val="both"/>
      </w:pPr>
      <w:r>
        <w:object w:dxaOrig="600" w:dyaOrig="360" w14:anchorId="50021B2B">
          <v:shape id="_x0000_i1029" type="#_x0000_t75" style="width:27pt;height:15.6pt" o:ole="">
            <v:imagedata r:id="rId15" o:title=""/>
          </v:shape>
          <o:OLEObject Type="Embed" ProgID="Equation.3" ShapeID="_x0000_i1029" DrawAspect="Content" ObjectID="_1803883525" r:id="rId16"/>
        </w:object>
      </w:r>
      <w:r>
        <w:t xml:space="preserve"> - </w:t>
      </w:r>
      <w:r w:rsidR="00534CA2">
        <w:t xml:space="preserve">the </w:t>
      </w:r>
      <w:r>
        <w:t>best bid,</w:t>
      </w:r>
    </w:p>
    <w:p w14:paraId="61464EA7" w14:textId="097F65F4" w:rsidR="00EF68FF" w:rsidRPr="00C6787C" w:rsidRDefault="00EF68FF" w:rsidP="00AC65FD">
      <w:pPr>
        <w:pStyle w:val="3"/>
        <w:spacing w:beforeLines="50" w:before="120" w:after="0"/>
        <w:ind w:left="720"/>
        <w:jc w:val="both"/>
      </w:pPr>
      <w:r>
        <w:t xml:space="preserve">m – the tick for the Instrument set by the Exchange. </w:t>
      </w:r>
    </w:p>
    <w:p w14:paraId="158675E1" w14:textId="77777777" w:rsidR="00564E7E" w:rsidRPr="00C6787C" w:rsidRDefault="00564E7E" w:rsidP="00564E7E">
      <w:pPr>
        <w:pStyle w:val="3"/>
        <w:numPr>
          <w:ilvl w:val="1"/>
          <w:numId w:val="1"/>
        </w:numPr>
        <w:spacing w:beforeLines="50" w:before="120" w:after="0"/>
        <w:jc w:val="both"/>
        <w:rPr>
          <w:rFonts w:cs="Arial"/>
          <w:szCs w:val="20"/>
        </w:rPr>
      </w:pPr>
      <w:bookmarkStart w:id="6" w:name="_Ref359322881"/>
      <w:r>
        <w:t>The average price of asks on the order book (P</w:t>
      </w:r>
      <w:r>
        <w:rPr>
          <w:vertAlign w:val="subscript"/>
        </w:rPr>
        <w:t>ASK</w:t>
      </w:r>
      <w:r>
        <w:t>), submitted by the trading member at time n:</w:t>
      </w:r>
      <w:bookmarkEnd w:id="6"/>
    </w:p>
    <w:p w14:paraId="6264EA1D" w14:textId="77777777" w:rsidR="00564E7E" w:rsidRPr="00C6787C" w:rsidRDefault="00D90D7B" w:rsidP="00564E7E">
      <w:pPr>
        <w:pStyle w:val="3"/>
        <w:spacing w:beforeLines="50" w:before="120" w:after="0"/>
        <w:ind w:left="720"/>
        <w:jc w:val="both"/>
        <w:rPr>
          <w:rFonts w:cs="Arial"/>
          <w:szCs w:val="20"/>
        </w:rPr>
      </w:pPr>
      <w:r>
        <w:object w:dxaOrig="2020" w:dyaOrig="1320" w14:anchorId="7BD9241F">
          <v:shape id="_x0000_i1030" type="#_x0000_t75" style="width:91.2pt;height:60.6pt" o:ole="">
            <v:imagedata r:id="rId17" o:title=""/>
          </v:shape>
          <o:OLEObject Type="Embed" ProgID="Equation.3" ShapeID="_x0000_i1030" DrawAspect="Content" ObjectID="_1803883526" r:id="rId18"/>
        </w:object>
      </w:r>
    </w:p>
    <w:p w14:paraId="54764F46" w14:textId="77777777" w:rsidR="00564E7E" w:rsidRPr="00C6787C" w:rsidRDefault="00564E7E" w:rsidP="00564E7E">
      <w:pPr>
        <w:pStyle w:val="3"/>
        <w:spacing w:beforeLines="50" w:before="120" w:after="0"/>
        <w:ind w:left="720"/>
        <w:jc w:val="both"/>
        <w:rPr>
          <w:rFonts w:cs="Arial"/>
          <w:szCs w:val="20"/>
        </w:rPr>
      </w:pPr>
      <w:r>
        <w:t>Pi - the price of the i</w:t>
      </w:r>
      <w:r>
        <w:rPr>
          <w:vertAlign w:val="superscript"/>
        </w:rPr>
        <w:t>th</w:t>
      </w:r>
      <w:r>
        <w:t xml:space="preserve"> ask on the order book;</w:t>
      </w:r>
    </w:p>
    <w:p w14:paraId="59CC0A1E" w14:textId="77777777" w:rsidR="00564E7E" w:rsidRPr="00C6787C" w:rsidRDefault="00564E7E" w:rsidP="00564E7E">
      <w:pPr>
        <w:pStyle w:val="3"/>
        <w:spacing w:beforeLines="50" w:before="120" w:after="0"/>
        <w:ind w:left="720"/>
        <w:jc w:val="both"/>
        <w:rPr>
          <w:rFonts w:cs="Arial"/>
          <w:szCs w:val="20"/>
        </w:rPr>
      </w:pPr>
      <w:r>
        <w:t>Qi - the volume of the i</w:t>
      </w:r>
      <w:r>
        <w:rPr>
          <w:vertAlign w:val="superscript"/>
        </w:rPr>
        <w:t>th</w:t>
      </w:r>
      <w:r>
        <w:t xml:space="preserve"> ask on the order book;</w:t>
      </w:r>
    </w:p>
    <w:p w14:paraId="03AD0B00" w14:textId="77777777" w:rsidR="00564E7E" w:rsidRPr="00C6787C" w:rsidRDefault="00564E7E" w:rsidP="00564E7E">
      <w:pPr>
        <w:pStyle w:val="3"/>
        <w:spacing w:beforeLines="50" w:before="120" w:after="0"/>
        <w:ind w:left="720"/>
        <w:jc w:val="both"/>
        <w:rPr>
          <w:rFonts w:cs="Arial"/>
          <w:szCs w:val="20"/>
        </w:rPr>
      </w:pPr>
      <w:r>
        <w:t>N - number of asks on the order book at time n;</w:t>
      </w:r>
    </w:p>
    <w:p w14:paraId="208BBA45" w14:textId="77777777" w:rsidR="00564E7E" w:rsidRPr="00C6787C" w:rsidRDefault="00564E7E" w:rsidP="00564E7E">
      <w:pPr>
        <w:pStyle w:val="3"/>
        <w:spacing w:beforeLines="50" w:before="120" w:after="0"/>
        <w:ind w:left="720"/>
        <w:jc w:val="both"/>
        <w:rPr>
          <w:rFonts w:cs="Arial"/>
          <w:szCs w:val="20"/>
        </w:rPr>
      </w:pPr>
      <w:r>
        <w:t>Wi - weighting coefficient, determined by the following formula:</w:t>
      </w:r>
    </w:p>
    <w:p w14:paraId="2B75B68B" w14:textId="77777777" w:rsidR="00564E7E" w:rsidRPr="00C6787C" w:rsidRDefault="008B008E" w:rsidP="00564E7E">
      <w:pPr>
        <w:pStyle w:val="3"/>
        <w:spacing w:beforeLines="50" w:before="120" w:after="0"/>
        <w:ind w:left="720"/>
        <w:jc w:val="both"/>
        <w:rPr>
          <w:rFonts w:cs="Arial"/>
          <w:szCs w:val="20"/>
        </w:rPr>
      </w:pPr>
      <w:r>
        <w:object w:dxaOrig="840" w:dyaOrig="620" w14:anchorId="544BC1DB">
          <v:shape id="_x0000_i1031" type="#_x0000_t75" style="width:34.8pt;height:27pt" o:ole="">
            <v:imagedata r:id="rId11" o:title=""/>
          </v:shape>
          <o:OLEObject Type="Embed" ProgID="Equation.3" ShapeID="_x0000_i1031" DrawAspect="Content" ObjectID="_1803883527" r:id="rId19"/>
        </w:object>
      </w:r>
    </w:p>
    <w:p w14:paraId="73DBB25C" w14:textId="0895EBF8" w:rsidR="00FC2DF7" w:rsidRDefault="00676655" w:rsidP="00564E7E">
      <w:pPr>
        <w:pStyle w:val="3"/>
        <w:spacing w:beforeLines="50" w:before="120" w:after="0"/>
        <w:ind w:left="720"/>
        <w:jc w:val="both"/>
        <w:rPr>
          <w:rFonts w:cs="Arial"/>
          <w:szCs w:val="20"/>
        </w:rPr>
      </w:pPr>
      <w:r>
        <w:t>k=2, unless other value of the parameter is set by the Exchange.</w:t>
      </w:r>
    </w:p>
    <w:p w14:paraId="45E59D12" w14:textId="77777777" w:rsidR="00564E7E" w:rsidRPr="00C6787C" w:rsidRDefault="00564E7E" w:rsidP="00564E7E">
      <w:pPr>
        <w:pStyle w:val="3"/>
        <w:spacing w:beforeLines="50" w:before="120" w:after="0"/>
        <w:ind w:left="720"/>
        <w:jc w:val="both"/>
        <w:rPr>
          <w:rFonts w:cs="Arial"/>
          <w:szCs w:val="20"/>
        </w:rPr>
      </w:pPr>
      <w:r>
        <w:t>i - notional number of the orders group, determined according to the following formula by rounding the result to the nearest whole number:</w:t>
      </w:r>
    </w:p>
    <w:p w14:paraId="14C798AE" w14:textId="77777777" w:rsidR="00564E7E" w:rsidRPr="00C6787C" w:rsidRDefault="00D90D7B" w:rsidP="00564E7E">
      <w:pPr>
        <w:pStyle w:val="3"/>
        <w:spacing w:beforeLines="50" w:before="120" w:after="0"/>
        <w:ind w:left="720"/>
        <w:jc w:val="both"/>
        <w:rPr>
          <w:rFonts w:cs="Arial"/>
          <w:szCs w:val="20"/>
        </w:rPr>
      </w:pPr>
      <w:r>
        <w:object w:dxaOrig="1700" w:dyaOrig="720" w14:anchorId="7958CD7D">
          <v:shape id="_x0000_i1032" type="#_x0000_t75" style="width:82.2pt;height:34.8pt" o:ole="">
            <v:imagedata r:id="rId20" o:title=""/>
          </v:shape>
          <o:OLEObject Type="Embed" ProgID="Equation.3" ShapeID="_x0000_i1032" DrawAspect="Content" ObjectID="_1803883528" r:id="rId21"/>
        </w:object>
      </w:r>
      <w:r>
        <w:t>,</w:t>
      </w:r>
    </w:p>
    <w:p w14:paraId="4838F638" w14:textId="67366B87" w:rsidR="00564E7E" w:rsidRPr="00C6787C" w:rsidRDefault="00564E7E" w:rsidP="00564E7E">
      <w:pPr>
        <w:pStyle w:val="3"/>
        <w:spacing w:beforeLines="50" w:before="120" w:after="0"/>
        <w:ind w:left="720"/>
        <w:jc w:val="both"/>
      </w:pPr>
      <w:r>
        <w:object w:dxaOrig="600" w:dyaOrig="380" w14:anchorId="5ED039EE">
          <v:shape id="_x0000_i1033" type="#_x0000_t75" style="width:30pt;height:19.2pt" o:ole="">
            <v:imagedata r:id="rId22" o:title=""/>
          </v:shape>
          <o:OLEObject Type="Embed" ProgID="Equation.3" ShapeID="_x0000_i1033" DrawAspect="Content" ObjectID="_1803883529" r:id="rId23"/>
        </w:object>
      </w:r>
      <w:r>
        <w:t xml:space="preserve"> - </w:t>
      </w:r>
      <w:r w:rsidR="00534CA2">
        <w:t xml:space="preserve">the </w:t>
      </w:r>
      <w:r>
        <w:t xml:space="preserve">best </w:t>
      </w:r>
      <w:proofErr w:type="gramStart"/>
      <w:r>
        <w:t>ask</w:t>
      </w:r>
      <w:proofErr w:type="gramEnd"/>
      <w:r>
        <w:t>,</w:t>
      </w:r>
    </w:p>
    <w:p w14:paraId="4C4AA639" w14:textId="410CA50F" w:rsidR="00564E7E" w:rsidRPr="00C6787C" w:rsidRDefault="00564E7E" w:rsidP="007A09A7">
      <w:pPr>
        <w:pStyle w:val="3"/>
        <w:spacing w:beforeLines="50" w:before="120" w:after="0"/>
        <w:ind w:left="708"/>
        <w:jc w:val="both"/>
        <w:rPr>
          <w:rFonts w:cs="Arial"/>
          <w:szCs w:val="20"/>
        </w:rPr>
      </w:pPr>
      <w:r>
        <w:t>m - the tick set by the Exchange for the Instrument used to calculate the value of the corresponding Indicator.</w:t>
      </w:r>
    </w:p>
    <w:p w14:paraId="7CA44E1F" w14:textId="77777777" w:rsidR="004626D4" w:rsidRPr="00C6787C" w:rsidRDefault="004626D4" w:rsidP="004626D4">
      <w:pPr>
        <w:pStyle w:val="3"/>
        <w:numPr>
          <w:ilvl w:val="1"/>
          <w:numId w:val="1"/>
        </w:numPr>
        <w:spacing w:beforeLines="50" w:before="120" w:after="0"/>
        <w:jc w:val="both"/>
        <w:rPr>
          <w:rFonts w:cs="Arial"/>
          <w:szCs w:val="20"/>
        </w:rPr>
      </w:pPr>
      <w:r>
        <w:t xml:space="preserve">The average value of prices of bids and asks on the order book (P </w:t>
      </w:r>
      <w:r>
        <w:rPr>
          <w:vertAlign w:val="subscript"/>
        </w:rPr>
        <w:t>MID</w:t>
      </w:r>
      <w:r>
        <w:t>) is calculated:</w:t>
      </w:r>
    </w:p>
    <w:p w14:paraId="4655FBB0" w14:textId="77777777" w:rsidR="00A23624" w:rsidRPr="00C6787C" w:rsidRDefault="00D90D7B" w:rsidP="00065E3E">
      <w:pPr>
        <w:pStyle w:val="3"/>
        <w:spacing w:beforeLines="50" w:before="120" w:after="0"/>
        <w:ind w:left="360"/>
        <w:jc w:val="both"/>
        <w:rPr>
          <w:rFonts w:cs="Arial"/>
          <w:szCs w:val="20"/>
        </w:rPr>
      </w:pPr>
      <w:r>
        <w:object w:dxaOrig="1860" w:dyaOrig="639" w14:anchorId="754B53AC">
          <v:shape id="_x0000_i1034" type="#_x0000_t75" style="width:82.2pt;height:27.6pt" o:ole="">
            <v:imagedata r:id="rId24" o:title=""/>
          </v:shape>
          <o:OLEObject Type="Embed" ProgID="Equation.3" ShapeID="_x0000_i1034" DrawAspect="Content" ObjectID="_1803883530" r:id="rId25"/>
        </w:object>
      </w:r>
      <w:r>
        <w:t>.</w:t>
      </w:r>
    </w:p>
    <w:p w14:paraId="6BA575A9" w14:textId="6B868094" w:rsidR="00F22449" w:rsidRPr="00C6787C" w:rsidRDefault="00F22449" w:rsidP="00534CA2">
      <w:pPr>
        <w:pStyle w:val="3"/>
        <w:numPr>
          <w:ilvl w:val="1"/>
          <w:numId w:val="1"/>
        </w:numPr>
        <w:spacing w:beforeLines="50" w:before="120" w:after="0"/>
        <w:ind w:hanging="508"/>
        <w:jc w:val="both"/>
        <w:rPr>
          <w:rFonts w:cs="Arial"/>
          <w:szCs w:val="20"/>
        </w:rPr>
      </w:pPr>
      <w:r>
        <w:t>If there are no any bids and/or asks at time n, the P</w:t>
      </w:r>
      <w:r>
        <w:rPr>
          <w:vertAlign w:val="subscript"/>
        </w:rPr>
        <w:t>MID</w:t>
      </w:r>
      <w:r>
        <w:t xml:space="preserve"> is assumed to be equal to this for time n.</w:t>
      </w:r>
    </w:p>
    <w:p w14:paraId="459FD5B9" w14:textId="21FF9086" w:rsidR="000C46FD" w:rsidRPr="00C6787C" w:rsidRDefault="000C46FD" w:rsidP="00534CA2">
      <w:pPr>
        <w:pStyle w:val="3"/>
        <w:numPr>
          <w:ilvl w:val="1"/>
          <w:numId w:val="1"/>
        </w:numPr>
        <w:spacing w:beforeLines="50" w:before="120" w:after="0"/>
        <w:ind w:hanging="508"/>
        <w:jc w:val="both"/>
        <w:rPr>
          <w:rFonts w:cs="Arial"/>
          <w:szCs w:val="20"/>
        </w:rPr>
      </w:pPr>
      <w:r>
        <w:t xml:space="preserve">The average price of </w:t>
      </w:r>
      <w:bookmarkStart w:id="7" w:name="OLE_LINK4"/>
      <w:bookmarkStart w:id="8" w:name="OLE_LINK5"/>
      <w:r>
        <w:t>trades (P</w:t>
      </w:r>
      <w:r>
        <w:rPr>
          <w:vertAlign w:val="subscript"/>
        </w:rPr>
        <w:t>DEAL</w:t>
      </w:r>
      <w:r>
        <w:t xml:space="preserve">), executed for the period t, where </w:t>
      </w:r>
      <w:r>
        <w:object w:dxaOrig="1200" w:dyaOrig="279" w14:anchorId="65D5E31F">
          <v:shape id="_x0000_i1035" type="#_x0000_t75" style="width:51pt;height:10.8pt" o:ole="">
            <v:imagedata r:id="rId26" o:title=""/>
          </v:shape>
          <o:OLEObject Type="Embed" ProgID="Equation.3" ShapeID="_x0000_i1035" DrawAspect="Content" ObjectID="_1803883531" r:id="rId27"/>
        </w:object>
      </w:r>
      <w:bookmarkEnd w:id="7"/>
      <w:bookmarkEnd w:id="8"/>
      <w:r>
        <w:t xml:space="preserve"> (n - the time of calculation of the current value of the Indicator, n-1 - the time of calculation of the previous value of the Indicator) is calculated:</w:t>
      </w:r>
    </w:p>
    <w:p w14:paraId="1FD6E177" w14:textId="77777777" w:rsidR="004541BA" w:rsidRPr="00C6787C" w:rsidRDefault="00D90D7B" w:rsidP="00065E3E">
      <w:pPr>
        <w:pStyle w:val="3"/>
        <w:spacing w:beforeLines="50" w:before="120" w:after="0"/>
        <w:ind w:left="360"/>
        <w:jc w:val="both"/>
        <w:rPr>
          <w:rFonts w:cs="Arial"/>
          <w:szCs w:val="20"/>
        </w:rPr>
      </w:pPr>
      <w:r>
        <w:object w:dxaOrig="1820" w:dyaOrig="1400" w14:anchorId="5976FCFE">
          <v:shape id="_x0000_i1036" type="#_x0000_t75" style="width:82.2pt;height:61.8pt" o:ole="">
            <v:imagedata r:id="rId28" o:title=""/>
          </v:shape>
          <o:OLEObject Type="Embed" ProgID="Equation.3" ShapeID="_x0000_i1036" DrawAspect="Content" ObjectID="_1803883532" r:id="rId29"/>
        </w:object>
      </w:r>
      <w:r>
        <w:t>,</w:t>
      </w:r>
    </w:p>
    <w:p w14:paraId="1194621B" w14:textId="77777777" w:rsidR="00361746" w:rsidRPr="00C6787C" w:rsidRDefault="00361746" w:rsidP="00361746">
      <w:pPr>
        <w:pStyle w:val="3"/>
        <w:spacing w:beforeLines="50" w:before="120" w:after="0"/>
        <w:ind w:left="720"/>
        <w:jc w:val="both"/>
        <w:rPr>
          <w:rFonts w:cs="Arial"/>
          <w:szCs w:val="20"/>
        </w:rPr>
      </w:pPr>
      <w:r>
        <w:t>Pj - the price of the j</w:t>
      </w:r>
      <w:r>
        <w:rPr>
          <w:vertAlign w:val="superscript"/>
        </w:rPr>
        <w:t>th</w:t>
      </w:r>
      <w:r>
        <w:t xml:space="preserve"> trade;</w:t>
      </w:r>
    </w:p>
    <w:p w14:paraId="0484716A" w14:textId="77777777" w:rsidR="00361746" w:rsidRPr="00C6787C" w:rsidRDefault="00361746" w:rsidP="00361746">
      <w:pPr>
        <w:pStyle w:val="3"/>
        <w:spacing w:beforeLines="50" w:before="120" w:after="0"/>
        <w:ind w:left="720"/>
        <w:jc w:val="both"/>
        <w:rPr>
          <w:rFonts w:cs="Arial"/>
          <w:szCs w:val="20"/>
        </w:rPr>
      </w:pPr>
      <w:r>
        <w:t>Qj - the volume of the j</w:t>
      </w:r>
      <w:r>
        <w:rPr>
          <w:vertAlign w:val="superscript"/>
        </w:rPr>
        <w:t>th</w:t>
      </w:r>
      <w:r>
        <w:t xml:space="preserve"> trade;</w:t>
      </w:r>
    </w:p>
    <w:p w14:paraId="67FFAD8C" w14:textId="77777777" w:rsidR="00361746" w:rsidRPr="00C6787C" w:rsidRDefault="00361746" w:rsidP="00361746">
      <w:pPr>
        <w:pStyle w:val="3"/>
        <w:spacing w:beforeLines="50" w:before="120" w:after="0"/>
        <w:ind w:left="720"/>
        <w:jc w:val="both"/>
        <w:rPr>
          <w:rFonts w:cs="Arial"/>
          <w:szCs w:val="20"/>
        </w:rPr>
      </w:pPr>
      <w:r>
        <w:lastRenderedPageBreak/>
        <w:t>M - number of trades over the period.</w:t>
      </w:r>
    </w:p>
    <w:p w14:paraId="56B1BCFC" w14:textId="2DD550B8" w:rsidR="003A4DB3" w:rsidRPr="004A74EB" w:rsidRDefault="007C6F40" w:rsidP="00534CA2">
      <w:pPr>
        <w:pStyle w:val="3"/>
        <w:numPr>
          <w:ilvl w:val="1"/>
          <w:numId w:val="1"/>
        </w:numPr>
        <w:spacing w:beforeLines="50" w:before="120" w:after="0"/>
        <w:ind w:hanging="508"/>
        <w:jc w:val="both"/>
        <w:rPr>
          <w:rFonts w:cs="Arial"/>
          <w:szCs w:val="20"/>
        </w:rPr>
      </w:pPr>
      <w:r>
        <w:t>The average price (P</w:t>
      </w:r>
      <w:r>
        <w:rPr>
          <w:vertAlign w:val="subscript"/>
        </w:rPr>
        <w:t>FIX</w:t>
      </w:r>
      <w:r>
        <w:t xml:space="preserve">) of trades executed over the period t, where </w:t>
      </w:r>
      <w:r>
        <w:object w:dxaOrig="1200" w:dyaOrig="279" w14:anchorId="28A1073B">
          <v:shape id="_x0000_i1037" type="#_x0000_t75" style="width:51pt;height:10.8pt" o:ole="">
            <v:imagedata r:id="rId26" o:title=""/>
          </v:shape>
          <o:OLEObject Type="Embed" ProgID="Equation.3" ShapeID="_x0000_i1037" DrawAspect="Content" ObjectID="_1803883533" r:id="rId30"/>
        </w:object>
      </w:r>
      <w:r>
        <w:t xml:space="preserve"> (n - the time of calculation of the current Indicator value, n-1 - the time of calculation of the previous Indicator value), and the quotes at time n are calculated:</w:t>
      </w:r>
    </w:p>
    <w:p w14:paraId="7BABE350" w14:textId="77777777" w:rsidR="002C5560" w:rsidRPr="00C6787C" w:rsidRDefault="002C5560" w:rsidP="003A4DB3">
      <w:pPr>
        <w:pStyle w:val="3"/>
        <w:spacing w:beforeLines="50" w:before="120" w:after="0"/>
        <w:ind w:left="360"/>
        <w:jc w:val="both"/>
      </w:pPr>
      <w:r>
        <w:object w:dxaOrig="2860" w:dyaOrig="340" w14:anchorId="449F2CC3">
          <v:shape id="_x0000_i1038" type="#_x0000_t75" style="width:143.4pt;height:19.2pt" o:ole="">
            <v:imagedata r:id="rId31" o:title=""/>
          </v:shape>
          <o:OLEObject Type="Embed" ProgID="Equation.3" ShapeID="_x0000_i1038" DrawAspect="Content" ObjectID="_1803883534" r:id="rId32"/>
        </w:object>
      </w:r>
      <w:r>
        <w:t>,</w:t>
      </w:r>
    </w:p>
    <w:p w14:paraId="0C3C771E" w14:textId="77777777" w:rsidR="002C5560" w:rsidRPr="00C6787C" w:rsidRDefault="002C5560" w:rsidP="003A4DB3">
      <w:pPr>
        <w:pStyle w:val="3"/>
        <w:spacing w:beforeLines="50" w:before="120" w:after="0"/>
        <w:ind w:left="360"/>
        <w:jc w:val="both"/>
      </w:pPr>
      <w:r>
        <w:t xml:space="preserve">where: </w:t>
      </w:r>
    </w:p>
    <w:p w14:paraId="06B2618A" w14:textId="77777777" w:rsidR="002C5560" w:rsidRPr="00C6787C" w:rsidRDefault="002C5560" w:rsidP="003A4DB3">
      <w:pPr>
        <w:pStyle w:val="3"/>
        <w:spacing w:beforeLines="50" w:before="120" w:after="0"/>
        <w:ind w:left="360"/>
        <w:jc w:val="both"/>
      </w:pPr>
      <w:r>
        <w:t xml:space="preserve">q – the parameter, </w:t>
      </w:r>
      <w:r>
        <w:object w:dxaOrig="900" w:dyaOrig="320" w14:anchorId="298515E0">
          <v:shape id="_x0000_i1039" type="#_x0000_t75" style="width:45.6pt;height:15pt" o:ole="">
            <v:imagedata r:id="rId33" o:title=""/>
          </v:shape>
          <o:OLEObject Type="Embed" ProgID="Equation.3" ShapeID="_x0000_i1039" DrawAspect="Content" ObjectID="_1803883535" r:id="rId34"/>
        </w:object>
      </w:r>
      <w:r>
        <w:t>;</w:t>
      </w:r>
    </w:p>
    <w:p w14:paraId="0454A1FC" w14:textId="77777777" w:rsidR="002C5560" w:rsidRPr="00C6787C" w:rsidRDefault="00D90D7B" w:rsidP="003A4DB3">
      <w:pPr>
        <w:pStyle w:val="3"/>
        <w:spacing w:beforeLines="50" w:before="120" w:after="0"/>
        <w:ind w:left="360"/>
        <w:jc w:val="both"/>
      </w:pPr>
      <w:r>
        <w:object w:dxaOrig="1180" w:dyaOrig="700" w14:anchorId="71A4EE77">
          <v:shape id="_x0000_i1040" type="#_x0000_t75" style="width:53.4pt;height:31.8pt" o:ole="">
            <v:imagedata r:id="rId35" o:title=""/>
          </v:shape>
          <o:OLEObject Type="Embed" ProgID="Equation.3" ShapeID="_x0000_i1040" DrawAspect="Content" ObjectID="_1803883536" r:id="rId36"/>
        </w:object>
      </w:r>
      <w:r>
        <w:t>;</w:t>
      </w:r>
    </w:p>
    <w:p w14:paraId="3DD6F286" w14:textId="77777777" w:rsidR="008656D6" w:rsidRPr="00C6787C" w:rsidRDefault="008656D6" w:rsidP="003A4DB3">
      <w:pPr>
        <w:pStyle w:val="3"/>
        <w:spacing w:beforeLines="50" w:before="120" w:after="0"/>
        <w:ind w:left="360"/>
        <w:jc w:val="both"/>
        <w:rPr>
          <w:rFonts w:cs="Arial"/>
          <w:szCs w:val="20"/>
        </w:rPr>
      </w:pPr>
      <w:r>
        <w:t>Q</w:t>
      </w:r>
      <w:r>
        <w:rPr>
          <w:vertAlign w:val="subscript"/>
        </w:rPr>
        <w:t>t</w:t>
      </w:r>
      <w:r>
        <w:t xml:space="preserve"> – the volume of trade over second t;</w:t>
      </w:r>
    </w:p>
    <w:p w14:paraId="7A22DE6F" w14:textId="77777777" w:rsidR="008656D6" w:rsidRPr="00C6787C" w:rsidRDefault="008656D6" w:rsidP="003A4DB3">
      <w:pPr>
        <w:pStyle w:val="3"/>
        <w:spacing w:beforeLines="50" w:before="120" w:after="0"/>
        <w:ind w:left="360"/>
        <w:jc w:val="both"/>
      </w:pPr>
      <w:r>
        <w:t>= 1,000,000, unless other is set by the Exchange.</w:t>
      </w:r>
    </w:p>
    <w:p w14:paraId="26BC4DC6" w14:textId="717197B1" w:rsidR="003A4DB3" w:rsidRPr="00C6787C" w:rsidRDefault="003A4DB3" w:rsidP="00534CA2">
      <w:pPr>
        <w:pStyle w:val="3"/>
        <w:numPr>
          <w:ilvl w:val="1"/>
          <w:numId w:val="1"/>
        </w:numPr>
        <w:spacing w:beforeLines="50" w:before="120" w:after="0"/>
        <w:ind w:hanging="508"/>
        <w:jc w:val="both"/>
        <w:rPr>
          <w:rFonts w:cs="Arial"/>
          <w:szCs w:val="20"/>
        </w:rPr>
      </w:pPr>
      <w:r>
        <w:t xml:space="preserve">If, in the period t, where </w:t>
      </w:r>
      <w:r>
        <w:object w:dxaOrig="1200" w:dyaOrig="279" w14:anchorId="1746888B">
          <v:shape id="_x0000_i1041" type="#_x0000_t75" style="width:49.2pt;height:10.8pt" o:ole="">
            <v:imagedata r:id="rId26" o:title=""/>
          </v:shape>
          <o:OLEObject Type="Embed" ProgID="Equation.3" ShapeID="_x0000_i1041" DrawAspect="Content" ObjectID="_1803883537" r:id="rId37"/>
        </w:object>
      </w:r>
      <w:r>
        <w:t xml:space="preserve"> (n - the time of calculation of the current Indicator value, n-1 - the time of calculation of the previous their value), no trades were executed that can be taken to calculate the Indicator, P</w:t>
      </w:r>
      <w:r>
        <w:rPr>
          <w:vertAlign w:val="subscript"/>
        </w:rPr>
        <w:t>DEAL</w:t>
      </w:r>
      <w:r>
        <w:t>P is not calculated, and P</w:t>
      </w:r>
      <w:r>
        <w:rPr>
          <w:vertAlign w:val="subscript"/>
        </w:rPr>
        <w:t>FIX</w:t>
      </w:r>
      <w:r>
        <w:t xml:space="preserve"> is set to equal to P</w:t>
      </w:r>
      <w:r>
        <w:rPr>
          <w:vertAlign w:val="subscript"/>
        </w:rPr>
        <w:t>MID</w:t>
      </w:r>
      <w:r>
        <w:t>.</w:t>
      </w:r>
    </w:p>
    <w:p w14:paraId="1815E5B1" w14:textId="31765951" w:rsidR="00321F0B" w:rsidRDefault="00321F0B" w:rsidP="00321F0B">
      <w:pPr>
        <w:pStyle w:val="3"/>
        <w:numPr>
          <w:ilvl w:val="0"/>
          <w:numId w:val="1"/>
        </w:numPr>
        <w:spacing w:beforeLines="50" w:before="120" w:after="0"/>
        <w:jc w:val="both"/>
        <w:rPr>
          <w:rFonts w:cs="Arial"/>
          <w:szCs w:val="20"/>
        </w:rPr>
      </w:pPr>
      <w:bookmarkStart w:id="9" w:name="_Ref240086419"/>
      <w:r>
        <w:t>In the event of a technical failure (including during the calculation of the Indicator or during market hours for the Instrument used to calculate the Indicator) which has resulted in a distortion of the data used to calculate the Indicator, a recalculation of the previously calculated values of the Indicator is permitted. The said recalculation shall be carried out as soon as possible after the technical failure has been detected.</w:t>
      </w:r>
    </w:p>
    <w:p w14:paraId="71A1F22C" w14:textId="244D3784" w:rsidR="0046399D" w:rsidRPr="0046399D" w:rsidRDefault="00FF281F" w:rsidP="00A016C9">
      <w:pPr>
        <w:pStyle w:val="3"/>
        <w:numPr>
          <w:ilvl w:val="0"/>
          <w:numId w:val="1"/>
        </w:numPr>
        <w:spacing w:beforeLines="50" w:before="120" w:after="0"/>
        <w:jc w:val="both"/>
      </w:pPr>
      <w:r>
        <w:t>Values of the Indicator are published daily on the Exchange website within 5 minutes after their calculation.</w:t>
      </w:r>
      <w:bookmarkEnd w:id="9"/>
      <w:r>
        <w:t xml:space="preserve"> The information that must be published on the official website of the Exchange in accordance with this Methodology may also be disseminated  through other means, including information agencies that disseminate MOEX market data.</w:t>
      </w:r>
    </w:p>
    <w:p w14:paraId="2831FE17" w14:textId="30DEE272" w:rsidR="00A016C9" w:rsidRDefault="005A1DDA" w:rsidP="00A016C9">
      <w:pPr>
        <w:pStyle w:val="3"/>
        <w:numPr>
          <w:ilvl w:val="0"/>
          <w:numId w:val="1"/>
        </w:numPr>
        <w:spacing w:beforeLines="50" w:before="120" w:after="0"/>
        <w:jc w:val="both"/>
      </w:pPr>
      <w:r>
        <w:t>All terms and definitions not specifically defined in this Methodology are used in the meanings assigned to them in the Exchange trading rules for the Instruments.</w:t>
      </w:r>
    </w:p>
    <w:p w14:paraId="20ED7653" w14:textId="77777777" w:rsidR="00A016C9" w:rsidRDefault="00A016C9" w:rsidP="00A016C9">
      <w:pPr>
        <w:pStyle w:val="3"/>
        <w:spacing w:beforeLines="50" w:before="120" w:after="0"/>
        <w:jc w:val="both"/>
      </w:pPr>
    </w:p>
    <w:p w14:paraId="50E109F2" w14:textId="77777777" w:rsidR="00A016C9" w:rsidRDefault="00A016C9" w:rsidP="00A016C9">
      <w:pPr>
        <w:pStyle w:val="3"/>
        <w:spacing w:beforeLines="50" w:before="120" w:after="0"/>
        <w:jc w:val="both"/>
      </w:pPr>
    </w:p>
    <w:p w14:paraId="644760CE" w14:textId="77777777" w:rsidR="00D32F38" w:rsidRDefault="00A016C9" w:rsidP="00534CA2">
      <w:pPr>
        <w:pStyle w:val="3"/>
        <w:spacing w:beforeLines="50" w:before="120" w:after="0"/>
        <w:jc w:val="both"/>
      </w:pPr>
      <w:r>
        <w:br w:type="page"/>
      </w:r>
      <w:r>
        <w:lastRenderedPageBreak/>
        <w:t>Appendix 1 to the Indicative rate calculation methodology</w:t>
      </w:r>
    </w:p>
    <w:p w14:paraId="21599B26" w14:textId="7EA63151" w:rsidR="00A016C9" w:rsidRDefault="00A016C9" w:rsidP="00D32F38">
      <w:pPr>
        <w:pStyle w:val="3"/>
        <w:spacing w:beforeLines="50" w:before="120" w:after="0"/>
        <w:ind w:left="5664"/>
        <w:jc w:val="both"/>
      </w:pPr>
      <w:r>
        <w:t xml:space="preserve"> </w:t>
      </w:r>
    </w:p>
    <w:p w14:paraId="05A1D241" w14:textId="77777777" w:rsidR="00D32F38" w:rsidRDefault="00D32F38" w:rsidP="00D32F38">
      <w:pPr>
        <w:pStyle w:val="3"/>
        <w:spacing w:beforeLines="50" w:before="120" w:after="0"/>
        <w:ind w:left="5664"/>
        <w:jc w:val="both"/>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359"/>
        <w:gridCol w:w="3592"/>
      </w:tblGrid>
      <w:tr w:rsidR="00B011BF" w14:paraId="65C3521C" w14:textId="77777777" w:rsidTr="0046399D">
        <w:tc>
          <w:tcPr>
            <w:tcW w:w="2712" w:type="dxa"/>
          </w:tcPr>
          <w:p w14:paraId="2CE6D7C4" w14:textId="526A9E28" w:rsidR="00B011BF" w:rsidRDefault="00FB453B" w:rsidP="00300471">
            <w:pPr>
              <w:pStyle w:val="3"/>
              <w:spacing w:beforeLines="50" w:before="120" w:after="0"/>
              <w:jc w:val="both"/>
            </w:pPr>
            <w:r>
              <w:t>Indicator name</w:t>
            </w:r>
          </w:p>
        </w:tc>
        <w:tc>
          <w:tcPr>
            <w:tcW w:w="3359" w:type="dxa"/>
          </w:tcPr>
          <w:p w14:paraId="2C0BCC19" w14:textId="2F10C193" w:rsidR="00B011BF" w:rsidRDefault="00FB453B" w:rsidP="00300471">
            <w:pPr>
              <w:pStyle w:val="3"/>
              <w:spacing w:beforeLines="50" w:before="120" w:after="0"/>
              <w:jc w:val="both"/>
            </w:pPr>
            <w:r>
              <w:t>Indicator identifier</w:t>
            </w:r>
          </w:p>
        </w:tc>
        <w:tc>
          <w:tcPr>
            <w:tcW w:w="3592" w:type="dxa"/>
          </w:tcPr>
          <w:p w14:paraId="5BA1B5AB" w14:textId="539B59D2" w:rsidR="00B011BF" w:rsidRDefault="00B011BF" w:rsidP="00064CF4">
            <w:pPr>
              <w:pStyle w:val="3"/>
              <w:spacing w:beforeLines="50" w:before="120" w:after="0"/>
              <w:jc w:val="both"/>
            </w:pPr>
            <w:r>
              <w:t>Name of swap instrument used to calculate the indicator</w:t>
            </w:r>
          </w:p>
        </w:tc>
      </w:tr>
      <w:tr w:rsidR="00FB453B" w14:paraId="60419AD6" w14:textId="77777777" w:rsidTr="0046399D">
        <w:tc>
          <w:tcPr>
            <w:tcW w:w="2712" w:type="dxa"/>
          </w:tcPr>
          <w:p w14:paraId="2BADBB9E" w14:textId="41C9225E" w:rsidR="00FB453B" w:rsidRPr="000374BD" w:rsidRDefault="00FB453B" w:rsidP="00FB453B">
            <w:pPr>
              <w:pStyle w:val="3"/>
              <w:spacing w:beforeLines="50" w:before="120" w:after="0"/>
              <w:jc w:val="both"/>
            </w:pPr>
            <w:r>
              <w:t>MOEX SRATE_CNY_ON</w:t>
            </w:r>
          </w:p>
        </w:tc>
        <w:tc>
          <w:tcPr>
            <w:tcW w:w="3359" w:type="dxa"/>
          </w:tcPr>
          <w:p w14:paraId="0601B466" w14:textId="467C5AA1" w:rsidR="00FB453B" w:rsidRPr="00261FC4" w:rsidRDefault="00FB453B" w:rsidP="00FB453B">
            <w:pPr>
              <w:pStyle w:val="3"/>
              <w:spacing w:beforeLines="50" w:before="120" w:after="0"/>
              <w:jc w:val="both"/>
            </w:pPr>
            <w:r>
              <w:t>SRATE_CNY_ON</w:t>
            </w:r>
          </w:p>
        </w:tc>
        <w:tc>
          <w:tcPr>
            <w:tcW w:w="3592" w:type="dxa"/>
          </w:tcPr>
          <w:p w14:paraId="0A725C0A" w14:textId="77777777" w:rsidR="00FB453B" w:rsidRPr="00300471" w:rsidRDefault="00FB453B" w:rsidP="00FB453B">
            <w:pPr>
              <w:pStyle w:val="3"/>
              <w:spacing w:beforeLines="50" w:before="120" w:after="0"/>
              <w:jc w:val="both"/>
              <w:rPr>
                <w:rFonts w:cs="Arial"/>
                <w:szCs w:val="20"/>
              </w:rPr>
            </w:pPr>
            <w:r>
              <w:t>CNY_TODTOM</w:t>
            </w:r>
          </w:p>
        </w:tc>
      </w:tr>
    </w:tbl>
    <w:p w14:paraId="709D9A36" w14:textId="2B083A0F" w:rsidR="00FB453B" w:rsidRPr="0046399D" w:rsidRDefault="00FB453B" w:rsidP="0046399D">
      <w:pPr>
        <w:pStyle w:val="3"/>
        <w:spacing w:beforeLines="50" w:before="120" w:after="0"/>
        <w:ind w:left="-284"/>
        <w:jc w:val="both"/>
        <w:rPr>
          <w:rFonts w:cs="Arial"/>
          <w:szCs w:val="20"/>
        </w:rPr>
      </w:pPr>
      <w:r>
        <w:t>The word mark "MOEX" is a trademark of Moscow Exchange registered by the Federal Service for Intellectual Property in the State Register of Trademarks and Service Marks of the Russian Federation on 29 August 2014 (trademark certificate No. 521450).</w:t>
      </w:r>
    </w:p>
    <w:p w14:paraId="3D486AB6" w14:textId="77777777" w:rsidR="00FB453B" w:rsidRPr="0046399D" w:rsidRDefault="00FB453B" w:rsidP="006D3C72">
      <w:pPr>
        <w:jc w:val="right"/>
      </w:pPr>
    </w:p>
    <w:sectPr w:rsidR="00FB453B" w:rsidRPr="0046399D">
      <w:headerReference w:type="default" r:id="rId38"/>
      <w:footerReference w:type="defaul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5FCD8" w14:textId="77777777" w:rsidR="00A0474C" w:rsidRPr="00915AF5" w:rsidRDefault="00A0474C" w:rsidP="00FE56D0">
      <w:pPr>
        <w:rPr>
          <w:rFonts w:ascii="Verdana" w:hAnsi="Verdana" w:cs="Verdana"/>
          <w:lang w:eastAsia="en-US"/>
        </w:rPr>
      </w:pPr>
      <w:r>
        <w:separator/>
      </w:r>
    </w:p>
  </w:endnote>
  <w:endnote w:type="continuationSeparator" w:id="0">
    <w:p w14:paraId="500D3584" w14:textId="77777777" w:rsidR="00A0474C" w:rsidRPr="00915AF5" w:rsidRDefault="00A0474C" w:rsidP="00FE56D0">
      <w:pPr>
        <w:rPr>
          <w:rFonts w:ascii="Verdana" w:hAnsi="Verdana" w:cs="Verdana"/>
          <w:lang w:eastAsia="en-US"/>
        </w:rPr>
      </w:pPr>
      <w:r>
        <w:continuationSeparator/>
      </w:r>
    </w:p>
  </w:endnote>
  <w:endnote w:type="continuationNotice" w:id="1">
    <w:p w14:paraId="68281849" w14:textId="77777777" w:rsidR="00A0474C" w:rsidRDefault="00A04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A82F9" w14:textId="77777777" w:rsidR="00C316BF" w:rsidRPr="00781E18" w:rsidRDefault="00C316BF" w:rsidP="00781E18">
    <w:pPr>
      <w:pStyle w:val="a8"/>
      <w:jc w:val="right"/>
      <w:rPr>
        <w:rFonts w:ascii="Arial" w:hAnsi="Arial" w:cs="Arial"/>
        <w:sz w:val="20"/>
        <w:szCs w:val="20"/>
      </w:rPr>
    </w:pPr>
    <w:r w:rsidRPr="00781E18">
      <w:rPr>
        <w:rFonts w:ascii="Arial" w:hAnsi="Arial" w:cs="Arial"/>
        <w:sz w:val="20"/>
      </w:rPr>
      <w:fldChar w:fldCharType="begin"/>
    </w:r>
    <w:r w:rsidRPr="00781E18">
      <w:rPr>
        <w:rFonts w:ascii="Arial" w:hAnsi="Arial" w:cs="Arial"/>
        <w:sz w:val="20"/>
      </w:rPr>
      <w:instrText xml:space="preserve"> PAGE   \* MERGEFORMAT </w:instrText>
    </w:r>
    <w:r w:rsidRPr="00781E18">
      <w:rPr>
        <w:rFonts w:ascii="Arial" w:hAnsi="Arial" w:cs="Arial"/>
        <w:sz w:val="20"/>
      </w:rPr>
      <w:fldChar w:fldCharType="separate"/>
    </w:r>
    <w:r w:rsidR="00AF4E71">
      <w:rPr>
        <w:rFonts w:ascii="Arial" w:hAnsi="Arial" w:cs="Arial"/>
        <w:sz w:val="20"/>
      </w:rPr>
      <w:t>1</w:t>
    </w:r>
    <w:r w:rsidRPr="00781E18">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1E67A" w14:textId="77777777" w:rsidR="00A0474C" w:rsidRPr="00915AF5" w:rsidRDefault="00A0474C" w:rsidP="00FE56D0">
      <w:pPr>
        <w:rPr>
          <w:rFonts w:ascii="Verdana" w:hAnsi="Verdana" w:cs="Verdana"/>
          <w:lang w:eastAsia="en-US"/>
        </w:rPr>
      </w:pPr>
      <w:r>
        <w:separator/>
      </w:r>
    </w:p>
  </w:footnote>
  <w:footnote w:type="continuationSeparator" w:id="0">
    <w:p w14:paraId="6E5F8B59" w14:textId="77777777" w:rsidR="00A0474C" w:rsidRPr="00915AF5" w:rsidRDefault="00A0474C" w:rsidP="00FE56D0">
      <w:pPr>
        <w:rPr>
          <w:rFonts w:ascii="Verdana" w:hAnsi="Verdana" w:cs="Verdana"/>
          <w:lang w:eastAsia="en-US"/>
        </w:rPr>
      </w:pPr>
      <w:r>
        <w:continuationSeparator/>
      </w:r>
    </w:p>
  </w:footnote>
  <w:footnote w:type="continuationNotice" w:id="1">
    <w:p w14:paraId="641E081E" w14:textId="77777777" w:rsidR="00A0474C" w:rsidRDefault="00A04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A0FB" w14:textId="77777777" w:rsidR="00A0474C" w:rsidRDefault="00A0474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744FA"/>
    <w:multiLevelType w:val="hybridMultilevel"/>
    <w:tmpl w:val="CA549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94C0155"/>
    <w:multiLevelType w:val="hybridMultilevel"/>
    <w:tmpl w:val="2FC4C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A732E32"/>
    <w:multiLevelType w:val="hybridMultilevel"/>
    <w:tmpl w:val="BC3CFC66"/>
    <w:lvl w:ilvl="0" w:tplc="97169922">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0056A5E"/>
    <w:multiLevelType w:val="hybridMultilevel"/>
    <w:tmpl w:val="F232EE2E"/>
    <w:lvl w:ilvl="0" w:tplc="97169922">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540C289A"/>
    <w:multiLevelType w:val="multilevel"/>
    <w:tmpl w:val="CD560EA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996"/>
        </w:tabs>
        <w:ind w:left="1924"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5F576268"/>
    <w:multiLevelType w:val="hybridMultilevel"/>
    <w:tmpl w:val="DA06ACAC"/>
    <w:lvl w:ilvl="0" w:tplc="F4AE518A">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CB082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D67689F"/>
    <w:multiLevelType w:val="hybridMultilevel"/>
    <w:tmpl w:val="D076F8E8"/>
    <w:lvl w:ilvl="0" w:tplc="0419000F">
      <w:start w:val="1"/>
      <w:numFmt w:val="decimal"/>
      <w:lvlText w:val="%1."/>
      <w:lvlJc w:val="left"/>
      <w:pPr>
        <w:tabs>
          <w:tab w:val="num" w:pos="780"/>
        </w:tabs>
        <w:ind w:left="7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8E75B7"/>
    <w:multiLevelType w:val="hybridMultilevel"/>
    <w:tmpl w:val="669039B4"/>
    <w:lvl w:ilvl="0" w:tplc="97169922">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0"/>
  </w:num>
  <w:num w:numId="3">
    <w:abstractNumId w:val="1"/>
  </w:num>
  <w:num w:numId="4">
    <w:abstractNumId w:val="5"/>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19"/>
    <w:rsid w:val="0000283F"/>
    <w:rsid w:val="00003FE4"/>
    <w:rsid w:val="00014BA0"/>
    <w:rsid w:val="0002164B"/>
    <w:rsid w:val="0002645C"/>
    <w:rsid w:val="00036C2C"/>
    <w:rsid w:val="00037D7B"/>
    <w:rsid w:val="000419DB"/>
    <w:rsid w:val="000429DE"/>
    <w:rsid w:val="00050276"/>
    <w:rsid w:val="00051311"/>
    <w:rsid w:val="0005432C"/>
    <w:rsid w:val="00054901"/>
    <w:rsid w:val="000564D9"/>
    <w:rsid w:val="0006326A"/>
    <w:rsid w:val="00064CF4"/>
    <w:rsid w:val="00065E3E"/>
    <w:rsid w:val="000661EA"/>
    <w:rsid w:val="00073F61"/>
    <w:rsid w:val="000829B6"/>
    <w:rsid w:val="00085FFD"/>
    <w:rsid w:val="000877F9"/>
    <w:rsid w:val="00091260"/>
    <w:rsid w:val="000A1E98"/>
    <w:rsid w:val="000A55D3"/>
    <w:rsid w:val="000B34A2"/>
    <w:rsid w:val="000C3010"/>
    <w:rsid w:val="000C3B14"/>
    <w:rsid w:val="000C46FD"/>
    <w:rsid w:val="000C4C79"/>
    <w:rsid w:val="000C6B64"/>
    <w:rsid w:val="000D031C"/>
    <w:rsid w:val="000D0AB0"/>
    <w:rsid w:val="000D5DF1"/>
    <w:rsid w:val="000D7CEF"/>
    <w:rsid w:val="000E01D8"/>
    <w:rsid w:val="000E1930"/>
    <w:rsid w:val="000E5DD0"/>
    <w:rsid w:val="001002B5"/>
    <w:rsid w:val="00100BDD"/>
    <w:rsid w:val="0010559E"/>
    <w:rsid w:val="00107F25"/>
    <w:rsid w:val="00110757"/>
    <w:rsid w:val="00114C0F"/>
    <w:rsid w:val="00120D99"/>
    <w:rsid w:val="00122A64"/>
    <w:rsid w:val="00123267"/>
    <w:rsid w:val="00131C29"/>
    <w:rsid w:val="0013437F"/>
    <w:rsid w:val="00136F3E"/>
    <w:rsid w:val="00141732"/>
    <w:rsid w:val="00147099"/>
    <w:rsid w:val="00157CDF"/>
    <w:rsid w:val="001650E8"/>
    <w:rsid w:val="001714EE"/>
    <w:rsid w:val="0017567D"/>
    <w:rsid w:val="00182C7C"/>
    <w:rsid w:val="0018382D"/>
    <w:rsid w:val="00184C89"/>
    <w:rsid w:val="001B0DFB"/>
    <w:rsid w:val="001B1CBE"/>
    <w:rsid w:val="001B41F6"/>
    <w:rsid w:val="001D074A"/>
    <w:rsid w:val="001D1D44"/>
    <w:rsid w:val="001D5062"/>
    <w:rsid w:val="001D68D6"/>
    <w:rsid w:val="001E22ED"/>
    <w:rsid w:val="001E2570"/>
    <w:rsid w:val="001F110E"/>
    <w:rsid w:val="001F3AC2"/>
    <w:rsid w:val="00201C72"/>
    <w:rsid w:val="00212C56"/>
    <w:rsid w:val="00212F06"/>
    <w:rsid w:val="00222B4D"/>
    <w:rsid w:val="002270D7"/>
    <w:rsid w:val="002445C0"/>
    <w:rsid w:val="00251E6C"/>
    <w:rsid w:val="002615B3"/>
    <w:rsid w:val="00261FC4"/>
    <w:rsid w:val="00262459"/>
    <w:rsid w:val="0026344D"/>
    <w:rsid w:val="00275D98"/>
    <w:rsid w:val="00276751"/>
    <w:rsid w:val="00284A28"/>
    <w:rsid w:val="00284C32"/>
    <w:rsid w:val="0028619B"/>
    <w:rsid w:val="00295627"/>
    <w:rsid w:val="00296AB2"/>
    <w:rsid w:val="002A36CE"/>
    <w:rsid w:val="002A3DC7"/>
    <w:rsid w:val="002A5B0E"/>
    <w:rsid w:val="002A7321"/>
    <w:rsid w:val="002B04A2"/>
    <w:rsid w:val="002B590D"/>
    <w:rsid w:val="002C53EE"/>
    <w:rsid w:val="002C5560"/>
    <w:rsid w:val="002C7E7F"/>
    <w:rsid w:val="002F1989"/>
    <w:rsid w:val="002F7235"/>
    <w:rsid w:val="00300471"/>
    <w:rsid w:val="00306181"/>
    <w:rsid w:val="003172E2"/>
    <w:rsid w:val="00321F0B"/>
    <w:rsid w:val="003220E0"/>
    <w:rsid w:val="00322C55"/>
    <w:rsid w:val="00326D14"/>
    <w:rsid w:val="00332952"/>
    <w:rsid w:val="00332B61"/>
    <w:rsid w:val="0033626E"/>
    <w:rsid w:val="00341F41"/>
    <w:rsid w:val="00343502"/>
    <w:rsid w:val="003468A8"/>
    <w:rsid w:val="00346F6D"/>
    <w:rsid w:val="00347517"/>
    <w:rsid w:val="00356547"/>
    <w:rsid w:val="00361746"/>
    <w:rsid w:val="00373676"/>
    <w:rsid w:val="00386FAF"/>
    <w:rsid w:val="0039039F"/>
    <w:rsid w:val="003A4DB3"/>
    <w:rsid w:val="003A6527"/>
    <w:rsid w:val="003B3754"/>
    <w:rsid w:val="003D06B6"/>
    <w:rsid w:val="003D3672"/>
    <w:rsid w:val="003E1852"/>
    <w:rsid w:val="003E1F24"/>
    <w:rsid w:val="003E42E1"/>
    <w:rsid w:val="003E7841"/>
    <w:rsid w:val="003F4F2C"/>
    <w:rsid w:val="00402A69"/>
    <w:rsid w:val="004035F9"/>
    <w:rsid w:val="004101F9"/>
    <w:rsid w:val="00413F4C"/>
    <w:rsid w:val="004201BD"/>
    <w:rsid w:val="0043305D"/>
    <w:rsid w:val="00433F09"/>
    <w:rsid w:val="00434177"/>
    <w:rsid w:val="004541BA"/>
    <w:rsid w:val="00456AF4"/>
    <w:rsid w:val="00456EBB"/>
    <w:rsid w:val="00461E19"/>
    <w:rsid w:val="004626D4"/>
    <w:rsid w:val="0046399D"/>
    <w:rsid w:val="004648E3"/>
    <w:rsid w:val="00477FB0"/>
    <w:rsid w:val="00480137"/>
    <w:rsid w:val="00482F9D"/>
    <w:rsid w:val="00483742"/>
    <w:rsid w:val="0048609B"/>
    <w:rsid w:val="00490700"/>
    <w:rsid w:val="004A1F75"/>
    <w:rsid w:val="004A3D46"/>
    <w:rsid w:val="004A4B4A"/>
    <w:rsid w:val="004A74EB"/>
    <w:rsid w:val="004A7DA6"/>
    <w:rsid w:val="004B1B7B"/>
    <w:rsid w:val="004B22B2"/>
    <w:rsid w:val="004B2415"/>
    <w:rsid w:val="004C203F"/>
    <w:rsid w:val="004C5377"/>
    <w:rsid w:val="004C64B2"/>
    <w:rsid w:val="004C6B9D"/>
    <w:rsid w:val="004D0AFC"/>
    <w:rsid w:val="004D5F4B"/>
    <w:rsid w:val="004E3622"/>
    <w:rsid w:val="004F1E3A"/>
    <w:rsid w:val="004F7E99"/>
    <w:rsid w:val="00501762"/>
    <w:rsid w:val="005046FA"/>
    <w:rsid w:val="00510751"/>
    <w:rsid w:val="00512AC0"/>
    <w:rsid w:val="00512F66"/>
    <w:rsid w:val="00513998"/>
    <w:rsid w:val="0052211A"/>
    <w:rsid w:val="00524494"/>
    <w:rsid w:val="00534CA2"/>
    <w:rsid w:val="0054769B"/>
    <w:rsid w:val="00551A79"/>
    <w:rsid w:val="00560668"/>
    <w:rsid w:val="00560ECB"/>
    <w:rsid w:val="00563BA0"/>
    <w:rsid w:val="0056475C"/>
    <w:rsid w:val="00564E7E"/>
    <w:rsid w:val="005672B8"/>
    <w:rsid w:val="00570797"/>
    <w:rsid w:val="00571A25"/>
    <w:rsid w:val="00580D59"/>
    <w:rsid w:val="0058395B"/>
    <w:rsid w:val="00583A62"/>
    <w:rsid w:val="00583B2B"/>
    <w:rsid w:val="00592B16"/>
    <w:rsid w:val="005A021A"/>
    <w:rsid w:val="005A1DDA"/>
    <w:rsid w:val="005A274D"/>
    <w:rsid w:val="005A3341"/>
    <w:rsid w:val="005A3782"/>
    <w:rsid w:val="005B099C"/>
    <w:rsid w:val="005C487B"/>
    <w:rsid w:val="005D3E8B"/>
    <w:rsid w:val="005D5BA0"/>
    <w:rsid w:val="005D60BF"/>
    <w:rsid w:val="005D69D5"/>
    <w:rsid w:val="005D79D5"/>
    <w:rsid w:val="005E093E"/>
    <w:rsid w:val="005E44A9"/>
    <w:rsid w:val="005E5502"/>
    <w:rsid w:val="0060237C"/>
    <w:rsid w:val="00603D31"/>
    <w:rsid w:val="006242C8"/>
    <w:rsid w:val="006315EE"/>
    <w:rsid w:val="006324E9"/>
    <w:rsid w:val="0063308D"/>
    <w:rsid w:val="00636CC9"/>
    <w:rsid w:val="006404DC"/>
    <w:rsid w:val="00641F99"/>
    <w:rsid w:val="006448F6"/>
    <w:rsid w:val="00645A8A"/>
    <w:rsid w:val="00646B89"/>
    <w:rsid w:val="00655675"/>
    <w:rsid w:val="0067185A"/>
    <w:rsid w:val="00673290"/>
    <w:rsid w:val="00674793"/>
    <w:rsid w:val="00675435"/>
    <w:rsid w:val="00676655"/>
    <w:rsid w:val="006835BE"/>
    <w:rsid w:val="0068438E"/>
    <w:rsid w:val="006871BE"/>
    <w:rsid w:val="00694703"/>
    <w:rsid w:val="00697C14"/>
    <w:rsid w:val="00697E07"/>
    <w:rsid w:val="00697E3E"/>
    <w:rsid w:val="006A6AB0"/>
    <w:rsid w:val="006B06F3"/>
    <w:rsid w:val="006B5A3E"/>
    <w:rsid w:val="006C5B12"/>
    <w:rsid w:val="006C5E53"/>
    <w:rsid w:val="006C682E"/>
    <w:rsid w:val="006C6C0D"/>
    <w:rsid w:val="006D3C72"/>
    <w:rsid w:val="006D53BE"/>
    <w:rsid w:val="006D67E4"/>
    <w:rsid w:val="006E0B0A"/>
    <w:rsid w:val="006E0B97"/>
    <w:rsid w:val="006E24AC"/>
    <w:rsid w:val="006E4BDE"/>
    <w:rsid w:val="006E6161"/>
    <w:rsid w:val="006E7659"/>
    <w:rsid w:val="00707C75"/>
    <w:rsid w:val="00713F50"/>
    <w:rsid w:val="00716D6F"/>
    <w:rsid w:val="00720C52"/>
    <w:rsid w:val="00722C2F"/>
    <w:rsid w:val="00724C15"/>
    <w:rsid w:val="00732B1D"/>
    <w:rsid w:val="007355FD"/>
    <w:rsid w:val="0073761A"/>
    <w:rsid w:val="00742671"/>
    <w:rsid w:val="007434B0"/>
    <w:rsid w:val="00744710"/>
    <w:rsid w:val="007456E4"/>
    <w:rsid w:val="007459EF"/>
    <w:rsid w:val="007516E9"/>
    <w:rsid w:val="00754319"/>
    <w:rsid w:val="00764BED"/>
    <w:rsid w:val="007663E6"/>
    <w:rsid w:val="00771642"/>
    <w:rsid w:val="00775D09"/>
    <w:rsid w:val="00777D33"/>
    <w:rsid w:val="00780E8E"/>
    <w:rsid w:val="00781E18"/>
    <w:rsid w:val="007869E7"/>
    <w:rsid w:val="00790E82"/>
    <w:rsid w:val="007A09A7"/>
    <w:rsid w:val="007A166F"/>
    <w:rsid w:val="007A7820"/>
    <w:rsid w:val="007B2669"/>
    <w:rsid w:val="007B7B91"/>
    <w:rsid w:val="007C2B06"/>
    <w:rsid w:val="007C5F9A"/>
    <w:rsid w:val="007C6F40"/>
    <w:rsid w:val="007D4278"/>
    <w:rsid w:val="007E2D19"/>
    <w:rsid w:val="007F364D"/>
    <w:rsid w:val="007F7DAF"/>
    <w:rsid w:val="00801725"/>
    <w:rsid w:val="00801ACD"/>
    <w:rsid w:val="00802801"/>
    <w:rsid w:val="0080580F"/>
    <w:rsid w:val="00806788"/>
    <w:rsid w:val="00810575"/>
    <w:rsid w:val="008209DE"/>
    <w:rsid w:val="00820A12"/>
    <w:rsid w:val="00822E85"/>
    <w:rsid w:val="00822EAD"/>
    <w:rsid w:val="0083205B"/>
    <w:rsid w:val="00843CD1"/>
    <w:rsid w:val="008445AC"/>
    <w:rsid w:val="00856AEA"/>
    <w:rsid w:val="00857388"/>
    <w:rsid w:val="00857477"/>
    <w:rsid w:val="008656D6"/>
    <w:rsid w:val="0087235C"/>
    <w:rsid w:val="00873DAD"/>
    <w:rsid w:val="0087423A"/>
    <w:rsid w:val="00875625"/>
    <w:rsid w:val="00886DDF"/>
    <w:rsid w:val="008877B7"/>
    <w:rsid w:val="008964C3"/>
    <w:rsid w:val="00897DA8"/>
    <w:rsid w:val="008A58B5"/>
    <w:rsid w:val="008B008E"/>
    <w:rsid w:val="008C02C0"/>
    <w:rsid w:val="008C7DF0"/>
    <w:rsid w:val="008D1C36"/>
    <w:rsid w:val="008E144F"/>
    <w:rsid w:val="008E1906"/>
    <w:rsid w:val="008E642A"/>
    <w:rsid w:val="008F1094"/>
    <w:rsid w:val="008F19EA"/>
    <w:rsid w:val="008F3343"/>
    <w:rsid w:val="008F409E"/>
    <w:rsid w:val="008F63C5"/>
    <w:rsid w:val="008F7E29"/>
    <w:rsid w:val="00906C56"/>
    <w:rsid w:val="00912CBC"/>
    <w:rsid w:val="009157ED"/>
    <w:rsid w:val="00915E88"/>
    <w:rsid w:val="0092124C"/>
    <w:rsid w:val="00921540"/>
    <w:rsid w:val="009257B4"/>
    <w:rsid w:val="00932F1A"/>
    <w:rsid w:val="00937E5C"/>
    <w:rsid w:val="009448F0"/>
    <w:rsid w:val="00947B20"/>
    <w:rsid w:val="00950C79"/>
    <w:rsid w:val="00973173"/>
    <w:rsid w:val="0097621C"/>
    <w:rsid w:val="00983F4D"/>
    <w:rsid w:val="009843EE"/>
    <w:rsid w:val="00990701"/>
    <w:rsid w:val="009918BE"/>
    <w:rsid w:val="00991932"/>
    <w:rsid w:val="009A0773"/>
    <w:rsid w:val="009A3E62"/>
    <w:rsid w:val="009A6E12"/>
    <w:rsid w:val="009B6310"/>
    <w:rsid w:val="009C07A3"/>
    <w:rsid w:val="009C17DE"/>
    <w:rsid w:val="009C2EC1"/>
    <w:rsid w:val="009D2B6A"/>
    <w:rsid w:val="009E2F61"/>
    <w:rsid w:val="009F1D4B"/>
    <w:rsid w:val="009F2AB7"/>
    <w:rsid w:val="009F3B2F"/>
    <w:rsid w:val="009F4482"/>
    <w:rsid w:val="00A016C9"/>
    <w:rsid w:val="00A02B4F"/>
    <w:rsid w:val="00A0474C"/>
    <w:rsid w:val="00A12BFF"/>
    <w:rsid w:val="00A23624"/>
    <w:rsid w:val="00A23987"/>
    <w:rsid w:val="00A32C04"/>
    <w:rsid w:val="00A340E3"/>
    <w:rsid w:val="00A36224"/>
    <w:rsid w:val="00A402E6"/>
    <w:rsid w:val="00A57EDF"/>
    <w:rsid w:val="00A60D63"/>
    <w:rsid w:val="00A62449"/>
    <w:rsid w:val="00A70F6D"/>
    <w:rsid w:val="00A75EB1"/>
    <w:rsid w:val="00A803F5"/>
    <w:rsid w:val="00A8578E"/>
    <w:rsid w:val="00A8730D"/>
    <w:rsid w:val="00A93503"/>
    <w:rsid w:val="00A967FF"/>
    <w:rsid w:val="00A97AB7"/>
    <w:rsid w:val="00AA008B"/>
    <w:rsid w:val="00AA094A"/>
    <w:rsid w:val="00AA0F99"/>
    <w:rsid w:val="00AB2231"/>
    <w:rsid w:val="00AB44CD"/>
    <w:rsid w:val="00AB5838"/>
    <w:rsid w:val="00AC0515"/>
    <w:rsid w:val="00AC65FD"/>
    <w:rsid w:val="00AD0438"/>
    <w:rsid w:val="00AD5AB8"/>
    <w:rsid w:val="00AD5B7F"/>
    <w:rsid w:val="00AD7966"/>
    <w:rsid w:val="00AF4E71"/>
    <w:rsid w:val="00AF57A4"/>
    <w:rsid w:val="00B011BF"/>
    <w:rsid w:val="00B07545"/>
    <w:rsid w:val="00B205F6"/>
    <w:rsid w:val="00B21B83"/>
    <w:rsid w:val="00B2255B"/>
    <w:rsid w:val="00B257E5"/>
    <w:rsid w:val="00B264EF"/>
    <w:rsid w:val="00B267F5"/>
    <w:rsid w:val="00B361EC"/>
    <w:rsid w:val="00B36576"/>
    <w:rsid w:val="00B37B9E"/>
    <w:rsid w:val="00B451E8"/>
    <w:rsid w:val="00B527C9"/>
    <w:rsid w:val="00B6029B"/>
    <w:rsid w:val="00B7143F"/>
    <w:rsid w:val="00B73CED"/>
    <w:rsid w:val="00B83DFA"/>
    <w:rsid w:val="00B97EC2"/>
    <w:rsid w:val="00BA4F35"/>
    <w:rsid w:val="00BB2421"/>
    <w:rsid w:val="00BC1F9F"/>
    <w:rsid w:val="00BC276F"/>
    <w:rsid w:val="00BD3548"/>
    <w:rsid w:val="00BE0DE6"/>
    <w:rsid w:val="00BE44D4"/>
    <w:rsid w:val="00BE7DDA"/>
    <w:rsid w:val="00BF4B90"/>
    <w:rsid w:val="00BF587D"/>
    <w:rsid w:val="00BF6E13"/>
    <w:rsid w:val="00C025B9"/>
    <w:rsid w:val="00C10D54"/>
    <w:rsid w:val="00C11DBB"/>
    <w:rsid w:val="00C1211A"/>
    <w:rsid w:val="00C142E4"/>
    <w:rsid w:val="00C20215"/>
    <w:rsid w:val="00C26618"/>
    <w:rsid w:val="00C316BF"/>
    <w:rsid w:val="00C3209A"/>
    <w:rsid w:val="00C35C17"/>
    <w:rsid w:val="00C40944"/>
    <w:rsid w:val="00C43EFA"/>
    <w:rsid w:val="00C4525D"/>
    <w:rsid w:val="00C45723"/>
    <w:rsid w:val="00C62617"/>
    <w:rsid w:val="00C6451A"/>
    <w:rsid w:val="00C6787C"/>
    <w:rsid w:val="00C679C1"/>
    <w:rsid w:val="00C71EDE"/>
    <w:rsid w:val="00C83D4C"/>
    <w:rsid w:val="00C85571"/>
    <w:rsid w:val="00C932B1"/>
    <w:rsid w:val="00C94650"/>
    <w:rsid w:val="00C9471D"/>
    <w:rsid w:val="00C95A46"/>
    <w:rsid w:val="00CA2DAF"/>
    <w:rsid w:val="00CA5546"/>
    <w:rsid w:val="00CA6C89"/>
    <w:rsid w:val="00CA7C02"/>
    <w:rsid w:val="00CC58ED"/>
    <w:rsid w:val="00CC7E6E"/>
    <w:rsid w:val="00CD73AC"/>
    <w:rsid w:val="00CE2F63"/>
    <w:rsid w:val="00CE4166"/>
    <w:rsid w:val="00D0586A"/>
    <w:rsid w:val="00D15C5B"/>
    <w:rsid w:val="00D16B6F"/>
    <w:rsid w:val="00D202CD"/>
    <w:rsid w:val="00D250DA"/>
    <w:rsid w:val="00D3009F"/>
    <w:rsid w:val="00D32F38"/>
    <w:rsid w:val="00D3531A"/>
    <w:rsid w:val="00D3538F"/>
    <w:rsid w:val="00D35C51"/>
    <w:rsid w:val="00D42D47"/>
    <w:rsid w:val="00D45992"/>
    <w:rsid w:val="00D508D3"/>
    <w:rsid w:val="00D51415"/>
    <w:rsid w:val="00D6480B"/>
    <w:rsid w:val="00D80B5C"/>
    <w:rsid w:val="00D823D7"/>
    <w:rsid w:val="00D82488"/>
    <w:rsid w:val="00D84742"/>
    <w:rsid w:val="00D90D7B"/>
    <w:rsid w:val="00D9575F"/>
    <w:rsid w:val="00D96E8F"/>
    <w:rsid w:val="00D974D2"/>
    <w:rsid w:val="00DA73D2"/>
    <w:rsid w:val="00DB4A8E"/>
    <w:rsid w:val="00DB5AEA"/>
    <w:rsid w:val="00DB68E5"/>
    <w:rsid w:val="00DC187A"/>
    <w:rsid w:val="00DD3C4C"/>
    <w:rsid w:val="00DE28A7"/>
    <w:rsid w:val="00DE5380"/>
    <w:rsid w:val="00DF3BFC"/>
    <w:rsid w:val="00E0003A"/>
    <w:rsid w:val="00E26C16"/>
    <w:rsid w:val="00E3112A"/>
    <w:rsid w:val="00E327E4"/>
    <w:rsid w:val="00E36339"/>
    <w:rsid w:val="00E366C2"/>
    <w:rsid w:val="00E460C9"/>
    <w:rsid w:val="00E529F0"/>
    <w:rsid w:val="00E53485"/>
    <w:rsid w:val="00E61447"/>
    <w:rsid w:val="00E6168B"/>
    <w:rsid w:val="00E9114D"/>
    <w:rsid w:val="00EA7FA7"/>
    <w:rsid w:val="00EB63A7"/>
    <w:rsid w:val="00EB77D5"/>
    <w:rsid w:val="00ED2700"/>
    <w:rsid w:val="00ED292A"/>
    <w:rsid w:val="00ED34C5"/>
    <w:rsid w:val="00ED39D7"/>
    <w:rsid w:val="00ED3A4F"/>
    <w:rsid w:val="00ED3EC8"/>
    <w:rsid w:val="00EE6CA0"/>
    <w:rsid w:val="00EF0EA5"/>
    <w:rsid w:val="00EF5CCD"/>
    <w:rsid w:val="00EF68FF"/>
    <w:rsid w:val="00EF7896"/>
    <w:rsid w:val="00F076BD"/>
    <w:rsid w:val="00F11133"/>
    <w:rsid w:val="00F13BB2"/>
    <w:rsid w:val="00F15D2A"/>
    <w:rsid w:val="00F16972"/>
    <w:rsid w:val="00F204FA"/>
    <w:rsid w:val="00F21D5B"/>
    <w:rsid w:val="00F22449"/>
    <w:rsid w:val="00F24AAA"/>
    <w:rsid w:val="00F324C3"/>
    <w:rsid w:val="00F3679F"/>
    <w:rsid w:val="00F37C3A"/>
    <w:rsid w:val="00F415C8"/>
    <w:rsid w:val="00F53E07"/>
    <w:rsid w:val="00F57F49"/>
    <w:rsid w:val="00F60B5C"/>
    <w:rsid w:val="00F60E57"/>
    <w:rsid w:val="00F700E9"/>
    <w:rsid w:val="00F7250F"/>
    <w:rsid w:val="00F74849"/>
    <w:rsid w:val="00F7660C"/>
    <w:rsid w:val="00F8616D"/>
    <w:rsid w:val="00F86A13"/>
    <w:rsid w:val="00F90983"/>
    <w:rsid w:val="00F90B7A"/>
    <w:rsid w:val="00FA652E"/>
    <w:rsid w:val="00FB453B"/>
    <w:rsid w:val="00FB775E"/>
    <w:rsid w:val="00FC2DF7"/>
    <w:rsid w:val="00FC3C3F"/>
    <w:rsid w:val="00FC4923"/>
    <w:rsid w:val="00FD0FAF"/>
    <w:rsid w:val="00FE0D91"/>
    <w:rsid w:val="00FE56D0"/>
    <w:rsid w:val="00FE5AAD"/>
    <w:rsid w:val="00FF281F"/>
    <w:rsid w:val="00FF6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4DC64DAB"/>
  <w15:chartTrackingRefBased/>
  <w15:docId w15:val="{C2A0AE1C-E60C-4865-9086-0022077A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64BED"/>
    <w:rPr>
      <w:sz w:val="24"/>
      <w:szCs w:val="24"/>
    </w:rPr>
  </w:style>
  <w:style w:type="paragraph" w:styleId="1">
    <w:name w:val="heading 1"/>
    <w:basedOn w:val="a"/>
    <w:next w:val="a"/>
    <w:qFormat/>
    <w:rsid w:val="00764B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64BED"/>
    <w:pPr>
      <w:spacing w:after="120"/>
    </w:pPr>
    <w:rPr>
      <w:szCs w:val="20"/>
    </w:rPr>
  </w:style>
  <w:style w:type="paragraph" w:styleId="3">
    <w:name w:val="Body Text 3"/>
    <w:basedOn w:val="a"/>
    <w:link w:val="30"/>
    <w:rsid w:val="00D202CD"/>
    <w:pPr>
      <w:spacing w:after="120"/>
    </w:pPr>
    <w:rPr>
      <w:rFonts w:ascii="Arial" w:hAnsi="Arial"/>
      <w:sz w:val="20"/>
      <w:szCs w:val="16"/>
    </w:rPr>
  </w:style>
  <w:style w:type="character" w:styleId="a4">
    <w:name w:val="Hyperlink"/>
    <w:rsid w:val="00641F99"/>
    <w:rPr>
      <w:color w:val="0000FF"/>
      <w:u w:val="single"/>
    </w:rPr>
  </w:style>
  <w:style w:type="paragraph" w:styleId="a5">
    <w:name w:val="Balloon Text"/>
    <w:basedOn w:val="a"/>
    <w:semiHidden/>
    <w:rsid w:val="00C025B9"/>
    <w:rPr>
      <w:rFonts w:ascii="Tahoma" w:hAnsi="Tahoma" w:cs="Tahoma"/>
      <w:sz w:val="16"/>
      <w:szCs w:val="16"/>
    </w:rPr>
  </w:style>
  <w:style w:type="paragraph" w:customStyle="1" w:styleId="point">
    <w:name w:val="point"/>
    <w:basedOn w:val="a"/>
    <w:rsid w:val="007516E9"/>
    <w:pPr>
      <w:spacing w:before="100" w:beforeAutospacing="1" w:after="100" w:afterAutospacing="1"/>
    </w:pPr>
  </w:style>
  <w:style w:type="paragraph" w:styleId="a6">
    <w:name w:val="header"/>
    <w:basedOn w:val="a"/>
    <w:link w:val="a7"/>
    <w:rsid w:val="00FE56D0"/>
    <w:pPr>
      <w:tabs>
        <w:tab w:val="center" w:pos="4677"/>
        <w:tab w:val="right" w:pos="9355"/>
      </w:tabs>
    </w:pPr>
    <w:rPr>
      <w:lang w:eastAsia="x-none"/>
    </w:rPr>
  </w:style>
  <w:style w:type="character" w:customStyle="1" w:styleId="a7">
    <w:name w:val="Верхний колонтитул Знак"/>
    <w:link w:val="a6"/>
    <w:rsid w:val="00FE56D0"/>
    <w:rPr>
      <w:sz w:val="24"/>
      <w:szCs w:val="24"/>
    </w:rPr>
  </w:style>
  <w:style w:type="paragraph" w:styleId="a8">
    <w:name w:val="footer"/>
    <w:basedOn w:val="a"/>
    <w:link w:val="a9"/>
    <w:uiPriority w:val="99"/>
    <w:rsid w:val="00FE56D0"/>
    <w:pPr>
      <w:tabs>
        <w:tab w:val="center" w:pos="4677"/>
        <w:tab w:val="right" w:pos="9355"/>
      </w:tabs>
    </w:pPr>
    <w:rPr>
      <w:lang w:eastAsia="x-none"/>
    </w:rPr>
  </w:style>
  <w:style w:type="character" w:customStyle="1" w:styleId="a9">
    <w:name w:val="Нижний колонтитул Знак"/>
    <w:link w:val="a8"/>
    <w:uiPriority w:val="99"/>
    <w:rsid w:val="00FE56D0"/>
    <w:rPr>
      <w:sz w:val="24"/>
      <w:szCs w:val="24"/>
    </w:rPr>
  </w:style>
  <w:style w:type="character" w:styleId="aa">
    <w:name w:val="annotation reference"/>
    <w:rsid w:val="00991932"/>
    <w:rPr>
      <w:sz w:val="16"/>
      <w:szCs w:val="16"/>
    </w:rPr>
  </w:style>
  <w:style w:type="paragraph" w:styleId="ab">
    <w:name w:val="annotation text"/>
    <w:basedOn w:val="a"/>
    <w:link w:val="ac"/>
    <w:rsid w:val="00991932"/>
    <w:rPr>
      <w:sz w:val="20"/>
      <w:szCs w:val="20"/>
    </w:rPr>
  </w:style>
  <w:style w:type="character" w:customStyle="1" w:styleId="ac">
    <w:name w:val="Текст примечания Знак"/>
    <w:basedOn w:val="a0"/>
    <w:link w:val="ab"/>
    <w:rsid w:val="00991932"/>
  </w:style>
  <w:style w:type="paragraph" w:styleId="ad">
    <w:name w:val="annotation subject"/>
    <w:basedOn w:val="ab"/>
    <w:next w:val="ab"/>
    <w:link w:val="ae"/>
    <w:rsid w:val="00991932"/>
    <w:rPr>
      <w:b/>
      <w:bCs/>
      <w:lang w:eastAsia="x-none"/>
    </w:rPr>
  </w:style>
  <w:style w:type="character" w:customStyle="1" w:styleId="ae">
    <w:name w:val="Тема примечания Знак"/>
    <w:link w:val="ad"/>
    <w:rsid w:val="00991932"/>
    <w:rPr>
      <w:b/>
      <w:bCs/>
    </w:rPr>
  </w:style>
  <w:style w:type="table" w:styleId="af">
    <w:name w:val="Table Grid"/>
    <w:basedOn w:val="a1"/>
    <w:rsid w:val="001D5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harChar">
    <w:name w:val="Знак Знак1 Знак Знак Знак1 Знак Знак Знак Знак Char Знак Char Знак"/>
    <w:basedOn w:val="a"/>
    <w:rsid w:val="00FC4923"/>
    <w:pPr>
      <w:tabs>
        <w:tab w:val="num" w:pos="360"/>
      </w:tabs>
      <w:spacing w:after="160" w:line="240" w:lineRule="exact"/>
    </w:pPr>
    <w:rPr>
      <w:noProof/>
    </w:rPr>
  </w:style>
  <w:style w:type="paragraph" w:customStyle="1" w:styleId="Iauiue">
    <w:name w:val="Iau?iue"/>
    <w:rsid w:val="00781E18"/>
  </w:style>
  <w:style w:type="paragraph" w:styleId="2">
    <w:name w:val="Body Text Indent 2"/>
    <w:basedOn w:val="a"/>
    <w:link w:val="20"/>
    <w:rsid w:val="0017567D"/>
    <w:pPr>
      <w:spacing w:after="120" w:line="480" w:lineRule="auto"/>
      <w:ind w:left="283"/>
    </w:pPr>
  </w:style>
  <w:style w:type="character" w:customStyle="1" w:styleId="20">
    <w:name w:val="Основной текст с отступом 2 Знак"/>
    <w:link w:val="2"/>
    <w:semiHidden/>
    <w:locked/>
    <w:rsid w:val="0017567D"/>
    <w:rPr>
      <w:sz w:val="24"/>
      <w:szCs w:val="24"/>
      <w:lang w:val="en-GB" w:eastAsia="ru-RU" w:bidi="ar-SA"/>
    </w:rPr>
  </w:style>
  <w:style w:type="character" w:customStyle="1" w:styleId="30">
    <w:name w:val="Основной текст 3 Знак"/>
    <w:link w:val="3"/>
    <w:rsid w:val="002445C0"/>
    <w:rPr>
      <w:rFonts w:ascii="Arial" w:hAnsi="Arial"/>
      <w:szCs w:val="16"/>
    </w:rPr>
  </w:style>
  <w:style w:type="paragraph" w:styleId="af0">
    <w:name w:val="List Paragraph"/>
    <w:basedOn w:val="a"/>
    <w:uiPriority w:val="34"/>
    <w:qFormat/>
    <w:rsid w:val="007459EF"/>
    <w:pPr>
      <w:ind w:left="720"/>
      <w:contextualSpacing/>
    </w:pPr>
  </w:style>
  <w:style w:type="paragraph" w:styleId="af1">
    <w:name w:val="Revision"/>
    <w:hidden/>
    <w:uiPriority w:val="99"/>
    <w:semiHidden/>
    <w:rsid w:val="00F367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183924">
      <w:bodyDiv w:val="1"/>
      <w:marLeft w:val="0"/>
      <w:marRight w:val="0"/>
      <w:marTop w:val="0"/>
      <w:marBottom w:val="0"/>
      <w:divBdr>
        <w:top w:val="none" w:sz="0" w:space="0" w:color="auto"/>
        <w:left w:val="none" w:sz="0" w:space="0" w:color="auto"/>
        <w:bottom w:val="none" w:sz="0" w:space="0" w:color="auto"/>
        <w:right w:val="none" w:sz="0" w:space="0" w:color="auto"/>
      </w:divBdr>
    </w:div>
    <w:div w:id="495532192">
      <w:bodyDiv w:val="1"/>
      <w:marLeft w:val="0"/>
      <w:marRight w:val="0"/>
      <w:marTop w:val="0"/>
      <w:marBottom w:val="0"/>
      <w:divBdr>
        <w:top w:val="none" w:sz="0" w:space="0" w:color="auto"/>
        <w:left w:val="none" w:sz="0" w:space="0" w:color="auto"/>
        <w:bottom w:val="none" w:sz="0" w:space="0" w:color="auto"/>
        <w:right w:val="none" w:sz="0" w:space="0" w:color="auto"/>
      </w:divBdr>
      <w:divsChild>
        <w:div w:id="1016620126">
          <w:marLeft w:val="0"/>
          <w:marRight w:val="0"/>
          <w:marTop w:val="0"/>
          <w:marBottom w:val="0"/>
          <w:divBdr>
            <w:top w:val="none" w:sz="0" w:space="0" w:color="auto"/>
            <w:left w:val="none" w:sz="0" w:space="0" w:color="auto"/>
            <w:bottom w:val="none" w:sz="0" w:space="0" w:color="auto"/>
            <w:right w:val="none" w:sz="0" w:space="0" w:color="auto"/>
          </w:divBdr>
        </w:div>
      </w:divsChild>
    </w:div>
    <w:div w:id="734355094">
      <w:bodyDiv w:val="1"/>
      <w:marLeft w:val="0"/>
      <w:marRight w:val="0"/>
      <w:marTop w:val="0"/>
      <w:marBottom w:val="0"/>
      <w:divBdr>
        <w:top w:val="none" w:sz="0" w:space="0" w:color="auto"/>
        <w:left w:val="none" w:sz="0" w:space="0" w:color="auto"/>
        <w:bottom w:val="none" w:sz="0" w:space="0" w:color="auto"/>
        <w:right w:val="none" w:sz="0" w:space="0" w:color="auto"/>
      </w:divBdr>
      <w:divsChild>
        <w:div w:id="285821985">
          <w:marLeft w:val="0"/>
          <w:marRight w:val="0"/>
          <w:marTop w:val="0"/>
          <w:marBottom w:val="0"/>
          <w:divBdr>
            <w:top w:val="none" w:sz="0" w:space="0" w:color="auto"/>
            <w:left w:val="none" w:sz="0" w:space="0" w:color="auto"/>
            <w:bottom w:val="none" w:sz="0" w:space="0" w:color="auto"/>
            <w:right w:val="none" w:sz="0" w:space="0" w:color="auto"/>
          </w:divBdr>
        </w:div>
      </w:divsChild>
    </w:div>
    <w:div w:id="966739798">
      <w:bodyDiv w:val="1"/>
      <w:marLeft w:val="0"/>
      <w:marRight w:val="0"/>
      <w:marTop w:val="0"/>
      <w:marBottom w:val="0"/>
      <w:divBdr>
        <w:top w:val="none" w:sz="0" w:space="0" w:color="auto"/>
        <w:left w:val="none" w:sz="0" w:space="0" w:color="auto"/>
        <w:bottom w:val="none" w:sz="0" w:space="0" w:color="auto"/>
        <w:right w:val="none" w:sz="0" w:space="0" w:color="auto"/>
      </w:divBdr>
    </w:div>
    <w:div w:id="1579512808">
      <w:bodyDiv w:val="1"/>
      <w:marLeft w:val="0"/>
      <w:marRight w:val="0"/>
      <w:marTop w:val="0"/>
      <w:marBottom w:val="0"/>
      <w:divBdr>
        <w:top w:val="none" w:sz="0" w:space="0" w:color="auto"/>
        <w:left w:val="none" w:sz="0" w:space="0" w:color="auto"/>
        <w:bottom w:val="none" w:sz="0" w:space="0" w:color="auto"/>
        <w:right w:val="none" w:sz="0" w:space="0" w:color="auto"/>
      </w:divBdr>
    </w:div>
    <w:div w:id="1606693413">
      <w:bodyDiv w:val="1"/>
      <w:marLeft w:val="0"/>
      <w:marRight w:val="0"/>
      <w:marTop w:val="0"/>
      <w:marBottom w:val="0"/>
      <w:divBdr>
        <w:top w:val="none" w:sz="0" w:space="0" w:color="auto"/>
        <w:left w:val="none" w:sz="0" w:space="0" w:color="auto"/>
        <w:bottom w:val="none" w:sz="0" w:space="0" w:color="auto"/>
        <w:right w:val="none" w:sz="0" w:space="0" w:color="auto"/>
      </w:divBdr>
    </w:div>
    <w:div w:id="1627538614">
      <w:bodyDiv w:val="1"/>
      <w:marLeft w:val="0"/>
      <w:marRight w:val="0"/>
      <w:marTop w:val="0"/>
      <w:marBottom w:val="0"/>
      <w:divBdr>
        <w:top w:val="none" w:sz="0" w:space="0" w:color="auto"/>
        <w:left w:val="none" w:sz="0" w:space="0" w:color="auto"/>
        <w:bottom w:val="none" w:sz="0" w:space="0" w:color="auto"/>
        <w:right w:val="none" w:sz="0" w:space="0" w:color="auto"/>
      </w:divBdr>
      <w:divsChild>
        <w:div w:id="2091655099">
          <w:marLeft w:val="0"/>
          <w:marRight w:val="0"/>
          <w:marTop w:val="0"/>
          <w:marBottom w:val="0"/>
          <w:divBdr>
            <w:top w:val="none" w:sz="0" w:space="0" w:color="auto"/>
            <w:left w:val="none" w:sz="0" w:space="0" w:color="auto"/>
            <w:bottom w:val="none" w:sz="0" w:space="0" w:color="auto"/>
            <w:right w:val="none" w:sz="0" w:space="0" w:color="auto"/>
          </w:divBdr>
        </w:div>
      </w:divsChild>
    </w:div>
    <w:div w:id="2047632602">
      <w:bodyDiv w:val="1"/>
      <w:marLeft w:val="0"/>
      <w:marRight w:val="0"/>
      <w:marTop w:val="0"/>
      <w:marBottom w:val="0"/>
      <w:divBdr>
        <w:top w:val="none" w:sz="0" w:space="0" w:color="auto"/>
        <w:left w:val="none" w:sz="0" w:space="0" w:color="auto"/>
        <w:bottom w:val="none" w:sz="0" w:space="0" w:color="auto"/>
        <w:right w:val="none" w:sz="0" w:space="0" w:color="auto"/>
      </w:divBdr>
      <w:divsChild>
        <w:div w:id="1086919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5.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5053</Characters>
  <Application>Microsoft Office Word</Application>
  <DocSecurity>4</DocSecurity>
  <Lines>42</Lines>
  <Paragraphs>12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Губин Денис Борисович</dc:creator>
  <cp:keywords/>
  <cp:lastModifiedBy>Медетханова Назира Лейнаровна</cp:lastModifiedBy>
  <cp:revision>2</cp:revision>
  <cp:lastPrinted>2014-02-19T13:59:00Z</cp:lastPrinted>
  <dcterms:created xsi:type="dcterms:W3CDTF">2025-03-19T06:59:00Z</dcterms:created>
  <dcterms:modified xsi:type="dcterms:W3CDTF">2025-03-19T06:59:00Z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