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2851" w14:textId="77777777" w:rsidR="00685775" w:rsidRDefault="0068577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3809AD9" w14:textId="77777777" w:rsidR="00685775" w:rsidRDefault="00685775">
      <w:pPr>
        <w:pStyle w:val="ConsPlusNormal"/>
        <w:jc w:val="both"/>
        <w:outlineLvl w:val="0"/>
      </w:pPr>
    </w:p>
    <w:p w14:paraId="77C12E20" w14:textId="77777777" w:rsidR="00685775" w:rsidRDefault="00685775">
      <w:pPr>
        <w:pStyle w:val="ConsPlusNormal"/>
      </w:pPr>
      <w:r>
        <w:t>Зарегистрировано в Минюсте России 27 января 2023 г. N 72145</w:t>
      </w:r>
    </w:p>
    <w:p w14:paraId="491383C6" w14:textId="77777777" w:rsidR="00685775" w:rsidRDefault="006857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CB33067" w14:textId="77777777" w:rsidR="00685775" w:rsidRDefault="00685775">
      <w:pPr>
        <w:pStyle w:val="ConsPlusNormal"/>
        <w:jc w:val="center"/>
      </w:pPr>
    </w:p>
    <w:p w14:paraId="5154A15B" w14:textId="77777777" w:rsidR="00685775" w:rsidRDefault="00685775">
      <w:pPr>
        <w:pStyle w:val="ConsPlusTitle"/>
        <w:jc w:val="center"/>
      </w:pPr>
      <w:r>
        <w:t>ЦЕНТРАЛЬНЫЙ БАНК РОССИЙСКОЙ ФЕДЕРАЦИИ</w:t>
      </w:r>
    </w:p>
    <w:p w14:paraId="36BEF3E7" w14:textId="77777777" w:rsidR="00685775" w:rsidRDefault="00685775">
      <w:pPr>
        <w:pStyle w:val="ConsPlusTitle"/>
        <w:jc w:val="center"/>
      </w:pPr>
    </w:p>
    <w:p w14:paraId="569FC892" w14:textId="77777777" w:rsidR="00685775" w:rsidRDefault="00685775">
      <w:pPr>
        <w:pStyle w:val="ConsPlusTitle"/>
        <w:jc w:val="center"/>
      </w:pPr>
      <w:r>
        <w:t>УКАЗАНИЕ</w:t>
      </w:r>
    </w:p>
    <w:p w14:paraId="4ADE7935" w14:textId="77777777" w:rsidR="00685775" w:rsidRDefault="00685775">
      <w:pPr>
        <w:pStyle w:val="ConsPlusTitle"/>
        <w:jc w:val="center"/>
      </w:pPr>
      <w:r>
        <w:t>от 26 сентября 2022 г. N 6264-У</w:t>
      </w:r>
    </w:p>
    <w:p w14:paraId="53DCBCDF" w14:textId="77777777" w:rsidR="00685775" w:rsidRDefault="00685775">
      <w:pPr>
        <w:pStyle w:val="ConsPlusTitle"/>
        <w:jc w:val="center"/>
      </w:pPr>
    </w:p>
    <w:p w14:paraId="56468FF3" w14:textId="77777777" w:rsidR="00685775" w:rsidRDefault="00685775">
      <w:pPr>
        <w:pStyle w:val="ConsPlusTitle"/>
        <w:jc w:val="center"/>
      </w:pPr>
      <w:r>
        <w:t>О ТРЕБОВАНИЯХ</w:t>
      </w:r>
    </w:p>
    <w:p w14:paraId="6C0D4E6B" w14:textId="77777777" w:rsidR="00685775" w:rsidRDefault="00685775">
      <w:pPr>
        <w:pStyle w:val="ConsPlusTitle"/>
        <w:jc w:val="center"/>
      </w:pPr>
      <w:r>
        <w:t>К ОСУЩЕСТВЛЕНИЮ ПРОФЕССИОНАЛЬНЫМИ УЧАСТНИКАМИ РЫНКА ЦЕННЫХ</w:t>
      </w:r>
    </w:p>
    <w:p w14:paraId="55864359" w14:textId="77777777" w:rsidR="00685775" w:rsidRDefault="00685775">
      <w:pPr>
        <w:pStyle w:val="ConsPlusTitle"/>
        <w:jc w:val="center"/>
      </w:pPr>
      <w:r>
        <w:t>БУМАГ БРОКЕРСКОЙ, ДИЛЕРСКОЙ ДЕЯТЕЛЬНОСТИ, ДЕЯТЕЛЬНОСТИ</w:t>
      </w:r>
    </w:p>
    <w:p w14:paraId="1AD29D81" w14:textId="77777777" w:rsidR="00685775" w:rsidRDefault="00685775">
      <w:pPr>
        <w:pStyle w:val="ConsPlusTitle"/>
        <w:jc w:val="center"/>
      </w:pPr>
      <w:r>
        <w:t>ПО УПРАВЛЕНИЮ ЦЕННЫМИ БУМАГАМИ И ДЕЯТЕЛЬНОСТИ (ПРОВЕДЕНИЮ</w:t>
      </w:r>
    </w:p>
    <w:p w14:paraId="1CF10E1F" w14:textId="77777777" w:rsidR="00685775" w:rsidRDefault="00685775">
      <w:pPr>
        <w:pStyle w:val="ConsPlusTitle"/>
        <w:jc w:val="center"/>
      </w:pPr>
      <w:r>
        <w:t>ОПЕРАЦИЙ) УПРАВЛЯЮЩИХ КОМПАНИЙ ИНВЕСТИЦИОННЫХ ФОНДОВ, ПАЕВЫХ</w:t>
      </w:r>
    </w:p>
    <w:p w14:paraId="66B76DD6" w14:textId="77777777" w:rsidR="00685775" w:rsidRDefault="00685775">
      <w:pPr>
        <w:pStyle w:val="ConsPlusTitle"/>
        <w:jc w:val="center"/>
      </w:pPr>
      <w:r>
        <w:t>ИНВЕСТИЦИОННЫХ ФОНДОВ И НЕГОСУДАРСТВЕННЫХ ПЕНСИОННЫХ ФОНДОВ</w:t>
      </w:r>
    </w:p>
    <w:p w14:paraId="25FD9BE3" w14:textId="77777777" w:rsidR="00685775" w:rsidRDefault="00685775">
      <w:pPr>
        <w:pStyle w:val="ConsPlusTitle"/>
        <w:jc w:val="center"/>
      </w:pPr>
      <w:r>
        <w:t>В ЧАСТИ ПРЕДОСТАВЛЕНИЯ НА БИРЖУ ИНФОРМАЦИИ О ЗАКЛЮЧЕННЫХ</w:t>
      </w:r>
    </w:p>
    <w:p w14:paraId="0D521195" w14:textId="77777777" w:rsidR="00685775" w:rsidRDefault="00685775">
      <w:pPr>
        <w:pStyle w:val="ConsPlusTitle"/>
        <w:jc w:val="center"/>
      </w:pPr>
      <w:r>
        <w:t>ИМИ НЕ НА ОРГАНИЗОВАННЫХ ТОРГАХ ДОГОВОРАХ КУПЛИ-ПРОДАЖИ</w:t>
      </w:r>
    </w:p>
    <w:p w14:paraId="20794ADC" w14:textId="77777777" w:rsidR="00685775" w:rsidRDefault="00685775">
      <w:pPr>
        <w:pStyle w:val="ConsPlusTitle"/>
        <w:jc w:val="center"/>
      </w:pPr>
      <w:r>
        <w:t>ЦЕННЫХ БУМАГ, А ТАКЖЕ ПРАВИЛАХ, СОСТАВЕ, ПОРЯДКЕ</w:t>
      </w:r>
    </w:p>
    <w:p w14:paraId="6839A992" w14:textId="77777777" w:rsidR="00685775" w:rsidRDefault="00685775">
      <w:pPr>
        <w:pStyle w:val="ConsPlusTitle"/>
        <w:jc w:val="center"/>
      </w:pPr>
      <w:r>
        <w:t>И СРОКАХ ЕЕ РАСКРЫТИЯ БИРЖЕЙ</w:t>
      </w:r>
    </w:p>
    <w:p w14:paraId="072B231B" w14:textId="77777777" w:rsidR="00685775" w:rsidRDefault="00685775">
      <w:pPr>
        <w:pStyle w:val="ConsPlusNormal"/>
        <w:jc w:val="center"/>
      </w:pPr>
    </w:p>
    <w:p w14:paraId="1CEE66DA" w14:textId="77777777" w:rsidR="00685775" w:rsidRDefault="00685775">
      <w:pPr>
        <w:pStyle w:val="ConsPlusNormal"/>
        <w:ind w:firstLine="540"/>
        <w:jc w:val="both"/>
      </w:pPr>
      <w:r>
        <w:t xml:space="preserve">Настоящее Указание на основании </w:t>
      </w:r>
      <w:hyperlink r:id="rId5">
        <w:r>
          <w:rPr>
            <w:color w:val="0000FF"/>
          </w:rPr>
          <w:t>пункта 3 статьи 42</w:t>
        </w:r>
      </w:hyperlink>
      <w:r>
        <w:t xml:space="preserve"> Федерального закона от 22 апреля 1996 года N 39-ФЗ "О рынке ценных бумаг" &lt;1&gt;, </w:t>
      </w:r>
      <w:hyperlink r:id="rId6">
        <w:r>
          <w:rPr>
            <w:color w:val="0000FF"/>
          </w:rPr>
          <w:t>пункта 8 части 2</w:t>
        </w:r>
      </w:hyperlink>
      <w:r>
        <w:t xml:space="preserve"> и </w:t>
      </w:r>
      <w:hyperlink r:id="rId7">
        <w:r>
          <w:rPr>
            <w:color w:val="0000FF"/>
          </w:rPr>
          <w:t>части 6 статьи 22</w:t>
        </w:r>
      </w:hyperlink>
      <w:r>
        <w:t xml:space="preserve">, </w:t>
      </w:r>
      <w:hyperlink r:id="rId8">
        <w:r>
          <w:rPr>
            <w:color w:val="0000FF"/>
          </w:rPr>
          <w:t>пункта 14 части 1 статьи 25</w:t>
        </w:r>
      </w:hyperlink>
      <w:r>
        <w:t xml:space="preserve"> Федерального закона от 21 ноября 2011 года N 325-ФЗ "Об организованных торгах" &lt;2&gt; и </w:t>
      </w:r>
      <w:hyperlink r:id="rId9">
        <w:r>
          <w:rPr>
            <w:color w:val="0000FF"/>
          </w:rPr>
          <w:t>подпункта 1.1 пункта 2 статьи 55</w:t>
        </w:r>
      </w:hyperlink>
      <w:r>
        <w:t xml:space="preserve"> Федерального закона от 29 ноября 2001 года N 156-ФЗ "Об инвестиционных фондах" &lt;3&gt; устанавливает требования к осуществлению профессиональными участниками рынка ценных бумаг брокерской, дилерской деятельности, деятельности по управлению ценными бумагами и деятельности (проведению операций) управляющих компаний инвестиционных фондов, паевых инвестиционных фондов и негосударственных пенсионных фондов в части предоставления на биржу информации о заключенных ими не на организованных торгах договорах купли-продажи ценных бумаг, а также правила, состав, порядок и сроки ее раскрытия биржей.</w:t>
      </w:r>
    </w:p>
    <w:p w14:paraId="00EC7AD6" w14:textId="77777777" w:rsidR="00685775" w:rsidRDefault="00685775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B311BB8" w14:textId="77777777" w:rsidR="00685775" w:rsidRDefault="00685775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1996, N 17, ст. 1918; 2015, N 27, ст. 4001.</w:t>
      </w:r>
    </w:p>
    <w:p w14:paraId="76010941" w14:textId="77777777" w:rsidR="00685775" w:rsidRDefault="00685775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2011, N 48, ст. 6726; 2013, N 30, ст. 4084.</w:t>
      </w:r>
    </w:p>
    <w:p w14:paraId="20CCFCC9" w14:textId="77777777" w:rsidR="00685775" w:rsidRDefault="00685775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2001, N 49, ст. 4562; 2012, N 31, ст. 4334.</w:t>
      </w:r>
    </w:p>
    <w:p w14:paraId="730A781E" w14:textId="77777777" w:rsidR="00685775" w:rsidRDefault="00685775">
      <w:pPr>
        <w:pStyle w:val="ConsPlusNormal"/>
        <w:ind w:firstLine="540"/>
        <w:jc w:val="both"/>
      </w:pPr>
    </w:p>
    <w:p w14:paraId="73AF1394" w14:textId="77777777" w:rsidR="00685775" w:rsidRDefault="00685775">
      <w:pPr>
        <w:pStyle w:val="ConsPlusTitle"/>
        <w:ind w:firstLine="540"/>
        <w:jc w:val="both"/>
        <w:outlineLvl w:val="0"/>
      </w:pPr>
      <w:bookmarkStart w:id="0" w:name="P26"/>
      <w:bookmarkEnd w:id="0"/>
      <w:r>
        <w:t>Глава 1. Требования к осуществлению профессиональными участниками рынка ценных бумаг брокерской, дилерской деятельности, деятельности по управлению ценными бумагами и деятельности (проведению операций) управляющих компаний инвестиционных фондов, паевых инвестиционных фондов и негосударственных пенсионных фондов в части предоставления на биржу информации о заключенных ими не на организованных торгах договорах купли-продажи ценных бумаг</w:t>
      </w:r>
    </w:p>
    <w:p w14:paraId="1E8EF833" w14:textId="77777777" w:rsidR="00685775" w:rsidRDefault="00685775">
      <w:pPr>
        <w:pStyle w:val="ConsPlusNormal"/>
        <w:ind w:firstLine="540"/>
        <w:jc w:val="both"/>
      </w:pPr>
    </w:p>
    <w:p w14:paraId="6DD47180" w14:textId="77777777" w:rsidR="00685775" w:rsidRDefault="00685775">
      <w:pPr>
        <w:pStyle w:val="ConsPlusNormal"/>
        <w:ind w:firstLine="540"/>
        <w:jc w:val="both"/>
      </w:pPr>
      <w:bookmarkStart w:id="1" w:name="P28"/>
      <w:bookmarkEnd w:id="1"/>
      <w:r>
        <w:t xml:space="preserve">1.1. Профессиональные участники рынка ценных бумаг, осуществляющие брокерскую, дилерскую деятельность, деятельность по управлению ценными бумагами, а также управляющие компании инвестиционных фондов, паевых инвестиционных фондов и негосударственных </w:t>
      </w:r>
      <w:r>
        <w:lastRenderedPageBreak/>
        <w:t>пенсионных фондов (далее при совместном упоминании - отчитывающееся лицо) должны предоставлять на биржу информацию о заключенных ими не на организованных торгах договорах купли-продажи ценных бумаг (далее - внебиржевые договоры купли-продажи ценных бумаг) при одновременном соблюдении следующих условий:</w:t>
      </w:r>
    </w:p>
    <w:p w14:paraId="0A132574" w14:textId="77777777" w:rsidR="00685775" w:rsidRDefault="0068577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85775" w14:paraId="0273B4C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080A0" w14:textId="77777777" w:rsidR="00685775" w:rsidRDefault="0068577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3376B" w14:textId="77777777" w:rsidR="00685775" w:rsidRDefault="0068577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91CDAD" w14:textId="77777777" w:rsidR="00685775" w:rsidRDefault="0068577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D8C3C78" w14:textId="77777777" w:rsidR="00685775" w:rsidRDefault="00685775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 п. 1.1 </w:t>
            </w:r>
            <w:hyperlink w:anchor="P74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31.05.2023.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87A2C" w14:textId="77777777" w:rsidR="00685775" w:rsidRDefault="00685775">
            <w:pPr>
              <w:pStyle w:val="ConsPlusNormal"/>
            </w:pPr>
          </w:p>
        </w:tc>
      </w:tr>
    </w:tbl>
    <w:p w14:paraId="2BEA8152" w14:textId="77777777" w:rsidR="00685775" w:rsidRDefault="00685775">
      <w:pPr>
        <w:pStyle w:val="ConsPlusNormal"/>
        <w:spacing w:before="280"/>
        <w:ind w:firstLine="540"/>
        <w:jc w:val="both"/>
      </w:pPr>
      <w:bookmarkStart w:id="2" w:name="P31"/>
      <w:bookmarkEnd w:id="2"/>
      <w:r>
        <w:t xml:space="preserve">ценные бумаги, являющиеся объектом внебиржевого договора купли-продажи ценных бумаг, включены на момент заключения внебиржевого договора купли-продажи ценных бумаг в котировальный список хотя бы одной из бирж и не являются ценными бумагами иностранных эмитентов, листинг которых осуществлен биржей без заключения договора с иностранным эмитентом таких ценных бумаг в соответствии с </w:t>
      </w:r>
      <w:hyperlink r:id="rId10">
        <w:r>
          <w:rPr>
            <w:color w:val="0000FF"/>
          </w:rPr>
          <w:t>пунктом 2.1 статьи 14</w:t>
        </w:r>
      </w:hyperlink>
      <w:r>
        <w:t xml:space="preserve"> Федерального закона от 22 апреля 1996 года N 39-ФЗ "О рынке ценных бумаг" &lt;1&gt;;</w:t>
      </w:r>
    </w:p>
    <w:p w14:paraId="5E6FF085" w14:textId="77777777" w:rsidR="00685775" w:rsidRDefault="00685775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76B04F9" w14:textId="77777777" w:rsidR="00685775" w:rsidRDefault="00685775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1996, N 17, ст. 1918; 2012, N 53, ст. 7607; 2017, N 27, ст. 3925.</w:t>
      </w:r>
    </w:p>
    <w:p w14:paraId="2FAA7217" w14:textId="77777777" w:rsidR="00685775" w:rsidRDefault="00685775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85775" w14:paraId="17C6427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7A796" w14:textId="77777777" w:rsidR="00685775" w:rsidRDefault="0068577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4E70E" w14:textId="77777777" w:rsidR="00685775" w:rsidRDefault="0068577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F0DB73" w14:textId="77777777" w:rsidR="00685775" w:rsidRDefault="0068577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91FC309" w14:textId="77777777" w:rsidR="00685775" w:rsidRDefault="00685775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3 п. 1.1 </w:t>
            </w:r>
            <w:hyperlink w:anchor="P73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01.06.2023.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A1EA3" w14:textId="77777777" w:rsidR="00685775" w:rsidRDefault="00685775">
            <w:pPr>
              <w:pStyle w:val="ConsPlusNormal"/>
            </w:pPr>
          </w:p>
        </w:tc>
      </w:tr>
    </w:tbl>
    <w:p w14:paraId="2BF15EC6" w14:textId="77777777" w:rsidR="00685775" w:rsidRDefault="00685775">
      <w:pPr>
        <w:pStyle w:val="ConsPlusNormal"/>
        <w:spacing w:before="280"/>
        <w:ind w:firstLine="540"/>
        <w:jc w:val="both"/>
      </w:pPr>
      <w:bookmarkStart w:id="3" w:name="P37"/>
      <w:bookmarkEnd w:id="3"/>
      <w:r>
        <w:t xml:space="preserve">ценные бумаги, являющиеся объектом внебиржевого договора купли-продажи ценных бумаг, допущены на момент заключения внебиржевого договора купли-продажи ценных бумаг к организованным торгам хотя бы одного из организаторов торговли и не являются ценными бумагами иностранных эмитентов, листинг которых осуществлен биржей без заключения договора с иностранным эмитентом таких ценных бумаг в соответствии с </w:t>
      </w:r>
      <w:hyperlink r:id="rId11">
        <w:r>
          <w:rPr>
            <w:color w:val="0000FF"/>
          </w:rPr>
          <w:t>пунктом 2.1 статьи 14</w:t>
        </w:r>
      </w:hyperlink>
      <w:r>
        <w:t xml:space="preserve"> Федерального закона от 22 апреля 1996 года N 39-ФЗ "О рынке ценных бумаг";</w:t>
      </w:r>
    </w:p>
    <w:p w14:paraId="65CD8F98" w14:textId="77777777" w:rsidR="00685775" w:rsidRDefault="00685775">
      <w:pPr>
        <w:pStyle w:val="ConsPlusNormal"/>
        <w:spacing w:before="220"/>
        <w:ind w:firstLine="540"/>
        <w:jc w:val="both"/>
      </w:pPr>
      <w:r>
        <w:t>внебиржевой договор купли-продажи ценных бумаг заключен от имени и за счет отчитывающегося лица, от имени отчитывающегося лица и за счет клиентов отчитывающегося лица или от имени и за счет клиентов отчитывающегося лица.</w:t>
      </w:r>
    </w:p>
    <w:p w14:paraId="1A0AA6DE" w14:textId="77777777" w:rsidR="00685775" w:rsidRDefault="00685775">
      <w:pPr>
        <w:pStyle w:val="ConsPlusNormal"/>
        <w:spacing w:before="220"/>
        <w:ind w:firstLine="540"/>
        <w:jc w:val="both"/>
      </w:pPr>
      <w:r>
        <w:t>1.2. Информация о внебиржевом договоре купли-продажи ценных бумаг должна предоставляться отчитывающимся лицом на одну из бирж, оказывающих услуги по проведению организованных торгов ценными бумагами того же вида, что и ценные бумаги, являющиеся объектом внебиржевого договора купли-продажи ценных бумаг, по выбору отчитывающегося лица.</w:t>
      </w:r>
    </w:p>
    <w:p w14:paraId="25B054AA" w14:textId="77777777" w:rsidR="00685775" w:rsidRDefault="00685775">
      <w:pPr>
        <w:pStyle w:val="ConsPlusNormal"/>
        <w:spacing w:before="220"/>
        <w:ind w:firstLine="540"/>
        <w:jc w:val="both"/>
      </w:pPr>
      <w:r>
        <w:t>1.3. В случае если внебиржевой договор купли-продажи ценных бумаг заключен между отчитывающимися лицами либо одной из сторон по внебиржевому договору купли-продажи ценных бумаг является центральный контрагент, информацию о внебиржевом договоре купли-продажи ценных бумаг на биржу должно предоставлять отчитывающееся лицо, являющееся стороной-покупателем по внебиржевому договору купли-продажи ценных бумаг либо действующее от имени своего клиента, являющегося стороной-покупателем по такому внебиржевому договору купли-продажи ценных бумаг.</w:t>
      </w:r>
    </w:p>
    <w:p w14:paraId="78ACB234" w14:textId="77777777" w:rsidR="00685775" w:rsidRDefault="00685775">
      <w:pPr>
        <w:pStyle w:val="ConsPlusNormal"/>
        <w:spacing w:before="220"/>
        <w:ind w:firstLine="540"/>
        <w:jc w:val="both"/>
      </w:pPr>
      <w:r>
        <w:t>1.4. Информация о внебиржевых договорах купли-продажи ценных бумаг должна предоставляться на биржу отчитывающимся лицом по его выбору самостоятельно или с привлечением клиринговой организации, в случае если по обязательствам, возникшим из внебиржевого договора купли-продажи ценных бумаг, осуществляется клиринг.</w:t>
      </w:r>
    </w:p>
    <w:p w14:paraId="143D7ACA" w14:textId="77777777" w:rsidR="00685775" w:rsidRDefault="00685775">
      <w:pPr>
        <w:pStyle w:val="ConsPlusNormal"/>
        <w:spacing w:before="220"/>
        <w:ind w:firstLine="540"/>
        <w:jc w:val="both"/>
      </w:pPr>
      <w:r>
        <w:lastRenderedPageBreak/>
        <w:t>1.5. В предоставляемой отчитывающимся лицом на биржу информации о внебиржевом договоре купли-продажи ценных бумаг должны указываться следующие сведения:</w:t>
      </w:r>
    </w:p>
    <w:p w14:paraId="159C61A4" w14:textId="77777777" w:rsidR="00685775" w:rsidRDefault="00685775">
      <w:pPr>
        <w:pStyle w:val="ConsPlusNormal"/>
        <w:spacing w:before="220"/>
        <w:ind w:firstLine="540"/>
        <w:jc w:val="both"/>
      </w:pPr>
      <w:r>
        <w:t>полное фирменное наименование и идентификационный номер налогоплательщика отчитывающегося лица;</w:t>
      </w:r>
    </w:p>
    <w:p w14:paraId="2B5A8448" w14:textId="77777777" w:rsidR="00685775" w:rsidRDefault="00685775">
      <w:pPr>
        <w:pStyle w:val="ConsPlusNormal"/>
        <w:spacing w:before="220"/>
        <w:ind w:firstLine="540"/>
        <w:jc w:val="both"/>
      </w:pPr>
      <w:r>
        <w:t>указание на то, от чьего имени (от своего имени, от имени клиента) и за чей счет (за свой счет, за счет клиента) отчитывающимся лицом заключен внебиржевой договор купли-продажи ценных бумаг;</w:t>
      </w:r>
    </w:p>
    <w:p w14:paraId="4A917E5F" w14:textId="77777777" w:rsidR="00685775" w:rsidRDefault="00685775">
      <w:pPr>
        <w:pStyle w:val="ConsPlusNormal"/>
        <w:spacing w:before="220"/>
        <w:ind w:firstLine="540"/>
        <w:jc w:val="both"/>
      </w:pPr>
      <w:bookmarkStart w:id="4" w:name="P45"/>
      <w:bookmarkEnd w:id="4"/>
      <w:r>
        <w:t>указание на направленность внебиржевого договора купли-продажи ценных бумаг (покупка или продажа ценных бумаг);</w:t>
      </w:r>
    </w:p>
    <w:p w14:paraId="4AA9CF8A" w14:textId="77777777" w:rsidR="00685775" w:rsidRDefault="00685775">
      <w:pPr>
        <w:pStyle w:val="ConsPlusNormal"/>
        <w:spacing w:before="220"/>
        <w:ind w:firstLine="540"/>
        <w:jc w:val="both"/>
      </w:pPr>
      <w:r>
        <w:t>вид, категория (тип) ценных бумаг, являющихся объектом внебиржевого договора купли-продажи ценных бумаг, а также международный код (номер) идентификации ценных бумаг (ISIN) и международный код классификации финансовых инструментов (CFI) (при наличии), присвоенные указанным ценным бумагам;</w:t>
      </w:r>
    </w:p>
    <w:p w14:paraId="6F8BB07B" w14:textId="77777777" w:rsidR="00685775" w:rsidRDefault="00685775">
      <w:pPr>
        <w:pStyle w:val="ConsPlusNormal"/>
        <w:spacing w:before="220"/>
        <w:ind w:firstLine="540"/>
        <w:jc w:val="both"/>
      </w:pPr>
      <w:r>
        <w:t>наименование эмитента ценных бумаг (лица, обязанного по ценным бумагам), являющихся объектом внебиржевого договора купли-продажи ценных бумаг (в случае если объектом внебиржевого договора купли-продажи ценных бумаг является инвестиционный пай - также полное название паевого инвестиционного фонда): для российского юридического лица - наименование (для некоммерческой организации), полное фирменное наименование (для коммерческой организации), для иностранного юридического лица - наименование;</w:t>
      </w:r>
    </w:p>
    <w:p w14:paraId="5CFE463C" w14:textId="77777777" w:rsidR="00685775" w:rsidRDefault="00685775">
      <w:pPr>
        <w:pStyle w:val="ConsPlusNormal"/>
        <w:spacing w:before="220"/>
        <w:ind w:firstLine="540"/>
        <w:jc w:val="both"/>
      </w:pPr>
      <w:bookmarkStart w:id="5" w:name="P48"/>
      <w:bookmarkEnd w:id="5"/>
      <w:r>
        <w:t>цена одной ценной бумаги, являющейся объектом внебиржевого договора купли-продажи ценных бумаг, в соответствии с внебиржевым договором купли-продажи ценных бумаг;</w:t>
      </w:r>
    </w:p>
    <w:p w14:paraId="21D946D6" w14:textId="77777777" w:rsidR="00685775" w:rsidRDefault="00685775">
      <w:pPr>
        <w:pStyle w:val="ConsPlusNormal"/>
        <w:spacing w:before="220"/>
        <w:ind w:firstLine="540"/>
        <w:jc w:val="both"/>
      </w:pPr>
      <w:r>
        <w:t>валюта денежного обязательства по внебиржевому договору купли-продажи ценных бумаг;</w:t>
      </w:r>
    </w:p>
    <w:p w14:paraId="277F4DD2" w14:textId="77777777" w:rsidR="00685775" w:rsidRDefault="00685775">
      <w:pPr>
        <w:pStyle w:val="ConsPlusNormal"/>
        <w:spacing w:before="220"/>
        <w:ind w:firstLine="540"/>
        <w:jc w:val="both"/>
      </w:pPr>
      <w:bookmarkStart w:id="6" w:name="P50"/>
      <w:bookmarkEnd w:id="6"/>
      <w:r>
        <w:t>количество ценных бумаг, являющихся объектом внебиржевого договора купли-продажи ценных бумаг;</w:t>
      </w:r>
    </w:p>
    <w:p w14:paraId="59D92F1B" w14:textId="77777777" w:rsidR="00685775" w:rsidRDefault="00685775">
      <w:pPr>
        <w:pStyle w:val="ConsPlusNormal"/>
        <w:spacing w:before="220"/>
        <w:ind w:firstLine="540"/>
        <w:jc w:val="both"/>
      </w:pPr>
      <w:bookmarkStart w:id="7" w:name="P51"/>
      <w:bookmarkEnd w:id="7"/>
      <w:r>
        <w:t>дата заключения внебиржевого договора купли-продажи ценных бумаг;</w:t>
      </w:r>
    </w:p>
    <w:p w14:paraId="7BF0F306" w14:textId="77777777" w:rsidR="00685775" w:rsidRDefault="00685775">
      <w:pPr>
        <w:pStyle w:val="ConsPlusNormal"/>
        <w:spacing w:before="220"/>
        <w:ind w:firstLine="540"/>
        <w:jc w:val="both"/>
      </w:pPr>
      <w:r>
        <w:t>период времени, в течение которого обязательства по внебиржевому договору купли-продажи ценных бумаг подлежат исполнению сторонами (в случае несовпадения установленных внебиржевым договором купли-продажи ценных бумаг дат расчетов и перехода прав на ценные бумаги, являющиеся объектом внебиржевого договора купли-продажи ценных бумаг, указывается период времени, установленный внебиржевым договором купли-продажи ценных бумаг для обязательства, подлежащего исполнению последним).</w:t>
      </w:r>
    </w:p>
    <w:p w14:paraId="65A833AD" w14:textId="77777777" w:rsidR="00685775" w:rsidRDefault="00685775">
      <w:pPr>
        <w:pStyle w:val="ConsPlusNormal"/>
        <w:spacing w:before="220"/>
        <w:ind w:firstLine="540"/>
        <w:jc w:val="both"/>
      </w:pPr>
      <w:r>
        <w:t>1.6. Информация о внебиржевом договоре купли-продажи ценных бумаг должна предоставляться отчитывающимся лицом на биржу в следующие сроки:</w:t>
      </w:r>
    </w:p>
    <w:p w14:paraId="00D34F7D" w14:textId="77777777" w:rsidR="00685775" w:rsidRDefault="00685775">
      <w:pPr>
        <w:pStyle w:val="ConsPlusNormal"/>
        <w:spacing w:before="220"/>
        <w:ind w:firstLine="540"/>
        <w:jc w:val="both"/>
      </w:pPr>
      <w:r>
        <w:t xml:space="preserve">не позднее 30 минут с момента заключения внебиржевого договора купли-продажи ценных бумаг, в случае если внебиржевой договор купли-продажи ценных бумаг заключен в период начиная с часа, предшествующего началу основной торговой сессии, определенной в соответствии с </w:t>
      </w:r>
      <w:hyperlink r:id="rId12">
        <w:r>
          <w:rPr>
            <w:color w:val="0000FF"/>
          </w:rPr>
          <w:t>пунктом 1.12</w:t>
        </w:r>
      </w:hyperlink>
      <w:r>
        <w:t xml:space="preserve"> Положения Банка России от 17 октября 2014 года N 437-П "О деятельности по проведению организованных торгов" &lt;1&gt;, в ходе которой предусмотрено проведение организованных торгов ценными бумагами того же вида, что и ценные бумаги, являющиеся объектом внебиржевого договора купли-продажи ценных бумаг, на бирже, на которую предоставляется информация о внебиржевом договоре купли-продажи ценных бумаг (далее - основная торговая сессия), и до окончания основной торговой сессии;</w:t>
      </w:r>
    </w:p>
    <w:p w14:paraId="459D2781" w14:textId="77777777" w:rsidR="00685775" w:rsidRDefault="00685775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9016970" w14:textId="77777777" w:rsidR="00685775" w:rsidRDefault="00685775">
      <w:pPr>
        <w:pStyle w:val="ConsPlusNormal"/>
        <w:spacing w:before="220"/>
        <w:ind w:firstLine="540"/>
        <w:jc w:val="both"/>
      </w:pPr>
      <w:r>
        <w:lastRenderedPageBreak/>
        <w:t>&lt;1&gt; Зарегистрировано Минюстом России 30 декабря 2014 года, регистрационный N 35494, с изменениями, внесенными Указаниями Банка России от 27 ноября 2017 года N 4622-У (зарегистрировано Минюстом России 16 февраля 2018 года, регистрационный N 50066), от 14 сентября 2020 года N 5550-У (зарегистрировано Минюстом России 16 октября 2020 года, регистрационный N 60426), от 17 мая 2022 года N 6140-У (зарегистрировано Минюстом России 25 августа 2022 года, регистрационный N 69784).</w:t>
      </w:r>
    </w:p>
    <w:p w14:paraId="0636D05F" w14:textId="77777777" w:rsidR="00685775" w:rsidRDefault="00685775">
      <w:pPr>
        <w:pStyle w:val="ConsPlusNormal"/>
        <w:ind w:firstLine="540"/>
        <w:jc w:val="both"/>
      </w:pPr>
    </w:p>
    <w:p w14:paraId="7FE48873" w14:textId="77777777" w:rsidR="00685775" w:rsidRDefault="00685775">
      <w:pPr>
        <w:pStyle w:val="ConsPlusNormal"/>
        <w:ind w:firstLine="540"/>
        <w:jc w:val="both"/>
      </w:pPr>
      <w:r>
        <w:t>не позднее окончания основной торговой сессии торгового дня, следующего за днем, когда был заключен внебиржевой договор купли-продажи ценных бумаг, в случае если внебиржевой договор купли-продажи ценных бумаг заключен в период после окончания основной торговой сессии и до часа, предшествующего началу основной торговой сессии следующего торгового дня.</w:t>
      </w:r>
    </w:p>
    <w:p w14:paraId="7D53AFF7" w14:textId="77777777" w:rsidR="00685775" w:rsidRDefault="00685775">
      <w:pPr>
        <w:pStyle w:val="ConsPlusNormal"/>
        <w:spacing w:before="220"/>
        <w:ind w:firstLine="540"/>
        <w:jc w:val="both"/>
      </w:pPr>
      <w:r>
        <w:t xml:space="preserve">В случае изменения сведений, предусмотренных </w:t>
      </w:r>
      <w:hyperlink w:anchor="P48">
        <w:r>
          <w:rPr>
            <w:color w:val="0000FF"/>
          </w:rPr>
          <w:t>абзацами седьмым</w:t>
        </w:r>
      </w:hyperlink>
      <w:r>
        <w:t xml:space="preserve"> - </w:t>
      </w:r>
      <w:hyperlink w:anchor="P50">
        <w:r>
          <w:rPr>
            <w:color w:val="0000FF"/>
          </w:rPr>
          <w:t>девятым пункта 1.5</w:t>
        </w:r>
      </w:hyperlink>
      <w:r>
        <w:t xml:space="preserve"> настоящего Указания, в отношении внебиржевого договора купли-продажи ценных бумаг, информация о котором была предоставлена отчитывающимся лицом на биржу, или расторжения такого внебиржевого договора купли-продажи ценных бумаг измененная информация о внебиржевом договоре купли-продажи ценных бумаг (информация о его расторжении) должна предоставляться отчитывающимся лицом на биржу не позднее одного торгового дня, следующего за днем изменения сведений, предусмотренных </w:t>
      </w:r>
      <w:hyperlink w:anchor="P48">
        <w:r>
          <w:rPr>
            <w:color w:val="0000FF"/>
          </w:rPr>
          <w:t>абзацами седьмым</w:t>
        </w:r>
      </w:hyperlink>
      <w:r>
        <w:t xml:space="preserve"> - </w:t>
      </w:r>
      <w:hyperlink w:anchor="P50">
        <w:r>
          <w:rPr>
            <w:color w:val="0000FF"/>
          </w:rPr>
          <w:t>девятым пункта 1.5</w:t>
        </w:r>
      </w:hyperlink>
      <w:r>
        <w:t xml:space="preserve"> настоящего Указания, или расторжения такого внебиржевого договора купли-продажи ценных бумаг.</w:t>
      </w:r>
    </w:p>
    <w:p w14:paraId="0E92913E" w14:textId="77777777" w:rsidR="00685775" w:rsidRDefault="00685775">
      <w:pPr>
        <w:pStyle w:val="ConsPlusNormal"/>
        <w:spacing w:before="220"/>
        <w:ind w:firstLine="540"/>
        <w:jc w:val="both"/>
      </w:pPr>
      <w:bookmarkStart w:id="8" w:name="P60"/>
      <w:bookmarkEnd w:id="8"/>
      <w:r>
        <w:t>1.7. Отчитывающееся лицо должно предоставить на биржу информацию о внебиржевом договоре купли-продажи ценных бумаг в форме электронного документа посредством использования программного обеспечения, размещенного на официальном сайте биржи в информационно-телекоммуникационной сети "Интернет" (далее - сайт биржи) для предоставления информации о внебиржевых договорах купли-продажи ценных бумаг (при наличии), а в случае отсутствия такого программного обеспечения (отсутствия доступа к нему) - посредством использования иных программно-технических средств и информационно-телекоммуникационной сети "Интернет" по выбору отчитывающегося лица.</w:t>
      </w:r>
    </w:p>
    <w:p w14:paraId="27DAAA67" w14:textId="77777777" w:rsidR="00685775" w:rsidRDefault="00685775">
      <w:pPr>
        <w:pStyle w:val="ConsPlusNormal"/>
        <w:spacing w:before="220"/>
        <w:ind w:firstLine="540"/>
        <w:jc w:val="both"/>
      </w:pPr>
      <w:r>
        <w:t xml:space="preserve">1.8. В случае обнаружения (выявления) отчитывающимся лицом в информации о внебиржевом договоре купли-продажи ценных бумаг, предоставленной им на биржу в соответствии с </w:t>
      </w:r>
      <w:hyperlink w:anchor="P28">
        <w:r>
          <w:rPr>
            <w:color w:val="0000FF"/>
          </w:rPr>
          <w:t>пунктами 1.1</w:t>
        </w:r>
      </w:hyperlink>
      <w:r>
        <w:t xml:space="preserve"> - </w:t>
      </w:r>
      <w:hyperlink w:anchor="P60">
        <w:r>
          <w:rPr>
            <w:color w:val="0000FF"/>
          </w:rPr>
          <w:t>1.7</w:t>
        </w:r>
      </w:hyperlink>
      <w:r>
        <w:t xml:space="preserve"> настоящего Указания, неполных и (или) недостоверных сведений отчитывающееся лицо должно предоставить на биржу исправленную информацию о внебиржевом договоре купли-продажи ценных бумаг в соответствии с </w:t>
      </w:r>
      <w:hyperlink w:anchor="P60">
        <w:r>
          <w:rPr>
            <w:color w:val="0000FF"/>
          </w:rPr>
          <w:t>пунктом 1.7</w:t>
        </w:r>
      </w:hyperlink>
      <w:r>
        <w:t xml:space="preserve"> настоящего Указания не позднее одного торгового дня со дня обнаружения (выявления) им указанных сведений, но не позднее 30 календарных дней со дня предоставления отчитывающимся лицом на биржу в соответствии с </w:t>
      </w:r>
      <w:hyperlink w:anchor="P28">
        <w:r>
          <w:rPr>
            <w:color w:val="0000FF"/>
          </w:rPr>
          <w:t>пунктами 1.1</w:t>
        </w:r>
      </w:hyperlink>
      <w:r>
        <w:t xml:space="preserve"> - </w:t>
      </w:r>
      <w:hyperlink w:anchor="P60">
        <w:r>
          <w:rPr>
            <w:color w:val="0000FF"/>
          </w:rPr>
          <w:t>1.7</w:t>
        </w:r>
      </w:hyperlink>
      <w:r>
        <w:t xml:space="preserve"> настоящего Указания информации о внебиржевом договоре купли-продажи ценных бумаг, в которой обнаружены (выявлены) неполные и (или) недостоверные сведения.</w:t>
      </w:r>
    </w:p>
    <w:p w14:paraId="0AC7F1B6" w14:textId="77777777" w:rsidR="00685775" w:rsidRDefault="00685775">
      <w:pPr>
        <w:pStyle w:val="ConsPlusNormal"/>
        <w:ind w:firstLine="540"/>
        <w:jc w:val="both"/>
      </w:pPr>
    </w:p>
    <w:p w14:paraId="339080C0" w14:textId="77777777" w:rsidR="00685775" w:rsidRDefault="00685775">
      <w:pPr>
        <w:pStyle w:val="ConsPlusTitle"/>
        <w:ind w:firstLine="540"/>
        <w:jc w:val="both"/>
        <w:outlineLvl w:val="0"/>
      </w:pPr>
      <w:r>
        <w:t>Глава 2. Правила, состав, порядок и сроки раскрытия биржей информации о заключенных не на организованных торгах договорах купли-продажи ценных бумаг</w:t>
      </w:r>
    </w:p>
    <w:p w14:paraId="49A810FA" w14:textId="77777777" w:rsidR="00685775" w:rsidRDefault="00685775">
      <w:pPr>
        <w:pStyle w:val="ConsPlusNormal"/>
        <w:ind w:firstLine="540"/>
        <w:jc w:val="both"/>
      </w:pPr>
    </w:p>
    <w:p w14:paraId="4FA02EBF" w14:textId="77777777" w:rsidR="00685775" w:rsidRDefault="00685775">
      <w:pPr>
        <w:pStyle w:val="ConsPlusNormal"/>
        <w:ind w:firstLine="540"/>
        <w:jc w:val="both"/>
      </w:pPr>
      <w:r>
        <w:t xml:space="preserve">2.1. Биржа должна раскрывать предоставляемую ей отчитывающимися лицами в соответствии с </w:t>
      </w:r>
      <w:hyperlink w:anchor="P26">
        <w:r>
          <w:rPr>
            <w:color w:val="0000FF"/>
          </w:rPr>
          <w:t>главой 1</w:t>
        </w:r>
      </w:hyperlink>
      <w:r>
        <w:t xml:space="preserve"> настоящего Указания информацию о внебиржевых договорах купли-продажи ценных бумаг путем ее размещения на сайте биржи в составе сведений, предусмотренных </w:t>
      </w:r>
      <w:hyperlink w:anchor="P45">
        <w:r>
          <w:rPr>
            <w:color w:val="0000FF"/>
          </w:rPr>
          <w:t>абзацами четвертым</w:t>
        </w:r>
      </w:hyperlink>
      <w:r>
        <w:t xml:space="preserve"> - </w:t>
      </w:r>
      <w:hyperlink w:anchor="P51">
        <w:r>
          <w:rPr>
            <w:color w:val="0000FF"/>
          </w:rPr>
          <w:t>десятым пункта 1.5</w:t>
        </w:r>
      </w:hyperlink>
      <w:r>
        <w:t xml:space="preserve"> настоящего Указания (далее - раскрываемая информация).</w:t>
      </w:r>
    </w:p>
    <w:p w14:paraId="4F2E2CC1" w14:textId="77777777" w:rsidR="00685775" w:rsidRDefault="00685775">
      <w:pPr>
        <w:pStyle w:val="ConsPlusNormal"/>
        <w:spacing w:before="220"/>
        <w:ind w:firstLine="540"/>
        <w:jc w:val="both"/>
      </w:pPr>
      <w:r>
        <w:t xml:space="preserve">2.2. Биржа должна размещать на главной (начальной) странице сайта биржи по своему выбору раскрываемую информацию и (или) ссылку на раздел сайта биржи, в котором размещена раскрываемая информация. Ссылка с главной (начальной) страницы сайта биржи должна </w:t>
      </w:r>
      <w:r>
        <w:lastRenderedPageBreak/>
        <w:t>однозначным образом указывать на содержание (вид, характер) информации, раскрытой в разделе сайта биржи, переход на который должен осуществляться по данной ссылке.</w:t>
      </w:r>
    </w:p>
    <w:p w14:paraId="3977BA03" w14:textId="77777777" w:rsidR="00685775" w:rsidRDefault="00685775">
      <w:pPr>
        <w:pStyle w:val="ConsPlusNormal"/>
        <w:spacing w:before="220"/>
        <w:ind w:firstLine="540"/>
        <w:jc w:val="both"/>
      </w:pPr>
      <w:bookmarkStart w:id="9" w:name="P67"/>
      <w:bookmarkEnd w:id="9"/>
      <w:r>
        <w:t xml:space="preserve">2.3. Биржа должна размещать на сайте биржи раскрываемую информацию либо вносить в нее изменения (исправления) не позднее одного часа с момента получения биржей информации, предоставленной отчитывающимся лицом на биржу в соответствии с </w:t>
      </w:r>
      <w:hyperlink w:anchor="P26">
        <w:r>
          <w:rPr>
            <w:color w:val="0000FF"/>
          </w:rPr>
          <w:t>главой 1</w:t>
        </w:r>
      </w:hyperlink>
      <w:r>
        <w:t xml:space="preserve"> настоящего Указания.</w:t>
      </w:r>
    </w:p>
    <w:p w14:paraId="4127CD05" w14:textId="77777777" w:rsidR="00685775" w:rsidRDefault="00685775">
      <w:pPr>
        <w:pStyle w:val="ConsPlusNormal"/>
        <w:spacing w:before="220"/>
        <w:ind w:firstLine="540"/>
        <w:jc w:val="both"/>
      </w:pPr>
      <w:r>
        <w:t xml:space="preserve">2.4. Биржа должна обеспечивать свободный доступ к ознакомлению с раскрываемой информацией всем заинтересованным в этом лицам в течение двух лет со дня ее размещения на сайте биржи в соответствии с </w:t>
      </w:r>
      <w:hyperlink w:anchor="P67">
        <w:r>
          <w:rPr>
            <w:color w:val="0000FF"/>
          </w:rPr>
          <w:t>пунктом 2.3</w:t>
        </w:r>
      </w:hyperlink>
      <w:r>
        <w:t xml:space="preserve"> настоящего Указания.</w:t>
      </w:r>
    </w:p>
    <w:p w14:paraId="2EF1210B" w14:textId="77777777" w:rsidR="00685775" w:rsidRDefault="00685775">
      <w:pPr>
        <w:pStyle w:val="ConsPlusNormal"/>
        <w:ind w:firstLine="540"/>
        <w:jc w:val="both"/>
      </w:pPr>
    </w:p>
    <w:p w14:paraId="738D6FDF" w14:textId="77777777" w:rsidR="00685775" w:rsidRDefault="00685775">
      <w:pPr>
        <w:pStyle w:val="ConsPlusTitle"/>
        <w:ind w:firstLine="540"/>
        <w:jc w:val="both"/>
        <w:outlineLvl w:val="0"/>
      </w:pPr>
      <w:r>
        <w:t>Глава 3. Заключительные положения</w:t>
      </w:r>
    </w:p>
    <w:p w14:paraId="1409A5CA" w14:textId="77777777" w:rsidR="00685775" w:rsidRDefault="00685775">
      <w:pPr>
        <w:pStyle w:val="ConsPlusNormal"/>
        <w:ind w:firstLine="540"/>
        <w:jc w:val="both"/>
      </w:pPr>
    </w:p>
    <w:p w14:paraId="5129FFE3" w14:textId="77777777" w:rsidR="00685775" w:rsidRDefault="00685775">
      <w:pPr>
        <w:pStyle w:val="ConsPlusNormal"/>
        <w:ind w:firstLine="540"/>
        <w:jc w:val="both"/>
      </w:pPr>
      <w:r>
        <w:t xml:space="preserve">3.1. Настоящее Указание в соответствии с решением Совета директоров Банка России (протокол заседания Совета директоров Банка России от 16.09.2022 N ПСД-57) вступает в силу по истечении 10 дней после дня его официального опубликования, за исключением </w:t>
      </w:r>
      <w:hyperlink w:anchor="P37">
        <w:r>
          <w:rPr>
            <w:color w:val="0000FF"/>
          </w:rPr>
          <w:t>абзаца третьего пункта 1.1</w:t>
        </w:r>
      </w:hyperlink>
      <w:r>
        <w:t xml:space="preserve"> настоящего Указания.</w:t>
      </w:r>
    </w:p>
    <w:bookmarkStart w:id="10" w:name="P73"/>
    <w:bookmarkEnd w:id="10"/>
    <w:p w14:paraId="534A8892" w14:textId="77777777" w:rsidR="00685775" w:rsidRDefault="00685775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\l "P37" \h </w:instrText>
      </w:r>
      <w:r>
        <w:fldChar w:fldCharType="separate"/>
      </w:r>
      <w:r>
        <w:rPr>
          <w:color w:val="0000FF"/>
        </w:rPr>
        <w:t>Абзац третий пункта 1.1</w:t>
      </w:r>
      <w:r>
        <w:rPr>
          <w:color w:val="0000FF"/>
        </w:rPr>
        <w:fldChar w:fldCharType="end"/>
      </w:r>
      <w:r>
        <w:t xml:space="preserve"> настоящего Указания вступает в силу с 1 июня 2023 года.</w:t>
      </w:r>
    </w:p>
    <w:bookmarkStart w:id="11" w:name="P74"/>
    <w:bookmarkEnd w:id="11"/>
    <w:p w14:paraId="6D663276" w14:textId="77777777" w:rsidR="00685775" w:rsidRDefault="00685775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\l "P31" \h </w:instrText>
      </w:r>
      <w:r>
        <w:fldChar w:fldCharType="separate"/>
      </w:r>
      <w:r>
        <w:rPr>
          <w:color w:val="0000FF"/>
        </w:rPr>
        <w:t>Абзац второй пункта 1.1</w:t>
      </w:r>
      <w:r>
        <w:rPr>
          <w:color w:val="0000FF"/>
        </w:rPr>
        <w:fldChar w:fldCharType="end"/>
      </w:r>
      <w:r>
        <w:t xml:space="preserve"> настоящего Указания действует по 31 мая 2023 года.</w:t>
      </w:r>
    </w:p>
    <w:p w14:paraId="04AAC884" w14:textId="77777777" w:rsidR="00685775" w:rsidRDefault="00685775">
      <w:pPr>
        <w:pStyle w:val="ConsPlusNormal"/>
        <w:spacing w:before="220"/>
        <w:ind w:firstLine="540"/>
        <w:jc w:val="both"/>
      </w:pPr>
      <w:r>
        <w:t>3.2. Со дня вступления в силу настоящего Указания признать не подлежащими применению:</w:t>
      </w:r>
    </w:p>
    <w:p w14:paraId="26DB15F2" w14:textId="77777777" w:rsidR="00685775" w:rsidRDefault="00685775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приказ</w:t>
        </w:r>
      </w:hyperlink>
      <w:r>
        <w:t xml:space="preserve"> ФСФР России от 22 июня 2006 года N </w:t>
      </w:r>
      <w:proofErr w:type="gramStart"/>
      <w:r>
        <w:t>06-67</w:t>
      </w:r>
      <w:proofErr w:type="gramEnd"/>
      <w:r>
        <w:t>/пз-н "Об утверждении Положения о предоставлении информации о заключении сделок" &lt;1&gt;;</w:t>
      </w:r>
    </w:p>
    <w:p w14:paraId="3DE59BE9" w14:textId="77777777" w:rsidR="00685775" w:rsidRDefault="00685775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C9B1FEC" w14:textId="77777777" w:rsidR="00685775" w:rsidRDefault="00685775">
      <w:pPr>
        <w:pStyle w:val="ConsPlusNormal"/>
        <w:spacing w:before="220"/>
        <w:ind w:firstLine="540"/>
        <w:jc w:val="both"/>
      </w:pPr>
      <w:r>
        <w:t>&lt;1&gt; Зарегистрирован Минюстом России 18 декабря 2006 года, регистрационный N 8620.</w:t>
      </w:r>
    </w:p>
    <w:p w14:paraId="56247840" w14:textId="77777777" w:rsidR="00685775" w:rsidRDefault="00685775">
      <w:pPr>
        <w:pStyle w:val="ConsPlusNormal"/>
        <w:ind w:firstLine="540"/>
        <w:jc w:val="both"/>
      </w:pPr>
    </w:p>
    <w:p w14:paraId="50260F15" w14:textId="77777777" w:rsidR="00685775" w:rsidRDefault="00685775">
      <w:pPr>
        <w:pStyle w:val="ConsPlusNormal"/>
        <w:ind w:firstLine="540"/>
        <w:jc w:val="both"/>
      </w:pPr>
      <w:hyperlink r:id="rId14">
        <w:r>
          <w:rPr>
            <w:color w:val="0000FF"/>
          </w:rPr>
          <w:t>приказ</w:t>
        </w:r>
      </w:hyperlink>
      <w:r>
        <w:t xml:space="preserve"> ФСФР России от 29 марта 2007 года N </w:t>
      </w:r>
      <w:proofErr w:type="gramStart"/>
      <w:r>
        <w:t>07-34</w:t>
      </w:r>
      <w:proofErr w:type="gramEnd"/>
      <w:r>
        <w:t>/пз-н "О внесении изменений в Положение о предоставлении информации о заключении сделок, утвержденное приказом Федеральной службы по финансовым рынкам от 22 июня 2006 г. N 06-67/пз-н" &lt;1&gt;.</w:t>
      </w:r>
    </w:p>
    <w:p w14:paraId="5F1D7EAE" w14:textId="77777777" w:rsidR="00685775" w:rsidRDefault="00685775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991C230" w14:textId="77777777" w:rsidR="00685775" w:rsidRDefault="00685775">
      <w:pPr>
        <w:pStyle w:val="ConsPlusNormal"/>
        <w:spacing w:before="220"/>
        <w:ind w:firstLine="540"/>
        <w:jc w:val="both"/>
      </w:pPr>
      <w:r>
        <w:t>&lt;1&gt; Зарегистрирован Минюстом России 17 мая 2007 года, регистрационный N 9501.</w:t>
      </w:r>
    </w:p>
    <w:p w14:paraId="37D37146" w14:textId="77777777" w:rsidR="00685775" w:rsidRDefault="00685775">
      <w:pPr>
        <w:pStyle w:val="ConsPlusNormal"/>
        <w:ind w:firstLine="540"/>
        <w:jc w:val="both"/>
      </w:pPr>
    </w:p>
    <w:p w14:paraId="45AD48FF" w14:textId="77777777" w:rsidR="00685775" w:rsidRDefault="00685775">
      <w:pPr>
        <w:pStyle w:val="ConsPlusNormal"/>
        <w:jc w:val="right"/>
      </w:pPr>
      <w:r>
        <w:t>Председатель Центрального банка</w:t>
      </w:r>
    </w:p>
    <w:p w14:paraId="23D62BD1" w14:textId="77777777" w:rsidR="00685775" w:rsidRDefault="00685775">
      <w:pPr>
        <w:pStyle w:val="ConsPlusNormal"/>
        <w:jc w:val="right"/>
      </w:pPr>
      <w:r>
        <w:t>Российской Федерации</w:t>
      </w:r>
    </w:p>
    <w:p w14:paraId="6A5BA7D9" w14:textId="77777777" w:rsidR="00685775" w:rsidRDefault="00685775">
      <w:pPr>
        <w:pStyle w:val="ConsPlusNormal"/>
        <w:jc w:val="right"/>
      </w:pPr>
      <w:r>
        <w:t>Э.С.НАБИУЛЛИНА</w:t>
      </w:r>
    </w:p>
    <w:p w14:paraId="59430F24" w14:textId="77777777" w:rsidR="00685775" w:rsidRDefault="00685775">
      <w:pPr>
        <w:pStyle w:val="ConsPlusNormal"/>
        <w:jc w:val="both"/>
      </w:pPr>
    </w:p>
    <w:p w14:paraId="7CA8B3B6" w14:textId="77777777" w:rsidR="00685775" w:rsidRDefault="00685775">
      <w:pPr>
        <w:pStyle w:val="ConsPlusNormal"/>
        <w:jc w:val="both"/>
      </w:pPr>
    </w:p>
    <w:p w14:paraId="6F0352F0" w14:textId="77777777" w:rsidR="00685775" w:rsidRDefault="006857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1BDC4E4" w14:textId="77777777" w:rsidR="00FF7612" w:rsidRDefault="00FF7612"/>
    <w:sectPr w:rsidR="00FF7612" w:rsidSect="0092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75"/>
    <w:rsid w:val="00685775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13D407"/>
  <w15:chartTrackingRefBased/>
  <w15:docId w15:val="{350C8B15-98BE-4777-AA03-97D62437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7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57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857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5801DD4ED75C9FED82013FB836429547BEBC24C6528A1DECAB88A299FCC9E888468C934E480468AB0E4F3A78C181C8DFC1CD62F2F8050C64a2M" TargetMode="External"/><Relationship Id="rId13" Type="http://schemas.openxmlformats.org/officeDocument/2006/relationships/hyperlink" Target="consultantplus://offline/ref=B15801DD4ED75C9FED82013FB83642954DBEB729C95FD717E4F284A09EF396ED8F578C924756066EB6071B6963a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5801DD4ED75C9FED82013FB836429547BEBC24C6528A1DECAB88A299FCC9E888468C964C43523DEC50166B358A8CCAC8DDCD626EaFM" TargetMode="External"/><Relationship Id="rId12" Type="http://schemas.openxmlformats.org/officeDocument/2006/relationships/hyperlink" Target="consultantplus://offline/ref=B15801DD4ED75C9FED82013FB836429540B4B322C05C8A1DECAB88A299FCC9E888468C934E48066FAF0E4F3A78C181C8DFC1CD62F2F8050C64a2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5801DD4ED75C9FED82013FB836429547BEBC24C6528A1DECAB88A299FCC9E888468C964E43523DEC50166B358A8CCAC8DDCD626EaFM" TargetMode="External"/><Relationship Id="rId11" Type="http://schemas.openxmlformats.org/officeDocument/2006/relationships/hyperlink" Target="consultantplus://offline/ref=B15801DD4ED75C9FED82013FB836429540B4BC24C7528A1DECAB88A299FCC9E888468C9B4E410D38F9414E663C9D92C8D4C1CF60EE6Fa9M" TargetMode="External"/><Relationship Id="rId5" Type="http://schemas.openxmlformats.org/officeDocument/2006/relationships/hyperlink" Target="consultantplus://offline/ref=B15801DD4ED75C9FED82013FB836429540B4BC24C7528A1DECAB88A299FCC9E888468C9347490667FC545F3E319485D6D6DDD362ECF860a6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15801DD4ED75C9FED82013FB836429540B4BC24C7528A1DECAB88A299FCC9E888468C9B4E410D38F9414E663C9D92C8D4C1CF60EE6Fa9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15801DD4ED75C9FED82013FB836429540B5BD24C6578A1DECAB88A299FCC9E888468C9147480D38F9414E663C9D92C8D4C1CF60EE6Fa9M" TargetMode="External"/><Relationship Id="rId14" Type="http://schemas.openxmlformats.org/officeDocument/2006/relationships/hyperlink" Target="consultantplus://offline/ref=B15801DD4ED75C9FED82013FB836429542BEB626C75FD717E4F284A09EF396ED8F578C924756066EB6071B6963a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2454</Words>
  <Characters>13989</Characters>
  <Application>Microsoft Office Word</Application>
  <DocSecurity>0</DocSecurity>
  <Lines>116</Lines>
  <Paragraphs>32</Paragraphs>
  <ScaleCrop>false</ScaleCrop>
  <Company/>
  <LinksUpToDate>false</LinksUpToDate>
  <CharactersWithSpaces>16411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Самсонова Светлана Сергеевна</dc:creator>
  <cp:keywords/>
  <dc:description/>
  <cp:lastModifiedBy>Самсонова Светлана Сергеевна</cp:lastModifiedBy>
  <cp:revision>1</cp:revision>
  <dcterms:created xsi:type="dcterms:W3CDTF">2023-02-09T12:26:00Z</dcterms:created>
  <dcterms:modified xsi:type="dcterms:W3CDTF">2023-02-09T12:27:00Z</dcterms:modified>
</cp:coreProperties>
</file>