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5A5A" w14:textId="77777777" w:rsidR="005104AD" w:rsidRPr="0016178B" w:rsidRDefault="005104AD" w:rsidP="005104AD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16178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51EFD99" w14:textId="77777777" w:rsidR="005104AD" w:rsidRPr="0016178B" w:rsidRDefault="005104AD" w:rsidP="005104AD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F39452" w14:textId="72C8389D" w:rsidR="005104AD" w:rsidRPr="0016178B" w:rsidRDefault="005104AD" w:rsidP="005104AD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(Приказ № МБ-П-</w:t>
      </w:r>
      <w:r w:rsidR="008573E2">
        <w:rPr>
          <w:rFonts w:ascii="Tahoma" w:hAnsi="Tahoma" w:cs="Tahoma"/>
          <w:sz w:val="20"/>
          <w:szCs w:val="20"/>
          <w:lang w:val="ru-RU"/>
        </w:rPr>
        <w:t>2023-</w:t>
      </w:r>
      <w:r w:rsidR="00B16B27">
        <w:rPr>
          <w:rFonts w:ascii="Tahoma" w:hAnsi="Tahoma" w:cs="Tahoma"/>
          <w:sz w:val="20"/>
          <w:szCs w:val="20"/>
          <w:lang w:val="ru-RU"/>
        </w:rPr>
        <w:t>1667</w:t>
      </w:r>
      <w:r w:rsidR="008573E2">
        <w:rPr>
          <w:rFonts w:ascii="Tahoma" w:hAnsi="Tahoma" w:cs="Tahoma"/>
          <w:sz w:val="20"/>
          <w:szCs w:val="20"/>
          <w:lang w:val="ru-RU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 xml:space="preserve"> от </w:t>
      </w:r>
      <w:r w:rsidR="00B16B27">
        <w:rPr>
          <w:rFonts w:ascii="Tahoma" w:hAnsi="Tahoma" w:cs="Tahoma"/>
          <w:sz w:val="20"/>
          <w:szCs w:val="20"/>
          <w:lang w:val="ru-RU"/>
        </w:rPr>
        <w:t xml:space="preserve">27 июня </w:t>
      </w:r>
      <w:r w:rsidRPr="0016178B">
        <w:rPr>
          <w:rFonts w:ascii="Tahoma" w:hAnsi="Tahoma" w:cs="Tahoma"/>
          <w:sz w:val="20"/>
          <w:szCs w:val="20"/>
        </w:rPr>
        <w:t>202</w:t>
      </w:r>
      <w:r w:rsidR="00347B6A" w:rsidRPr="0016178B">
        <w:rPr>
          <w:rFonts w:ascii="Tahoma" w:hAnsi="Tahoma" w:cs="Tahoma"/>
          <w:sz w:val="20"/>
          <w:szCs w:val="20"/>
          <w:lang w:val="ru-RU"/>
        </w:rPr>
        <w:t>3</w:t>
      </w:r>
      <w:r w:rsidRPr="0016178B">
        <w:rPr>
          <w:rFonts w:ascii="Tahoma" w:hAnsi="Tahoma" w:cs="Tahoma"/>
          <w:sz w:val="20"/>
          <w:szCs w:val="20"/>
        </w:rPr>
        <w:t>г.)</w:t>
      </w:r>
    </w:p>
    <w:bookmarkEnd w:id="0"/>
    <w:p w14:paraId="7B8E0166" w14:textId="77777777" w:rsidR="005104AD" w:rsidRPr="0016178B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11D8B0AD" w14:textId="5DC31887" w:rsidR="005104AD" w:rsidRPr="0016178B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СПЕЦИФИКАЦИЯ </w:t>
      </w:r>
      <w:r w:rsidR="00677C3B" w:rsidRPr="0016178B">
        <w:rPr>
          <w:rFonts w:ascii="Tahoma" w:hAnsi="Tahoma" w:cs="Tahoma"/>
          <w:b/>
          <w:bCs/>
          <w:sz w:val="20"/>
          <w:szCs w:val="20"/>
        </w:rPr>
        <w:t xml:space="preserve">ПРЕМИАЛЬНЫХ ОПЦИОНОВ НА КУРСЫ ИНОСТРАННЫХ ВАЛЮТ К </w:t>
      </w:r>
      <w:r w:rsidR="00BF1E82">
        <w:rPr>
          <w:rFonts w:ascii="Tahoma" w:hAnsi="Tahoma" w:cs="Tahoma"/>
          <w:b/>
          <w:bCs/>
          <w:sz w:val="20"/>
          <w:szCs w:val="20"/>
        </w:rPr>
        <w:t xml:space="preserve">РОССИЙСКОМУ </w:t>
      </w:r>
      <w:r w:rsidR="00677C3B" w:rsidRPr="0016178B">
        <w:rPr>
          <w:rFonts w:ascii="Tahoma" w:hAnsi="Tahoma" w:cs="Tahoma"/>
          <w:b/>
          <w:bCs/>
          <w:sz w:val="20"/>
          <w:szCs w:val="20"/>
        </w:rPr>
        <w:t xml:space="preserve">РУБЛЮ </w:t>
      </w:r>
    </w:p>
    <w:p w14:paraId="40FE91D2" w14:textId="070CAE90" w:rsidR="005104AD" w:rsidRPr="0016178B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16178B">
        <w:rPr>
          <w:rFonts w:ascii="Tahoma" w:hAnsi="Tahoma" w:cs="Tahoma"/>
          <w:color w:val="auto"/>
        </w:rPr>
        <w:t xml:space="preserve">Настоящая Спецификация </w:t>
      </w:r>
      <w:r w:rsidR="00677C3B" w:rsidRPr="0016178B">
        <w:rPr>
          <w:rFonts w:ascii="Tahoma" w:hAnsi="Tahoma" w:cs="Tahoma"/>
          <w:color w:val="auto"/>
        </w:rPr>
        <w:t xml:space="preserve">премиальных опционов на курсы иностранных валют к </w:t>
      </w:r>
      <w:r w:rsidR="00BF1E82">
        <w:rPr>
          <w:rFonts w:ascii="Tahoma" w:hAnsi="Tahoma" w:cs="Tahoma"/>
          <w:color w:val="auto"/>
        </w:rPr>
        <w:t xml:space="preserve">российскому </w:t>
      </w:r>
      <w:r w:rsidR="00677C3B" w:rsidRPr="0016178B">
        <w:rPr>
          <w:rFonts w:ascii="Tahoma" w:hAnsi="Tahoma" w:cs="Tahoma"/>
          <w:color w:val="auto"/>
        </w:rPr>
        <w:t xml:space="preserve">рублю </w:t>
      </w:r>
      <w:r w:rsidRPr="0016178B">
        <w:rPr>
          <w:rFonts w:ascii="Tahoma" w:hAnsi="Tahoma" w:cs="Tahoma"/>
          <w:color w:val="auto"/>
        </w:rPr>
        <w:t xml:space="preserve">(далее – Спецификация) определяет стандартные </w:t>
      </w:r>
      <w:r w:rsidR="00CC300C" w:rsidRPr="0016178B">
        <w:rPr>
          <w:rFonts w:ascii="Tahoma" w:hAnsi="Tahoma" w:cs="Tahoma"/>
          <w:color w:val="auto"/>
        </w:rPr>
        <w:t>условия премиальных</w:t>
      </w:r>
      <w:r w:rsidR="005C74F7" w:rsidRPr="0016178B">
        <w:rPr>
          <w:rFonts w:ascii="Tahoma" w:hAnsi="Tahoma" w:cs="Tahoma"/>
          <w:color w:val="auto"/>
        </w:rPr>
        <w:t xml:space="preserve"> </w:t>
      </w:r>
      <w:r w:rsidRPr="0016178B">
        <w:rPr>
          <w:rFonts w:ascii="Tahoma" w:hAnsi="Tahoma" w:cs="Tahoma"/>
          <w:color w:val="auto"/>
        </w:rPr>
        <w:t>расчетных опционов европейского типа, базисным активом которых являются</w:t>
      </w:r>
      <w:r w:rsidR="00677C3B" w:rsidRPr="0016178B">
        <w:rPr>
          <w:rFonts w:ascii="Tahoma" w:hAnsi="Tahoma" w:cs="Tahoma"/>
          <w:color w:val="auto"/>
        </w:rPr>
        <w:t xml:space="preserve"> курсы иностранной валюты к </w:t>
      </w:r>
      <w:r w:rsidR="00BF1E82">
        <w:rPr>
          <w:rFonts w:ascii="Tahoma" w:hAnsi="Tahoma" w:cs="Tahoma"/>
          <w:color w:val="auto"/>
        </w:rPr>
        <w:t xml:space="preserve">российскому </w:t>
      </w:r>
      <w:r w:rsidR="00677C3B" w:rsidRPr="0016178B">
        <w:rPr>
          <w:rFonts w:ascii="Tahoma" w:hAnsi="Tahoma" w:cs="Tahoma"/>
          <w:color w:val="auto"/>
        </w:rPr>
        <w:t>рублю</w:t>
      </w:r>
      <w:r w:rsidRPr="0016178B">
        <w:rPr>
          <w:rFonts w:ascii="Tahoma" w:hAnsi="Tahoma" w:cs="Tahoma"/>
        </w:rPr>
        <w:t xml:space="preserve">. </w:t>
      </w:r>
    </w:p>
    <w:p w14:paraId="012D0F3E" w14:textId="685FDF43" w:rsidR="005104AD" w:rsidRPr="0016178B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16178B">
        <w:rPr>
          <w:rFonts w:ascii="Tahoma" w:hAnsi="Tahoma" w:cs="Tahoma"/>
        </w:rPr>
        <w:t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</w:t>
      </w:r>
      <w:r w:rsidR="00776B60" w:rsidRPr="0016178B">
        <w:rPr>
          <w:rFonts w:ascii="Tahoma" w:hAnsi="Tahoma" w:cs="Tahoma"/>
        </w:rPr>
        <w:t xml:space="preserve"> </w:t>
      </w:r>
      <w:r w:rsidR="00CC300C" w:rsidRPr="0016178B">
        <w:rPr>
          <w:rFonts w:ascii="Tahoma" w:hAnsi="Tahoma" w:cs="Tahoma"/>
        </w:rPr>
        <w:t>премиальным опционам</w:t>
      </w:r>
      <w:r w:rsidRPr="0016178B">
        <w:rPr>
          <w:rFonts w:ascii="Tahoma" w:hAnsi="Tahoma" w:cs="Tahoma"/>
        </w:rPr>
        <w:t xml:space="preserve"> </w:t>
      </w:r>
      <w:r w:rsidRPr="0016178B">
        <w:rPr>
          <w:rFonts w:ascii="Tahoma" w:hAnsi="Tahoma" w:cs="Tahoma"/>
          <w:color w:val="auto"/>
        </w:rPr>
        <w:t xml:space="preserve">на </w:t>
      </w:r>
      <w:r w:rsidR="00776B60" w:rsidRPr="0016178B">
        <w:rPr>
          <w:rFonts w:ascii="Tahoma" w:hAnsi="Tahoma" w:cs="Tahoma"/>
        </w:rPr>
        <w:t xml:space="preserve">курсы иностранных валют к </w:t>
      </w:r>
      <w:r w:rsidR="00BF1E82">
        <w:rPr>
          <w:rFonts w:ascii="Tahoma" w:hAnsi="Tahoma" w:cs="Tahoma"/>
        </w:rPr>
        <w:t xml:space="preserve">российскому </w:t>
      </w:r>
      <w:r w:rsidR="00776B60" w:rsidRPr="0016178B">
        <w:rPr>
          <w:rFonts w:ascii="Tahoma" w:hAnsi="Tahoma" w:cs="Tahoma"/>
        </w:rPr>
        <w:t xml:space="preserve">рублю </w:t>
      </w:r>
      <w:r w:rsidRPr="0016178B">
        <w:rPr>
          <w:rFonts w:ascii="Tahoma" w:hAnsi="Tahoma" w:cs="Tahoma"/>
        </w:rPr>
        <w:t>(далее – Контракт, Контракты).</w:t>
      </w:r>
    </w:p>
    <w:p w14:paraId="38AE6ADB" w14:textId="007B0D93" w:rsidR="005104AD" w:rsidRPr="0016178B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ПАО Московская Биржа (далее – Биржа) утверждает Список </w:t>
      </w:r>
      <w:r w:rsidR="00CC300C" w:rsidRPr="0016178B">
        <w:rPr>
          <w:rFonts w:ascii="Tahoma" w:hAnsi="Tahoma" w:cs="Tahoma"/>
        </w:rPr>
        <w:t>параметров премиальных</w:t>
      </w:r>
      <w:r w:rsidR="00677C3B" w:rsidRPr="0016178B">
        <w:rPr>
          <w:rFonts w:ascii="Tahoma" w:hAnsi="Tahoma" w:cs="Tahoma"/>
        </w:rPr>
        <w:t xml:space="preserve"> опционов на курсы иностранных валют к </w:t>
      </w:r>
      <w:r w:rsidR="00BF1E82">
        <w:rPr>
          <w:rFonts w:ascii="Tahoma" w:hAnsi="Tahoma" w:cs="Tahoma"/>
        </w:rPr>
        <w:t xml:space="preserve">российскому </w:t>
      </w:r>
      <w:r w:rsidR="00677C3B" w:rsidRPr="0016178B">
        <w:rPr>
          <w:rFonts w:ascii="Tahoma" w:hAnsi="Tahoma" w:cs="Tahoma"/>
        </w:rPr>
        <w:t>рублю</w:t>
      </w:r>
      <w:r w:rsidRPr="0016178B">
        <w:rPr>
          <w:rFonts w:ascii="Tahoma" w:hAnsi="Tahoma" w:cs="Tahoma"/>
        </w:rPr>
        <w:t>,</w:t>
      </w:r>
      <w:r w:rsidR="002D5F24" w:rsidRPr="0016178B">
        <w:rPr>
          <w:rFonts w:ascii="Tahoma" w:hAnsi="Tahoma" w:cs="Tahoma"/>
        </w:rPr>
        <w:t xml:space="preserve"> являющийся приложением к настоящей Спецификации (далее – Список параметров</w:t>
      </w:r>
      <w:r w:rsidR="0016178B" w:rsidRPr="0016178B">
        <w:rPr>
          <w:rFonts w:ascii="Tahoma" w:hAnsi="Tahoma" w:cs="Tahoma"/>
        </w:rPr>
        <w:t>), который</w:t>
      </w:r>
      <w:r w:rsidRPr="0016178B">
        <w:rPr>
          <w:rFonts w:ascii="Tahoma" w:hAnsi="Tahoma" w:cs="Tahoma"/>
        </w:rPr>
        <w:t xml:space="preserve"> содержит:</w:t>
      </w:r>
    </w:p>
    <w:p w14:paraId="16462948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наименование Контракта;</w:t>
      </w:r>
    </w:p>
    <w:p w14:paraId="1CAA664E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базисный актив Контракта;</w:t>
      </w:r>
    </w:p>
    <w:p w14:paraId="50238C30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код базисного актива Контракта;</w:t>
      </w:r>
    </w:p>
    <w:p w14:paraId="7EC5DCB5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07B112B4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стоимость минимального шага цены Контракта;</w:t>
      </w:r>
    </w:p>
    <w:p w14:paraId="2F273C1D" w14:textId="77777777" w:rsidR="003955BC" w:rsidRPr="0016178B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коэффициент, указывающий на количество базисного актива в Цене Контракта и Цене исполнения Контракта (страйк) (далее – </w:t>
      </w:r>
      <w:r w:rsidRPr="0016178B">
        <w:rPr>
          <w:rFonts w:ascii="Tahoma" w:hAnsi="Tahoma" w:cs="Tahoma"/>
          <w:lang w:val="en-US"/>
        </w:rPr>
        <w:t>Lot</w:t>
      </w:r>
      <w:r w:rsidRPr="0016178B">
        <w:rPr>
          <w:rFonts w:ascii="Tahoma" w:hAnsi="Tahoma" w:cs="Tahoma"/>
        </w:rPr>
        <w:t>_</w:t>
      </w:r>
      <w:r w:rsidRPr="0016178B">
        <w:rPr>
          <w:rFonts w:ascii="Tahoma" w:hAnsi="Tahoma" w:cs="Tahoma"/>
          <w:lang w:val="en-US"/>
        </w:rPr>
        <w:t>Coeff</w:t>
      </w:r>
      <w:r w:rsidRPr="0016178B">
        <w:rPr>
          <w:rFonts w:ascii="Tahoma" w:hAnsi="Tahoma" w:cs="Tahoma"/>
        </w:rPr>
        <w:t>);</w:t>
      </w:r>
    </w:p>
    <w:p w14:paraId="0F39EB45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количество </w:t>
      </w:r>
      <w:r w:rsidR="00F0680D" w:rsidRPr="0016178B">
        <w:rPr>
          <w:rFonts w:ascii="Tahoma" w:hAnsi="Tahoma" w:cs="Tahoma"/>
        </w:rPr>
        <w:t>единиц иностранной валюты</w:t>
      </w:r>
      <w:r w:rsidRPr="0016178B">
        <w:rPr>
          <w:rFonts w:ascii="Tahoma" w:hAnsi="Tahoma" w:cs="Tahoma"/>
        </w:rPr>
        <w:t>, являющихся базисным активом одного контракта (далее – Лот).</w:t>
      </w:r>
    </w:p>
    <w:p w14:paraId="3C037B87" w14:textId="62A42DBF" w:rsidR="005104AD" w:rsidRPr="0016178B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параметров, являются </w:t>
      </w:r>
      <w:r w:rsidR="003E1DA4" w:rsidRPr="0016178B">
        <w:rPr>
          <w:rFonts w:ascii="Tahoma" w:hAnsi="Tahoma" w:cs="Tahoma"/>
        </w:rPr>
        <w:t>курсы иностранных валют к</w:t>
      </w:r>
      <w:r w:rsidR="00BF1E82">
        <w:rPr>
          <w:rFonts w:ascii="Tahoma" w:hAnsi="Tahoma" w:cs="Tahoma"/>
        </w:rPr>
        <w:t xml:space="preserve"> российскому</w:t>
      </w:r>
      <w:r w:rsidR="003E1DA4" w:rsidRPr="0016178B">
        <w:rPr>
          <w:rFonts w:ascii="Tahoma" w:hAnsi="Tahoma" w:cs="Tahoma"/>
        </w:rPr>
        <w:t xml:space="preserve"> рублю </w:t>
      </w:r>
      <w:r w:rsidRPr="0016178B">
        <w:rPr>
          <w:rFonts w:ascii="Tahoma" w:hAnsi="Tahoma" w:cs="Tahoma"/>
          <w:szCs w:val="20"/>
        </w:rPr>
        <w:t>(далее –</w:t>
      </w:r>
      <w:r w:rsidR="0041621A" w:rsidRPr="0016178B">
        <w:rPr>
          <w:rFonts w:ascii="Tahoma" w:hAnsi="Tahoma" w:cs="Tahoma"/>
          <w:szCs w:val="20"/>
        </w:rPr>
        <w:t>К</w:t>
      </w:r>
      <w:r w:rsidR="003E1DA4" w:rsidRPr="0016178B">
        <w:rPr>
          <w:rFonts w:ascii="Tahoma" w:hAnsi="Tahoma" w:cs="Tahoma"/>
          <w:szCs w:val="20"/>
        </w:rPr>
        <w:t>урс</w:t>
      </w:r>
      <w:r w:rsidR="0041621A" w:rsidRPr="0016178B">
        <w:rPr>
          <w:rFonts w:ascii="Tahoma" w:hAnsi="Tahoma" w:cs="Tahoma"/>
          <w:szCs w:val="20"/>
        </w:rPr>
        <w:t>ы валют</w:t>
      </w:r>
      <w:r w:rsidRPr="0016178B">
        <w:rPr>
          <w:rFonts w:ascii="Tahoma" w:hAnsi="Tahoma" w:cs="Tahoma"/>
          <w:szCs w:val="20"/>
        </w:rPr>
        <w:t>).</w:t>
      </w:r>
    </w:p>
    <w:p w14:paraId="6CA6AC21" w14:textId="77777777" w:rsidR="005104AD" w:rsidRPr="0016178B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51264FC5" w14:textId="77777777" w:rsidR="005104AD" w:rsidRPr="0016178B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45CF140E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34412E9C" w14:textId="77777777" w:rsidR="005104AD" w:rsidRPr="0016178B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3A5E220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DE0BC17" w14:textId="77777777" w:rsidR="005104AD" w:rsidRPr="0016178B" w:rsidRDefault="00F0680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 Торговый код </w:t>
      </w:r>
      <w:r w:rsidR="00CC300C" w:rsidRPr="0016178B">
        <w:rPr>
          <w:rFonts w:ascii="Tahoma" w:hAnsi="Tahoma" w:cs="Tahoma"/>
          <w:sz w:val="20"/>
          <w:szCs w:val="20"/>
        </w:rPr>
        <w:t>Контракта дату</w:t>
      </w:r>
      <w:r w:rsidR="005104AD" w:rsidRPr="0016178B">
        <w:rPr>
          <w:rFonts w:ascii="Tahoma" w:hAnsi="Tahoma" w:cs="Tahoma"/>
          <w:sz w:val="20"/>
          <w:szCs w:val="20"/>
        </w:rPr>
        <w:t xml:space="preserve"> первого Торгового дня, в который может быть заключен Контракт (далее – первый день заключения Контракта);</w:t>
      </w:r>
    </w:p>
    <w:p w14:paraId="419CAFB9" w14:textId="77777777" w:rsidR="005104AD" w:rsidRPr="0016178B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330E1F3B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3FD0D7CD" w14:textId="7CAE3B97" w:rsidR="005104AD" w:rsidRPr="0016178B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&lt;</w:t>
      </w:r>
      <w:r w:rsidR="0016178B" w:rsidRPr="0016178B">
        <w:rPr>
          <w:rFonts w:ascii="Tahoma" w:hAnsi="Tahoma" w:cs="Tahoma"/>
          <w:sz w:val="20"/>
          <w:szCs w:val="20"/>
        </w:rPr>
        <w:t>Код Контракта</w:t>
      </w:r>
      <w:r w:rsidRPr="0016178B">
        <w:rPr>
          <w:rFonts w:ascii="Tahoma" w:hAnsi="Tahoma" w:cs="Tahoma"/>
          <w:sz w:val="20"/>
          <w:szCs w:val="20"/>
        </w:rPr>
        <w:t>&gt;</w:t>
      </w:r>
      <w:r w:rsidRPr="0016178B">
        <w:rPr>
          <w:rFonts w:ascii="Tahoma" w:hAnsi="Tahoma" w:cs="Tahoma"/>
          <w:sz w:val="20"/>
          <w:szCs w:val="20"/>
          <w:lang w:val="en-US"/>
        </w:rPr>
        <w:t>P</w:t>
      </w:r>
      <w:r w:rsidRPr="0016178B">
        <w:rPr>
          <w:rFonts w:ascii="Tahoma" w:hAnsi="Tahoma" w:cs="Tahoma"/>
          <w:sz w:val="20"/>
          <w:szCs w:val="20"/>
        </w:rPr>
        <w:t>&lt;последний день заключения Контракта&gt;&lt;тип Контракта&gt;</w:t>
      </w:r>
      <w:r w:rsidRPr="0016178B">
        <w:rPr>
          <w:rFonts w:ascii="Tahoma" w:hAnsi="Tahoma" w:cs="Tahoma"/>
          <w:sz w:val="20"/>
          <w:szCs w:val="20"/>
          <w:lang w:val="en-US"/>
        </w:rPr>
        <w:t>E</w:t>
      </w:r>
      <w:r w:rsidRPr="0016178B">
        <w:rPr>
          <w:rFonts w:ascii="Tahoma" w:hAnsi="Tahoma" w:cs="Tahoma"/>
          <w:sz w:val="20"/>
          <w:szCs w:val="20"/>
        </w:rPr>
        <w:t>&lt;цена исполнения&gt;</w:t>
      </w:r>
    </w:p>
    <w:p w14:paraId="49F3A43F" w14:textId="77777777" w:rsidR="005104AD" w:rsidRPr="0016178B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символ «</w:t>
      </w:r>
      <w:r w:rsidRPr="0016178B">
        <w:rPr>
          <w:rFonts w:ascii="Tahoma" w:hAnsi="Tahoma" w:cs="Tahoma"/>
          <w:sz w:val="20"/>
          <w:szCs w:val="20"/>
          <w:lang w:val="en-US"/>
        </w:rPr>
        <w:t>P</w:t>
      </w:r>
      <w:r w:rsidRPr="0016178B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22F0D763" w14:textId="77777777" w:rsidR="005104AD" w:rsidRPr="0016178B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r w:rsidR="00715457" w:rsidRPr="0016178B">
        <w:rPr>
          <w:rFonts w:ascii="Tahoma" w:hAnsi="Tahoma" w:cs="Tahoma"/>
          <w:sz w:val="20"/>
          <w:szCs w:val="20"/>
        </w:rPr>
        <w:t>15</w:t>
      </w:r>
      <w:r w:rsidR="00764978" w:rsidRPr="0016178B">
        <w:rPr>
          <w:rFonts w:ascii="Tahoma" w:hAnsi="Tahoma" w:cs="Tahoma"/>
          <w:sz w:val="20"/>
          <w:szCs w:val="20"/>
        </w:rPr>
        <w:t>0923</w:t>
      </w:r>
      <w:r w:rsidRPr="0016178B">
        <w:rPr>
          <w:rFonts w:ascii="Tahoma" w:hAnsi="Tahoma" w:cs="Tahoma"/>
          <w:sz w:val="20"/>
          <w:szCs w:val="20"/>
        </w:rPr>
        <w:t xml:space="preserve">– </w:t>
      </w:r>
      <w:r w:rsidR="00715457" w:rsidRPr="0016178B">
        <w:rPr>
          <w:rFonts w:ascii="Tahoma" w:hAnsi="Tahoma" w:cs="Tahoma"/>
          <w:sz w:val="20"/>
          <w:szCs w:val="20"/>
        </w:rPr>
        <w:t>2</w:t>
      </w:r>
      <w:r w:rsidRPr="0016178B">
        <w:rPr>
          <w:rFonts w:ascii="Tahoma" w:hAnsi="Tahoma" w:cs="Tahoma"/>
          <w:sz w:val="20"/>
          <w:szCs w:val="20"/>
        </w:rPr>
        <w:t xml:space="preserve">1 </w:t>
      </w:r>
      <w:r w:rsidR="00715457" w:rsidRPr="0016178B">
        <w:rPr>
          <w:rFonts w:ascii="Tahoma" w:hAnsi="Tahoma" w:cs="Tahoma"/>
          <w:sz w:val="20"/>
          <w:szCs w:val="20"/>
        </w:rPr>
        <w:t>сентября</w:t>
      </w:r>
      <w:r w:rsidRPr="0016178B">
        <w:rPr>
          <w:rFonts w:ascii="Tahoma" w:hAnsi="Tahoma" w:cs="Tahoma"/>
          <w:sz w:val="20"/>
          <w:szCs w:val="20"/>
        </w:rPr>
        <w:t xml:space="preserve"> 202</w:t>
      </w:r>
      <w:r w:rsidR="00715457" w:rsidRPr="0016178B">
        <w:rPr>
          <w:rFonts w:ascii="Tahoma" w:hAnsi="Tahoma" w:cs="Tahoma"/>
          <w:sz w:val="20"/>
          <w:szCs w:val="20"/>
        </w:rPr>
        <w:t>3</w:t>
      </w:r>
      <w:r w:rsidRPr="0016178B">
        <w:rPr>
          <w:rFonts w:ascii="Tahoma" w:hAnsi="Tahoma" w:cs="Tahoma"/>
          <w:sz w:val="20"/>
          <w:szCs w:val="20"/>
        </w:rPr>
        <w:t xml:space="preserve"> года);</w:t>
      </w:r>
    </w:p>
    <w:p w14:paraId="0C83A3EB" w14:textId="77777777" w:rsidR="005104AD" w:rsidRPr="0016178B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(Put) – «P»;</w:t>
      </w:r>
    </w:p>
    <w:p w14:paraId="313435A1" w14:textId="77777777" w:rsidR="005104AD" w:rsidRPr="0016178B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lastRenderedPageBreak/>
        <w:t xml:space="preserve">символ «Е» означает, что Контракт является опционом европейского типа. </w:t>
      </w:r>
    </w:p>
    <w:p w14:paraId="3AFA315D" w14:textId="6536B1D6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Цена Контракта (премия) в ходе торгов при подаче заявки и заключении Контракта указывается в российских рублях.</w:t>
      </w:r>
    </w:p>
    <w:p w14:paraId="2B448864" w14:textId="2C8DED23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</w:t>
      </w:r>
      <w:r w:rsidR="002113CC" w:rsidRPr="00BA25C8">
        <w:rPr>
          <w:rFonts w:ascii="Tahoma" w:hAnsi="Tahoma" w:cs="Tahoma"/>
          <w:sz w:val="20"/>
          <w:szCs w:val="20"/>
        </w:rPr>
        <w:t xml:space="preserve"> </w:t>
      </w:r>
      <w:r w:rsidR="006E0FF8">
        <w:rPr>
          <w:rFonts w:ascii="Tahoma" w:hAnsi="Tahoma" w:cs="Tahoma"/>
          <w:sz w:val="20"/>
          <w:szCs w:val="20"/>
        </w:rPr>
        <w:t>вечерней</w:t>
      </w:r>
      <w:r w:rsidR="002113CC" w:rsidRPr="002A0FA5">
        <w:rPr>
          <w:rFonts w:ascii="Tahoma" w:hAnsi="Tahoma" w:cs="Tahoma"/>
          <w:sz w:val="20"/>
          <w:szCs w:val="20"/>
        </w:rPr>
        <w:t xml:space="preserve"> </w:t>
      </w:r>
      <w:r w:rsidRPr="002A0FA5">
        <w:rPr>
          <w:rFonts w:ascii="Tahoma" w:hAnsi="Tahoma" w:cs="Tahoma"/>
          <w:sz w:val="20"/>
          <w:szCs w:val="20"/>
        </w:rPr>
        <w:t>клиринговой сессии последнего дня заключения</w:t>
      </w:r>
      <w:r w:rsidRPr="0016178B">
        <w:rPr>
          <w:rFonts w:ascii="Tahoma" w:hAnsi="Tahoma" w:cs="Tahoma"/>
          <w:sz w:val="20"/>
          <w:szCs w:val="20"/>
        </w:rPr>
        <w:t xml:space="preserve"> (дня исполнения) Контракта.</w:t>
      </w:r>
    </w:p>
    <w:p w14:paraId="7F31225D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16178B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</w:t>
      </w:r>
      <w:r w:rsidR="00592EF8" w:rsidRPr="0016178B">
        <w:rPr>
          <w:rFonts w:ascii="Tahoma" w:hAnsi="Tahoma" w:cs="Tahoma"/>
          <w:sz w:val="20"/>
          <w:szCs w:val="20"/>
        </w:rPr>
        <w:t xml:space="preserve">один </w:t>
      </w:r>
      <w:r w:rsidR="00CC300C" w:rsidRPr="0016178B">
        <w:rPr>
          <w:rFonts w:ascii="Tahoma" w:hAnsi="Tahoma" w:cs="Tahoma"/>
          <w:sz w:val="20"/>
          <w:szCs w:val="20"/>
        </w:rPr>
        <w:t>из четвергов</w:t>
      </w:r>
      <w:r w:rsidR="001F54E5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 xml:space="preserve">месяца и года истечения срока действия Контракта.  </w:t>
      </w:r>
    </w:p>
    <w:p w14:paraId="1B005947" w14:textId="5518768A" w:rsidR="005104AD" w:rsidRPr="0016178B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Если </w:t>
      </w:r>
      <w:r w:rsidR="00CC300C" w:rsidRPr="0016178B">
        <w:rPr>
          <w:rFonts w:ascii="Tahoma" w:hAnsi="Tahoma" w:cs="Tahoma"/>
          <w:sz w:val="20"/>
          <w:szCs w:val="20"/>
        </w:rPr>
        <w:t>соответствующий четверг</w:t>
      </w:r>
      <w:r w:rsidR="001F54E5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 xml:space="preserve">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</w:t>
      </w:r>
      <w:r w:rsidR="0016178B" w:rsidRPr="0016178B">
        <w:rPr>
          <w:rFonts w:ascii="Tahoma" w:hAnsi="Tahoma" w:cs="Tahoma"/>
          <w:sz w:val="20"/>
          <w:szCs w:val="20"/>
        </w:rPr>
        <w:t>соответствующему четвергу</w:t>
      </w:r>
      <w:r w:rsidR="00592EF8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месяца и года истечения срока действия Контракта.</w:t>
      </w:r>
    </w:p>
    <w:p w14:paraId="776DA645" w14:textId="77777777" w:rsidR="005104AD" w:rsidRPr="007C59F9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4490AF16" w14:textId="77777777" w:rsidR="005104AD" w:rsidRPr="00BA25C8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A25C8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7D99A8F1" w14:textId="77777777" w:rsidR="0041621A" w:rsidRPr="0016178B" w:rsidRDefault="0041621A" w:rsidP="0041621A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Днем исполнения Контракта является последний день заключения Контракта, за исключением случаев, предусмотренных пунктами 5.1 и 5.2 настоящей Спецификации. </w:t>
      </w:r>
    </w:p>
    <w:p w14:paraId="0AF33079" w14:textId="77777777" w:rsidR="0041621A" w:rsidRPr="0016178B" w:rsidRDefault="0041621A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</w:p>
    <w:p w14:paraId="2E973C71" w14:textId="77777777" w:rsidR="005104AD" w:rsidRPr="0016178B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1"/>
    <w:p w14:paraId="7AF69483" w14:textId="77777777" w:rsidR="005104AD" w:rsidRPr="0016178B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60AC6125" w14:textId="77777777" w:rsidR="005104AD" w:rsidRPr="0016178B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5017B683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38C192E9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2" w:name="_Hlk94106695"/>
      <w:r w:rsidRPr="0016178B">
        <w:rPr>
          <w:rFonts w:ascii="Tahoma" w:hAnsi="Tahoma" w:cs="Tahoma"/>
          <w:sz w:val="20"/>
          <w:szCs w:val="20"/>
        </w:rPr>
        <w:t xml:space="preserve"> </w:t>
      </w:r>
      <w:bookmarkEnd w:id="2"/>
      <w:r w:rsidRPr="0016178B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752DCDE2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79403DC0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 w:rsidRPr="0016178B">
        <w:rPr>
          <w:rFonts w:ascii="Tahoma" w:hAnsi="Tahoma" w:cs="Tahoma"/>
          <w:sz w:val="20"/>
          <w:szCs w:val="20"/>
        </w:rPr>
        <w:t xml:space="preserve">российских </w:t>
      </w:r>
      <w:r w:rsidRPr="0016178B">
        <w:rPr>
          <w:rFonts w:ascii="Tahoma" w:hAnsi="Tahoma" w:cs="Tahoma"/>
          <w:sz w:val="20"/>
          <w:szCs w:val="20"/>
        </w:rPr>
        <w:t>рублях), и рассчитывается в отношении каждого Контракта следующим образом:</w:t>
      </w:r>
    </w:p>
    <w:p w14:paraId="308DE942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(Цена Контракта (премия) *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b/>
          <w:bCs/>
          <w:sz w:val="20"/>
          <w:szCs w:val="20"/>
        </w:rPr>
        <w:t>/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>; 5); 2)</w:t>
      </w:r>
    </w:p>
    <w:p w14:paraId="4F3A6237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где:</w:t>
      </w:r>
    </w:p>
    <w:p w14:paraId="0DD6BEA3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()</w:t>
      </w:r>
      <w:r w:rsidRPr="0016178B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25C20DA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16178B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2364F010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25A5760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16178B">
        <w:rPr>
          <w:rFonts w:ascii="Tahoma" w:hAnsi="Tahoma" w:cs="Tahoma"/>
          <w:sz w:val="20"/>
          <w:szCs w:val="20"/>
        </w:rPr>
        <w:t>минимальный шаг цены.</w:t>
      </w:r>
    </w:p>
    <w:p w14:paraId="0ED6EC3F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Обязательства по расчетам</w:t>
      </w:r>
    </w:p>
    <w:p w14:paraId="6631F5CA" w14:textId="335FBC9D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Обязательство по уплате денежных средств в сумме, равной внутренней стоимости опциона, определяемое в ходе </w:t>
      </w:r>
      <w:r w:rsidR="006E0FF8">
        <w:rPr>
          <w:rFonts w:ascii="Tahoma" w:hAnsi="Tahoma" w:cs="Tahoma"/>
          <w:sz w:val="20"/>
          <w:szCs w:val="20"/>
        </w:rPr>
        <w:t>вечерней</w:t>
      </w:r>
      <w:r w:rsidR="002113CC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клиринговой сессии дня исполнения Контракта, является Обязательством по расчетам и рассчитывается в российских рублях.</w:t>
      </w:r>
    </w:p>
    <w:p w14:paraId="25AF3C79" w14:textId="77777777" w:rsidR="005104AD" w:rsidRPr="0016178B" w:rsidRDefault="005104AD" w:rsidP="007739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 в день исполнения Контракта определяется следующим образом: </w:t>
      </w:r>
    </w:p>
    <w:p w14:paraId="4EAFAB9F" w14:textId="452A2FFA" w:rsidR="005104AD" w:rsidRPr="0016178B" w:rsidRDefault="0016178B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  <w:lang w:val="en-US"/>
        </w:rPr>
        <w:t>MAX</w:t>
      </w:r>
      <w:r w:rsidRPr="0016178B">
        <w:rPr>
          <w:rFonts w:ascii="Tahoma" w:hAnsi="Tahoma" w:cs="Tahoma"/>
          <w:sz w:val="20"/>
          <w:szCs w:val="20"/>
        </w:rPr>
        <w:t>(Курс</w:t>
      </w:r>
      <w:r w:rsidR="000D290C" w:rsidRPr="0016178B">
        <w:rPr>
          <w:rFonts w:ascii="Tahoma" w:hAnsi="Tahoma" w:cs="Tahoma"/>
          <w:sz w:val="20"/>
          <w:szCs w:val="20"/>
        </w:rPr>
        <w:t xml:space="preserve"> валют</w:t>
      </w:r>
      <w:r w:rsidR="0024398A" w:rsidRPr="0016178B">
        <w:rPr>
          <w:rFonts w:ascii="Tahoma" w:hAnsi="Tahoma" w:cs="Tahoma"/>
          <w:sz w:val="20"/>
          <w:szCs w:val="20"/>
        </w:rPr>
        <w:t>ы</w:t>
      </w:r>
      <w:r w:rsidR="00A34DCC" w:rsidRPr="0016178B">
        <w:rPr>
          <w:rFonts w:ascii="Tahoma" w:hAnsi="Tahoma" w:cs="Tahoma"/>
          <w:sz w:val="20"/>
          <w:szCs w:val="20"/>
        </w:rPr>
        <w:t xml:space="preserve">* </w:t>
      </w:r>
      <w:r w:rsidR="00A34DCC" w:rsidRPr="0016178B">
        <w:rPr>
          <w:rFonts w:ascii="Tahoma" w:hAnsi="Tahoma" w:cs="Tahoma"/>
          <w:sz w:val="20"/>
          <w:szCs w:val="20"/>
          <w:lang w:val="en-US"/>
        </w:rPr>
        <w:t>Lot</w:t>
      </w:r>
      <w:r w:rsidR="00A34DCC" w:rsidRPr="0016178B">
        <w:rPr>
          <w:rFonts w:ascii="Tahoma" w:hAnsi="Tahoma" w:cs="Tahoma"/>
          <w:sz w:val="20"/>
          <w:szCs w:val="20"/>
        </w:rPr>
        <w:t>_</w:t>
      </w:r>
      <w:r w:rsidR="00A34DCC" w:rsidRPr="0016178B">
        <w:rPr>
          <w:rFonts w:ascii="Tahoma" w:hAnsi="Tahoma" w:cs="Tahoma"/>
          <w:sz w:val="20"/>
          <w:szCs w:val="20"/>
          <w:lang w:val="en-US"/>
        </w:rPr>
        <w:t>Coeff</w:t>
      </w:r>
      <w:r w:rsidR="005104AD" w:rsidRPr="0016178B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="005104AD" w:rsidRPr="0016178B">
        <w:rPr>
          <w:rFonts w:ascii="Tahoma" w:hAnsi="Tahoma" w:cs="Tahoma"/>
          <w:sz w:val="20"/>
          <w:szCs w:val="20"/>
          <w:lang w:val="en-US"/>
        </w:rPr>
        <w:t>Call</w:t>
      </w:r>
    </w:p>
    <w:p w14:paraId="4457DF68" w14:textId="264A50B8" w:rsidR="005104AD" w:rsidRPr="0016178B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r w:rsidRPr="00BA25C8">
        <w:rPr>
          <w:rFonts w:ascii="Tahoma" w:hAnsi="Tahoma" w:cs="Tahoma"/>
          <w:sz w:val="20"/>
          <w:szCs w:val="20"/>
          <w:lang w:val="en-US"/>
        </w:rPr>
        <w:t>MAX</w:t>
      </w:r>
      <w:r w:rsidRPr="00BA25C8">
        <w:rPr>
          <w:rFonts w:ascii="Tahoma" w:hAnsi="Tahoma" w:cs="Tahoma"/>
          <w:sz w:val="20"/>
          <w:szCs w:val="20"/>
        </w:rPr>
        <w:t>(Цена исполнения опциона (Страйк) –</w:t>
      </w:r>
      <w:r w:rsidR="000D290C" w:rsidRPr="00BA25C8">
        <w:rPr>
          <w:rFonts w:ascii="Tahoma" w:hAnsi="Tahoma" w:cs="Tahoma"/>
          <w:sz w:val="20"/>
          <w:szCs w:val="20"/>
        </w:rPr>
        <w:t xml:space="preserve"> Курс валют</w:t>
      </w:r>
      <w:r w:rsidR="002A0FA5">
        <w:rPr>
          <w:rFonts w:ascii="Tahoma" w:hAnsi="Tahoma" w:cs="Tahoma"/>
          <w:sz w:val="20"/>
          <w:szCs w:val="20"/>
        </w:rPr>
        <w:t>ы</w:t>
      </w:r>
      <w:r w:rsidR="00A34DCC" w:rsidRPr="002A0FA5">
        <w:rPr>
          <w:rFonts w:ascii="Tahoma" w:hAnsi="Tahoma" w:cs="Tahoma"/>
          <w:sz w:val="20"/>
          <w:szCs w:val="20"/>
        </w:rPr>
        <w:t xml:space="preserve">* </w:t>
      </w:r>
      <w:r w:rsidR="00A34DCC" w:rsidRPr="002A0FA5">
        <w:rPr>
          <w:rFonts w:ascii="Tahoma" w:hAnsi="Tahoma" w:cs="Tahoma"/>
          <w:sz w:val="20"/>
          <w:szCs w:val="20"/>
          <w:lang w:val="en-US"/>
        </w:rPr>
        <w:t>Lot</w:t>
      </w:r>
      <w:r w:rsidR="00A34DCC" w:rsidRPr="002A0FA5">
        <w:rPr>
          <w:rFonts w:ascii="Tahoma" w:hAnsi="Tahoma" w:cs="Tahoma"/>
          <w:sz w:val="20"/>
          <w:szCs w:val="20"/>
        </w:rPr>
        <w:t>_</w:t>
      </w:r>
      <w:r w:rsidR="00A34DCC" w:rsidRPr="0016178B">
        <w:rPr>
          <w:rFonts w:ascii="Tahoma" w:hAnsi="Tahoma" w:cs="Tahoma"/>
          <w:sz w:val="20"/>
          <w:szCs w:val="20"/>
          <w:lang w:val="en-US"/>
        </w:rPr>
        <w:t>Coeff</w:t>
      </w:r>
      <w:r w:rsidRPr="0016178B">
        <w:rPr>
          <w:rFonts w:ascii="Tahoma" w:hAnsi="Tahoma" w:cs="Tahoma"/>
          <w:sz w:val="20"/>
          <w:szCs w:val="20"/>
        </w:rPr>
        <w:t xml:space="preserve">; 0) для опционов </w:t>
      </w:r>
      <w:r w:rsidRPr="0016178B">
        <w:rPr>
          <w:rFonts w:ascii="Tahoma" w:hAnsi="Tahoma" w:cs="Tahoma"/>
          <w:sz w:val="20"/>
          <w:szCs w:val="20"/>
          <w:lang w:val="en-US"/>
        </w:rPr>
        <w:t>Put</w:t>
      </w:r>
      <w:r w:rsidRPr="0016178B">
        <w:rPr>
          <w:rFonts w:ascii="Tahoma" w:hAnsi="Tahoma" w:cs="Tahoma"/>
          <w:sz w:val="20"/>
          <w:szCs w:val="20"/>
        </w:rPr>
        <w:t>,</w:t>
      </w:r>
    </w:p>
    <w:p w14:paraId="7A228127" w14:textId="3A201ABB" w:rsidR="00A34DCC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lastRenderedPageBreak/>
        <w:t>где</w:t>
      </w:r>
      <w:r w:rsidR="00C97014" w:rsidRPr="0016178B">
        <w:rPr>
          <w:rFonts w:ascii="Tahoma" w:hAnsi="Tahoma" w:cs="Tahoma"/>
          <w:sz w:val="20"/>
          <w:szCs w:val="20"/>
        </w:rPr>
        <w:t xml:space="preserve"> Курс валют</w:t>
      </w:r>
      <w:r w:rsidR="0024398A" w:rsidRPr="0016178B">
        <w:rPr>
          <w:rFonts w:ascii="Tahoma" w:hAnsi="Tahoma" w:cs="Tahoma"/>
          <w:sz w:val="20"/>
          <w:szCs w:val="20"/>
        </w:rPr>
        <w:t>ы</w:t>
      </w:r>
      <w:r w:rsidRPr="0016178B">
        <w:rPr>
          <w:rFonts w:ascii="Tahoma" w:hAnsi="Tahoma" w:cs="Tahoma"/>
          <w:sz w:val="20"/>
          <w:szCs w:val="20"/>
        </w:rPr>
        <w:t>, являющ</w:t>
      </w:r>
      <w:r w:rsidR="00C97014" w:rsidRPr="0016178B">
        <w:rPr>
          <w:rFonts w:ascii="Tahoma" w:hAnsi="Tahoma" w:cs="Tahoma"/>
          <w:sz w:val="20"/>
          <w:szCs w:val="20"/>
        </w:rPr>
        <w:t>и</w:t>
      </w:r>
      <w:r w:rsidRPr="0016178B">
        <w:rPr>
          <w:rFonts w:ascii="Tahoma" w:hAnsi="Tahoma" w:cs="Tahoma"/>
          <w:sz w:val="20"/>
          <w:szCs w:val="20"/>
        </w:rPr>
        <w:t xml:space="preserve">йся базисным активом Контракта, </w:t>
      </w:r>
      <w:r w:rsidR="0024398A" w:rsidRPr="0016178B">
        <w:rPr>
          <w:rFonts w:ascii="Tahoma" w:hAnsi="Tahoma" w:cs="Tahoma"/>
          <w:sz w:val="20"/>
          <w:szCs w:val="20"/>
        </w:rPr>
        <w:t xml:space="preserve">равен значению фиксинга, определенному в день исполнения Контракта в соответствии </w:t>
      </w:r>
      <w:r w:rsidR="0016178B" w:rsidRPr="0016178B">
        <w:rPr>
          <w:rFonts w:ascii="Tahoma" w:hAnsi="Tahoma" w:cs="Tahoma"/>
          <w:sz w:val="20"/>
          <w:szCs w:val="20"/>
        </w:rPr>
        <w:t xml:space="preserve">с </w:t>
      </w:r>
      <w:r w:rsidR="0016178B" w:rsidRPr="0016178B">
        <w:rPr>
          <w:rFonts w:ascii="Tahoma" w:hAnsi="Tahoma" w:cs="Tahoma"/>
          <w:color w:val="000000"/>
          <w:sz w:val="20"/>
          <w:szCs w:val="20"/>
        </w:rPr>
        <w:t>Методикой</w:t>
      </w:r>
      <w:r w:rsidR="00DE5778" w:rsidRPr="0016178B">
        <w:rPr>
          <w:rFonts w:ascii="Tahoma" w:hAnsi="Tahoma" w:cs="Tahoma"/>
          <w:color w:val="000000"/>
          <w:sz w:val="20"/>
          <w:szCs w:val="20"/>
        </w:rPr>
        <w:t xml:space="preserve"> расчета фиксингов Московской Биржи</w:t>
      </w:r>
      <w:r w:rsidR="0016178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(далее – Методика)</w:t>
      </w:r>
      <w:r w:rsidR="007B2754" w:rsidRPr="0016178B">
        <w:rPr>
          <w:rFonts w:ascii="Tahoma" w:hAnsi="Tahoma" w:cs="Tahoma"/>
          <w:sz w:val="20"/>
          <w:szCs w:val="20"/>
        </w:rPr>
        <w:t xml:space="preserve">, </w:t>
      </w:r>
      <w:r w:rsidR="007B2754" w:rsidRPr="0016178B">
        <w:rPr>
          <w:rFonts w:ascii="Tahoma" w:hAnsi="Tahoma" w:cs="Tahoma"/>
          <w:color w:val="000000"/>
          <w:sz w:val="20"/>
          <w:szCs w:val="20"/>
        </w:rPr>
        <w:t>утвержденной Биржей и опубликованной на сайте Биржи в сети Интернет (далее – фиксинг)</w:t>
      </w:r>
      <w:r w:rsidR="00A34DCC" w:rsidRPr="0016178B">
        <w:rPr>
          <w:rFonts w:ascii="Tahoma" w:hAnsi="Tahoma" w:cs="Tahoma"/>
          <w:sz w:val="20"/>
          <w:szCs w:val="20"/>
        </w:rPr>
        <w:t>;</w:t>
      </w:r>
    </w:p>
    <w:p w14:paraId="18C1B659" w14:textId="77777777" w:rsidR="007B2754" w:rsidRPr="0016178B" w:rsidRDefault="007B2754" w:rsidP="007739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bookmarkStart w:id="3" w:name="_Hlk108017987"/>
      <w:r w:rsidRPr="0016178B">
        <w:rPr>
          <w:rFonts w:ascii="Tahoma" w:hAnsi="Tahoma" w:cs="Tahoma"/>
          <w:sz w:val="20"/>
          <w:szCs w:val="20"/>
        </w:rPr>
        <w:t>Если в день исполнения Контракта торги на Бирже по валюте, являющейся базисным активом Контракта, не проводились или были приостановлены в период определения фиксингов, установленный Методикой, значение фиксинга устанавливается равным значению курса соответствующей валюты, установленного Центральным банком Российской Федерации на день исполнения Контракта.</w:t>
      </w:r>
    </w:p>
    <w:bookmarkEnd w:id="3"/>
    <w:p w14:paraId="5A7D2D80" w14:textId="77777777" w:rsidR="007B2754" w:rsidRPr="0016178B" w:rsidRDefault="007B2754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</w:p>
    <w:p w14:paraId="0F47780C" w14:textId="77777777" w:rsidR="005104AD" w:rsidRPr="0016178B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  <w:lang w:val="en-US"/>
        </w:rPr>
        <w:t>Lot</w:t>
      </w:r>
      <w:r w:rsidRPr="0016178B">
        <w:rPr>
          <w:rFonts w:ascii="Tahoma" w:hAnsi="Tahoma" w:cs="Tahoma"/>
          <w:sz w:val="20"/>
          <w:szCs w:val="20"/>
        </w:rPr>
        <w:t>_</w:t>
      </w:r>
      <w:r w:rsidRPr="00BA25C8">
        <w:rPr>
          <w:rFonts w:ascii="Tahoma" w:hAnsi="Tahoma" w:cs="Tahoma"/>
          <w:sz w:val="20"/>
          <w:szCs w:val="20"/>
          <w:lang w:val="en-US"/>
        </w:rPr>
        <w:t>Coeff</w:t>
      </w:r>
      <w:r w:rsidRPr="00BA25C8">
        <w:rPr>
          <w:rFonts w:ascii="Tahoma" w:hAnsi="Tahoma" w:cs="Tahoma"/>
          <w:sz w:val="20"/>
          <w:szCs w:val="20"/>
        </w:rPr>
        <w:t xml:space="preserve"> –</w:t>
      </w:r>
      <w:r w:rsidRPr="002A0FA5">
        <w:rPr>
          <w:rFonts w:ascii="Tahoma" w:hAnsi="Tahoma" w:cs="Tahoma"/>
          <w:sz w:val="20"/>
          <w:szCs w:val="20"/>
        </w:rPr>
        <w:t xml:space="preserve"> коэффициент, указывающий на количество базисного актива в Цене Контракта и Цене исполнения Контракта (страйк)</w:t>
      </w:r>
      <w:r w:rsidRPr="0016178B">
        <w:rPr>
          <w:rFonts w:ascii="Tahoma" w:hAnsi="Tahoma" w:cs="Tahoma"/>
          <w:sz w:val="20"/>
          <w:szCs w:val="20"/>
        </w:rPr>
        <w:t>, определяемый в Списке параметров</w:t>
      </w:r>
      <w:r w:rsidR="0041621A" w:rsidRPr="0016178B">
        <w:rPr>
          <w:rFonts w:ascii="Tahoma" w:hAnsi="Tahoma" w:cs="Tahoma"/>
          <w:sz w:val="20"/>
          <w:szCs w:val="20"/>
        </w:rPr>
        <w:t>.</w:t>
      </w:r>
    </w:p>
    <w:p w14:paraId="43D51117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</w:t>
      </w:r>
    </w:p>
    <w:p w14:paraId="5FFD8A0D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b/>
          <w:bCs/>
          <w:sz w:val="20"/>
          <w:szCs w:val="20"/>
        </w:rPr>
        <w:t>/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>; 5); 2)</w:t>
      </w:r>
    </w:p>
    <w:p w14:paraId="1CA607BD" w14:textId="77777777" w:rsidR="005104AD" w:rsidRPr="0016178B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           где:</w:t>
      </w:r>
    </w:p>
    <w:p w14:paraId="2883B088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()</w:t>
      </w:r>
      <w:r w:rsidRPr="0016178B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F182733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16178B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3CA4A88B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13E2AE3F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7A4360E1" w14:textId="31E83E67" w:rsidR="005104AD" w:rsidRPr="002A0FA5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Требования и обязательства по исполнению Контракта возникают автоматически в ходе </w:t>
      </w:r>
      <w:r w:rsidR="006E0FF8">
        <w:rPr>
          <w:rFonts w:ascii="Tahoma" w:hAnsi="Tahoma" w:cs="Tahoma"/>
          <w:sz w:val="20"/>
          <w:szCs w:val="20"/>
        </w:rPr>
        <w:t>вечерней</w:t>
      </w:r>
      <w:r w:rsidR="002113CC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клиринговой сессии дня исполнения контракта для опционов «в деньгах», а именно</w:t>
      </w:r>
      <w:r w:rsidR="002A0FA5">
        <w:rPr>
          <w:rFonts w:ascii="Tahoma" w:hAnsi="Tahoma" w:cs="Tahoma"/>
          <w:sz w:val="20"/>
          <w:szCs w:val="20"/>
        </w:rPr>
        <w:t xml:space="preserve"> для контрактов Внутренняя стоимость которых положительна. </w:t>
      </w:r>
    </w:p>
    <w:p w14:paraId="4DAFC8ED" w14:textId="77777777" w:rsidR="005104AD" w:rsidRPr="002A0FA5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A25C8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2.2.4</w:t>
      </w:r>
      <w:r w:rsidRPr="002A0FA5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6BBC1A9D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2A55F62B" w14:textId="77777777" w:rsidR="005104AD" w:rsidRPr="0016178B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3ED19049" w14:textId="77777777" w:rsidR="005104AD" w:rsidRPr="00BA25C8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089910FF" w14:textId="77777777" w:rsidR="005104AD" w:rsidRPr="00BA25C8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BA25C8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732DBD42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BA25C8">
        <w:rPr>
          <w:rFonts w:ascii="Tahoma" w:hAnsi="Tahoma" w:cs="Tahoma"/>
          <w:szCs w:val="20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</w:t>
      </w:r>
      <w:r w:rsidRPr="0016178B">
        <w:rPr>
          <w:rFonts w:ascii="Tahoma" w:hAnsi="Tahoma" w:cs="Tahoma"/>
          <w:szCs w:val="20"/>
        </w:rPr>
        <w:t>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3CC276C7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0B53760E" w14:textId="77777777" w:rsidR="005104AD" w:rsidRPr="0016178B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1BE4AEAF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F0E40DF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50DB87EC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10FA4B91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В случае приостановления/прекращения заключения Контракта на Торгах, приостановления организованных торгов </w:t>
      </w:r>
      <w:r w:rsidR="000D290C" w:rsidRPr="0016178B">
        <w:rPr>
          <w:rFonts w:ascii="Tahoma" w:hAnsi="Tahoma" w:cs="Tahoma"/>
          <w:szCs w:val="20"/>
        </w:rPr>
        <w:t>на валютном рынке</w:t>
      </w:r>
      <w:r w:rsidR="00AC62DF" w:rsidRPr="0016178B">
        <w:rPr>
          <w:rFonts w:ascii="Tahoma" w:hAnsi="Tahoma" w:cs="Tahoma"/>
          <w:szCs w:val="20"/>
        </w:rPr>
        <w:t xml:space="preserve"> ПАО Московская Биржа и / или приостановления / прекращения расчета фиксинга</w:t>
      </w:r>
      <w:r w:rsidR="000D290C" w:rsidRPr="0016178B">
        <w:rPr>
          <w:rFonts w:ascii="Tahoma" w:hAnsi="Tahoma" w:cs="Tahoma"/>
          <w:szCs w:val="20"/>
        </w:rPr>
        <w:t xml:space="preserve"> </w:t>
      </w:r>
      <w:r w:rsidRPr="0016178B">
        <w:rPr>
          <w:rFonts w:ascii="Tahoma" w:hAnsi="Tahoma" w:cs="Tahoma"/>
          <w:szCs w:val="20"/>
        </w:rPr>
        <w:t>Биржа вправе по согласованию с Клиринговым центром принять одно или несколько из следующих решений:</w:t>
      </w:r>
    </w:p>
    <w:p w14:paraId="6D31C38D" w14:textId="77777777" w:rsidR="005104AD" w:rsidRPr="0016178B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2927FC2C" w14:textId="77777777" w:rsidR="005104AD" w:rsidRPr="0016178B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об изменении даты дня исполнения Контракта;</w:t>
      </w:r>
    </w:p>
    <w:p w14:paraId="7E01F8E0" w14:textId="77777777" w:rsidR="005104AD" w:rsidRPr="0016178B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об изменении Цены исполнения опциона (страйка); </w:t>
      </w:r>
    </w:p>
    <w:p w14:paraId="2CB5A1DC" w14:textId="77777777" w:rsidR="005104AD" w:rsidRPr="0016178B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принять иные решения, предусмотренные Правилами торгов.</w:t>
      </w:r>
    </w:p>
    <w:p w14:paraId="4F0F51C2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9C05B57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037CE69C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9A7A584" w14:textId="2A89B6A9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4" w:name="_Ref152644934"/>
      <w:r w:rsidRPr="0016178B">
        <w:rPr>
          <w:rFonts w:ascii="Tahoma" w:hAnsi="Tahoma" w:cs="Tahoma"/>
          <w:szCs w:val="20"/>
        </w:rPr>
        <w:t>В случае если</w:t>
      </w:r>
      <w:r w:rsidR="00C97014" w:rsidRPr="0016178B">
        <w:rPr>
          <w:rFonts w:ascii="Tahoma" w:hAnsi="Tahoma" w:cs="Tahoma"/>
          <w:szCs w:val="20"/>
        </w:rPr>
        <w:t xml:space="preserve"> Курс валют</w:t>
      </w:r>
      <w:r w:rsidR="00AC62DF" w:rsidRPr="0016178B">
        <w:rPr>
          <w:rFonts w:ascii="Tahoma" w:hAnsi="Tahoma" w:cs="Tahoma"/>
          <w:szCs w:val="20"/>
        </w:rPr>
        <w:t>ы, являющейся базисным активом Контракта,</w:t>
      </w:r>
      <w:r w:rsidR="001F54E5" w:rsidRPr="0016178B">
        <w:rPr>
          <w:rFonts w:ascii="Tahoma" w:hAnsi="Tahoma" w:cs="Tahoma"/>
          <w:szCs w:val="20"/>
        </w:rPr>
        <w:t xml:space="preserve"> </w:t>
      </w:r>
      <w:r w:rsidRPr="0016178B">
        <w:rPr>
          <w:rFonts w:ascii="Tahoma" w:hAnsi="Tahoma" w:cs="Tahoma"/>
          <w:szCs w:val="20"/>
        </w:rPr>
        <w:t xml:space="preserve">перестает соответствовать требованиям, предъявляемым </w:t>
      </w:r>
      <w:r w:rsidR="00AC62DF" w:rsidRPr="0016178B">
        <w:rPr>
          <w:rFonts w:ascii="Tahoma" w:hAnsi="Tahoma" w:cs="Tahoma"/>
          <w:szCs w:val="20"/>
        </w:rPr>
        <w:t xml:space="preserve">законодательством </w:t>
      </w:r>
      <w:r w:rsidRPr="0016178B">
        <w:rPr>
          <w:rFonts w:ascii="Tahoma" w:hAnsi="Tahoma" w:cs="Tahoma"/>
          <w:szCs w:val="20"/>
        </w:rPr>
        <w:t xml:space="preserve">к базисному активу договора, являющегося производным финансовым инструментом, условия обязательств по </w:t>
      </w:r>
      <w:bookmarkStart w:id="5" w:name="OLE_LINK2"/>
      <w:r w:rsidRPr="0016178B">
        <w:rPr>
          <w:rFonts w:ascii="Tahoma" w:hAnsi="Tahoma" w:cs="Tahoma"/>
          <w:szCs w:val="20"/>
        </w:rPr>
        <w:t>ранее заключенным Контрактам не изменяются</w:t>
      </w:r>
      <w:bookmarkEnd w:id="4"/>
      <w:bookmarkEnd w:id="5"/>
      <w:r w:rsidRPr="0016178B">
        <w:rPr>
          <w:rFonts w:ascii="Tahoma" w:hAnsi="Tahoma" w:cs="Tahoma"/>
          <w:szCs w:val="20"/>
        </w:rPr>
        <w:t>.</w:t>
      </w:r>
    </w:p>
    <w:p w14:paraId="5F85B7A8" w14:textId="77777777" w:rsidR="005104AD" w:rsidRPr="0016178B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27E387CB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5EDD2F77" w14:textId="77777777" w:rsidR="005104AD" w:rsidRPr="0016178B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672D553" w14:textId="77777777" w:rsidR="005104AD" w:rsidRPr="0016178B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E6EBCF9" w14:textId="77777777" w:rsidR="005104AD" w:rsidRPr="0016178B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sectPr w:rsidR="005104AD" w:rsidRPr="001617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8134" w14:textId="77777777" w:rsidR="00F52592" w:rsidRDefault="00F52592">
      <w:pPr>
        <w:spacing w:after="0" w:line="240" w:lineRule="auto"/>
      </w:pPr>
      <w:r>
        <w:separator/>
      </w:r>
    </w:p>
  </w:endnote>
  <w:endnote w:type="continuationSeparator" w:id="0">
    <w:p w14:paraId="5CBBE126" w14:textId="77777777" w:rsidR="00F52592" w:rsidRDefault="00F5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0DA5" w14:textId="77777777" w:rsidR="00F52592" w:rsidRDefault="00F52592">
      <w:pPr>
        <w:spacing w:after="0" w:line="240" w:lineRule="auto"/>
      </w:pPr>
      <w:r>
        <w:separator/>
      </w:r>
    </w:p>
  </w:footnote>
  <w:footnote w:type="continuationSeparator" w:id="0">
    <w:p w14:paraId="7D49F87D" w14:textId="77777777" w:rsidR="00F52592" w:rsidRDefault="00F5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7896" w14:textId="329F96AD" w:rsidR="0035076F" w:rsidRPr="0035076F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</w:t>
    </w:r>
    <w:r w:rsidR="00347B6A">
      <w:rPr>
        <w:b/>
        <w:bCs/>
        <w:color w:val="000000" w:themeColor="text1"/>
      </w:rPr>
      <w:t xml:space="preserve">премиальных </w:t>
    </w:r>
    <w:r w:rsidR="00677C3B">
      <w:rPr>
        <w:b/>
        <w:bCs/>
        <w:color w:val="000000" w:themeColor="text1"/>
      </w:rPr>
      <w:t xml:space="preserve">опционов на курсы иностранных валют к </w:t>
    </w:r>
    <w:r w:rsidR="00BF1E82">
      <w:rPr>
        <w:b/>
        <w:bCs/>
        <w:color w:val="000000" w:themeColor="text1"/>
      </w:rPr>
      <w:t xml:space="preserve">российскому </w:t>
    </w:r>
    <w:r w:rsidR="00677C3B">
      <w:rPr>
        <w:b/>
        <w:bCs/>
        <w:color w:val="000000" w:themeColor="text1"/>
      </w:rPr>
      <w:t xml:space="preserve">рублю </w:t>
    </w:r>
  </w:p>
  <w:p w14:paraId="4387DA93" w14:textId="77777777" w:rsidR="0035076F" w:rsidRDefault="00B16B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E653F1E"/>
    <w:multiLevelType w:val="multilevel"/>
    <w:tmpl w:val="C4F8050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0D290C"/>
    <w:rsid w:val="00106E5F"/>
    <w:rsid w:val="00160BDA"/>
    <w:rsid w:val="0016178B"/>
    <w:rsid w:val="001B19E3"/>
    <w:rsid w:val="001C04D6"/>
    <w:rsid w:val="001F54E5"/>
    <w:rsid w:val="002113CC"/>
    <w:rsid w:val="0024398A"/>
    <w:rsid w:val="002A0FA5"/>
    <w:rsid w:val="002D5F24"/>
    <w:rsid w:val="003255E1"/>
    <w:rsid w:val="00347B6A"/>
    <w:rsid w:val="003955BC"/>
    <w:rsid w:val="003A5C03"/>
    <w:rsid w:val="003E1DA4"/>
    <w:rsid w:val="003F3236"/>
    <w:rsid w:val="0041621A"/>
    <w:rsid w:val="00462A7E"/>
    <w:rsid w:val="004637B4"/>
    <w:rsid w:val="00481913"/>
    <w:rsid w:val="0049158E"/>
    <w:rsid w:val="005104AD"/>
    <w:rsid w:val="005223B6"/>
    <w:rsid w:val="005424D3"/>
    <w:rsid w:val="00592EF8"/>
    <w:rsid w:val="005C74F7"/>
    <w:rsid w:val="00656580"/>
    <w:rsid w:val="00657E93"/>
    <w:rsid w:val="00660755"/>
    <w:rsid w:val="00677C3B"/>
    <w:rsid w:val="00677C3F"/>
    <w:rsid w:val="006E0FF8"/>
    <w:rsid w:val="00715457"/>
    <w:rsid w:val="007257E6"/>
    <w:rsid w:val="00734899"/>
    <w:rsid w:val="00750B65"/>
    <w:rsid w:val="00764978"/>
    <w:rsid w:val="007739AD"/>
    <w:rsid w:val="00776B60"/>
    <w:rsid w:val="007A4DEF"/>
    <w:rsid w:val="007B2754"/>
    <w:rsid w:val="007C59F9"/>
    <w:rsid w:val="007F6EA9"/>
    <w:rsid w:val="00806828"/>
    <w:rsid w:val="00811EFB"/>
    <w:rsid w:val="008573E2"/>
    <w:rsid w:val="0086789D"/>
    <w:rsid w:val="00913E17"/>
    <w:rsid w:val="0094551D"/>
    <w:rsid w:val="009D3488"/>
    <w:rsid w:val="00A11F94"/>
    <w:rsid w:val="00A34B6A"/>
    <w:rsid w:val="00A34DCC"/>
    <w:rsid w:val="00AA6C20"/>
    <w:rsid w:val="00AC62DF"/>
    <w:rsid w:val="00B16B27"/>
    <w:rsid w:val="00BA25C8"/>
    <w:rsid w:val="00BC5F00"/>
    <w:rsid w:val="00BF1E82"/>
    <w:rsid w:val="00C267C6"/>
    <w:rsid w:val="00C61AA4"/>
    <w:rsid w:val="00C775AB"/>
    <w:rsid w:val="00C97014"/>
    <w:rsid w:val="00CC300C"/>
    <w:rsid w:val="00CF1AC2"/>
    <w:rsid w:val="00D71A11"/>
    <w:rsid w:val="00D91E9C"/>
    <w:rsid w:val="00D931D0"/>
    <w:rsid w:val="00DC299E"/>
    <w:rsid w:val="00DE5778"/>
    <w:rsid w:val="00E1130C"/>
    <w:rsid w:val="00E24E90"/>
    <w:rsid w:val="00E414B5"/>
    <w:rsid w:val="00E528AD"/>
    <w:rsid w:val="00E53BBE"/>
    <w:rsid w:val="00F0680D"/>
    <w:rsid w:val="00F30A3B"/>
    <w:rsid w:val="00F52592"/>
    <w:rsid w:val="00F535F7"/>
    <w:rsid w:val="00F55926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9B10A3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iPriority w:val="99"/>
    <w:semiHidden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iPriority w:val="99"/>
    <w:unhideWhenUsed/>
    <w:rsid w:val="00CF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uiPriority w:val="99"/>
    <w:rsid w:val="00CF1AC2"/>
  </w:style>
  <w:style w:type="paragraph" w:styleId="af1">
    <w:name w:val="Balloon Text"/>
    <w:basedOn w:val="a3"/>
    <w:link w:val="af2"/>
    <w:uiPriority w:val="99"/>
    <w:semiHidden/>
    <w:unhideWhenUsed/>
    <w:rsid w:val="0067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4"/>
    <w:link w:val="af1"/>
    <w:uiPriority w:val="99"/>
    <w:semiHidden/>
    <w:rsid w:val="00677C3B"/>
    <w:rPr>
      <w:rFonts w:ascii="Segoe UI" w:hAnsi="Segoe UI" w:cs="Segoe UI"/>
      <w:sz w:val="18"/>
      <w:szCs w:val="18"/>
    </w:rPr>
  </w:style>
  <w:style w:type="paragraph" w:customStyle="1" w:styleId="Pointmark">
    <w:name w:val="Point (mark)"/>
    <w:rsid w:val="00677C3F"/>
    <w:pPr>
      <w:numPr>
        <w:numId w:val="9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basedOn w:val="a4"/>
    <w:uiPriority w:val="99"/>
    <w:semiHidden/>
    <w:unhideWhenUsed/>
    <w:rsid w:val="004637B4"/>
    <w:rPr>
      <w:sz w:val="16"/>
      <w:szCs w:val="16"/>
    </w:rPr>
  </w:style>
  <w:style w:type="paragraph" w:styleId="af4">
    <w:name w:val="annotation text"/>
    <w:basedOn w:val="a3"/>
    <w:link w:val="af5"/>
    <w:uiPriority w:val="99"/>
    <w:semiHidden/>
    <w:unhideWhenUsed/>
    <w:rsid w:val="004637B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semiHidden/>
    <w:rsid w:val="004637B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637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63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3</cp:revision>
  <dcterms:created xsi:type="dcterms:W3CDTF">2023-06-26T08:29:00Z</dcterms:created>
  <dcterms:modified xsi:type="dcterms:W3CDTF">2023-06-27T08:49:00Z</dcterms:modified>
</cp:coreProperties>
</file>