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9D" w:rsidRPr="00E835CE" w:rsidRDefault="00E5293F" w:rsidP="00DC199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</w:t>
      </w:r>
      <w:r w:rsidRPr="00317BB1">
        <w:rPr>
          <w:b/>
          <w:sz w:val="22"/>
          <w:szCs w:val="22"/>
        </w:rPr>
        <w:t>зменени</w:t>
      </w:r>
      <w:r>
        <w:rPr>
          <w:b/>
          <w:sz w:val="22"/>
          <w:szCs w:val="22"/>
        </w:rPr>
        <w:t>я</w:t>
      </w:r>
      <w:r w:rsidRPr="00317BB1">
        <w:rPr>
          <w:b/>
          <w:sz w:val="22"/>
          <w:szCs w:val="22"/>
        </w:rPr>
        <w:t xml:space="preserve"> и дополнени</w:t>
      </w:r>
      <w:r>
        <w:rPr>
          <w:b/>
          <w:sz w:val="22"/>
          <w:szCs w:val="22"/>
        </w:rPr>
        <w:t>я</w:t>
      </w:r>
      <w:r w:rsidRPr="00317BB1">
        <w:rPr>
          <w:b/>
          <w:sz w:val="22"/>
          <w:szCs w:val="22"/>
        </w:rPr>
        <w:t xml:space="preserve"> в</w:t>
      </w:r>
      <w:r w:rsidRPr="00E835CE">
        <w:rPr>
          <w:b/>
          <w:sz w:val="22"/>
          <w:szCs w:val="22"/>
        </w:rPr>
        <w:t xml:space="preserve"> </w:t>
      </w:r>
      <w:r w:rsidR="00DC199D" w:rsidRPr="00E835CE">
        <w:rPr>
          <w:b/>
          <w:sz w:val="22"/>
          <w:szCs w:val="22"/>
        </w:rPr>
        <w:t xml:space="preserve">Правила листинга Закрытого акционерного общества «Фондовая биржа ММВБ» (далее – Правила), утвержденные Советом директоров ЗАО «ФБ ММВБ» </w:t>
      </w:r>
      <w:r>
        <w:rPr>
          <w:b/>
          <w:sz w:val="22"/>
          <w:szCs w:val="22"/>
        </w:rPr>
        <w:t>31</w:t>
      </w:r>
      <w:r w:rsidR="00DC199D" w:rsidRPr="00E835CE">
        <w:rPr>
          <w:b/>
          <w:sz w:val="22"/>
          <w:szCs w:val="22"/>
        </w:rPr>
        <w:t xml:space="preserve"> </w:t>
      </w:r>
      <w:r w:rsidR="00145D40" w:rsidRPr="00E835CE">
        <w:rPr>
          <w:b/>
          <w:sz w:val="22"/>
          <w:szCs w:val="22"/>
        </w:rPr>
        <w:t>июля</w:t>
      </w:r>
      <w:r w:rsidR="00DC199D" w:rsidRPr="00E835CE">
        <w:rPr>
          <w:b/>
          <w:sz w:val="22"/>
          <w:szCs w:val="22"/>
        </w:rPr>
        <w:t xml:space="preserve"> 2014</w:t>
      </w:r>
      <w:r w:rsidR="00145D40" w:rsidRPr="00E835CE">
        <w:rPr>
          <w:b/>
          <w:sz w:val="22"/>
          <w:szCs w:val="22"/>
        </w:rPr>
        <w:t xml:space="preserve"> года (Протокол № 4</w:t>
      </w:r>
      <w:r w:rsidR="00DC199D" w:rsidRPr="00E835CE">
        <w:rPr>
          <w:b/>
          <w:sz w:val="22"/>
          <w:szCs w:val="22"/>
        </w:rPr>
        <w:t>).</w:t>
      </w:r>
    </w:p>
    <w:p w:rsidR="00BA727C" w:rsidRPr="00261AEE" w:rsidRDefault="00BA727C" w:rsidP="00BA727C">
      <w:pPr>
        <w:tabs>
          <w:tab w:val="left" w:pos="851"/>
        </w:tabs>
        <w:ind w:firstLine="567"/>
        <w:jc w:val="both"/>
        <w:rPr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-4820"/>
          <w:tab w:val="left" w:pos="567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  <w:b/>
        </w:rPr>
        <w:t>Осуществлена гармонизация требований Правил по корпоративному управлению</w:t>
      </w:r>
      <w:r w:rsidRPr="00261AEE">
        <w:rPr>
          <w:rFonts w:ascii="Times New Roman" w:hAnsi="Times New Roman"/>
        </w:rPr>
        <w:t xml:space="preserve"> для включения и поддержания акций эмитентов в котировальных списках с рекомендациями нового Кодекса корпоративного управления в части расширения формулировок критериев независимости директоров. </w:t>
      </w:r>
    </w:p>
    <w:p w:rsidR="00BA727C" w:rsidRPr="00261AEE" w:rsidRDefault="00BA727C" w:rsidP="00BA727C">
      <w:pPr>
        <w:tabs>
          <w:tab w:val="left" w:pos="-4820"/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sz w:val="22"/>
          <w:szCs w:val="22"/>
        </w:rPr>
      </w:pPr>
      <w:r w:rsidRPr="00261AEE">
        <w:rPr>
          <w:rFonts w:eastAsia="Calibri"/>
          <w:sz w:val="22"/>
          <w:szCs w:val="22"/>
        </w:rPr>
        <w:t xml:space="preserve">Для этих целей первая часть изменений внесена в Приложение 4 к Правилам, вторая часть изменений предусмотрена в новом Приложении 4.1. к Правилам. </w:t>
      </w:r>
    </w:p>
    <w:p w:rsidR="00BA727C" w:rsidRPr="00261AEE" w:rsidRDefault="00BA727C" w:rsidP="00BA727C">
      <w:pPr>
        <w:tabs>
          <w:tab w:val="left" w:pos="-4820"/>
          <w:tab w:val="left" w:pos="567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sz w:val="22"/>
          <w:szCs w:val="22"/>
        </w:rPr>
      </w:pPr>
      <w:r w:rsidRPr="00261AEE">
        <w:rPr>
          <w:rFonts w:eastAsia="Calibri"/>
          <w:sz w:val="22"/>
          <w:szCs w:val="22"/>
        </w:rPr>
        <w:t xml:space="preserve">Приложение 4 к Правилам вступает в силу </w:t>
      </w:r>
      <w:proofErr w:type="gramStart"/>
      <w:r w:rsidRPr="00261AEE">
        <w:rPr>
          <w:rFonts w:eastAsia="Calibri"/>
          <w:sz w:val="22"/>
          <w:szCs w:val="22"/>
        </w:rPr>
        <w:t>с даты вступления</w:t>
      </w:r>
      <w:proofErr w:type="gramEnd"/>
      <w:r w:rsidRPr="00261AEE">
        <w:rPr>
          <w:rFonts w:eastAsia="Calibri"/>
          <w:sz w:val="22"/>
          <w:szCs w:val="22"/>
        </w:rPr>
        <w:t xml:space="preserve"> в силу новой редакции Правил, при </w:t>
      </w:r>
      <w:r w:rsidRPr="00103D53">
        <w:rPr>
          <w:rFonts w:eastAsia="Calibri"/>
          <w:sz w:val="22"/>
          <w:szCs w:val="22"/>
        </w:rPr>
        <w:t xml:space="preserve">этом Приложение 4.1. вступает в силу </w:t>
      </w:r>
      <w:r w:rsidRPr="00103D53">
        <w:rPr>
          <w:rFonts w:eastAsia="Calibri"/>
          <w:b/>
          <w:sz w:val="22"/>
          <w:szCs w:val="22"/>
        </w:rPr>
        <w:t xml:space="preserve">с </w:t>
      </w:r>
      <w:r w:rsidRPr="00103D53">
        <w:rPr>
          <w:b/>
          <w:bCs/>
          <w:sz w:val="22"/>
          <w:szCs w:val="22"/>
        </w:rPr>
        <w:t>1 июля 2017 г.</w:t>
      </w:r>
    </w:p>
    <w:p w:rsidR="00BA727C" w:rsidRPr="00261AEE" w:rsidRDefault="00BA727C" w:rsidP="00BA727C">
      <w:pPr>
        <w:tabs>
          <w:tab w:val="left" w:pos="-4820"/>
          <w:tab w:val="left" w:pos="567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1"/>
          <w:numId w:val="17"/>
        </w:numPr>
        <w:tabs>
          <w:tab w:val="left" w:pos="-4820"/>
          <w:tab w:val="left" w:pos="567"/>
          <w:tab w:val="left" w:pos="993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Согласно </w:t>
      </w:r>
      <w:r w:rsidRPr="00261AEE">
        <w:rPr>
          <w:rFonts w:ascii="Times New Roman" w:hAnsi="Times New Roman"/>
          <w:b/>
        </w:rPr>
        <w:t xml:space="preserve">Приложению 4 </w:t>
      </w:r>
      <w:r w:rsidRPr="00261AEE">
        <w:rPr>
          <w:rFonts w:ascii="Times New Roman" w:hAnsi="Times New Roman"/>
        </w:rPr>
        <w:t xml:space="preserve">к Правилам в периметр связанных с директором лиц добавлены бабушки и дедушки; </w:t>
      </w:r>
    </w:p>
    <w:p w:rsidR="00BA727C" w:rsidRPr="00261AEE" w:rsidRDefault="00BA727C" w:rsidP="00BA727C">
      <w:pPr>
        <w:tabs>
          <w:tab w:val="left" w:pos="-4820"/>
          <w:tab w:val="left" w:pos="567"/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eastAsia="Calibri"/>
        </w:rPr>
      </w:pPr>
    </w:p>
    <w:p w:rsidR="00BA727C" w:rsidRPr="00261AEE" w:rsidRDefault="00BA727C" w:rsidP="00BA727C">
      <w:pPr>
        <w:pStyle w:val="ac"/>
        <w:numPr>
          <w:ilvl w:val="1"/>
          <w:numId w:val="17"/>
        </w:numPr>
        <w:tabs>
          <w:tab w:val="left" w:pos="-4820"/>
          <w:tab w:val="left" w:pos="567"/>
          <w:tab w:val="left" w:pos="993"/>
        </w:tabs>
        <w:overflowPunct w:val="0"/>
        <w:autoSpaceDE w:val="0"/>
        <w:autoSpaceDN w:val="0"/>
        <w:adjustRightInd w:val="0"/>
        <w:ind w:left="567" w:firstLine="0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Согласно </w:t>
      </w:r>
      <w:r w:rsidRPr="00261AEE">
        <w:rPr>
          <w:rFonts w:ascii="Times New Roman" w:hAnsi="Times New Roman"/>
          <w:b/>
        </w:rPr>
        <w:t>Приложению 4.1</w:t>
      </w:r>
      <w:r w:rsidRPr="00261AEE">
        <w:rPr>
          <w:rFonts w:ascii="Times New Roman" w:hAnsi="Times New Roman"/>
        </w:rPr>
        <w:t xml:space="preserve"> к Правилам внесены следующие изменения в критерии независимости директоров:</w:t>
      </w:r>
    </w:p>
    <w:p w:rsidR="00BA727C" w:rsidRPr="00261AEE" w:rsidRDefault="00BA727C" w:rsidP="00BA727C">
      <w:pPr>
        <w:tabs>
          <w:tab w:val="left" w:pos="-4820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</w:rPr>
      </w:pPr>
    </w:p>
    <w:p w:rsidR="00BA727C" w:rsidRPr="00261AEE" w:rsidRDefault="00BA727C" w:rsidP="00BA727C">
      <w:pPr>
        <w:pStyle w:val="ac"/>
        <w:numPr>
          <w:ilvl w:val="1"/>
          <w:numId w:val="1"/>
        </w:numPr>
        <w:tabs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в отношении </w:t>
      </w:r>
      <w:r w:rsidRPr="00261AEE">
        <w:rPr>
          <w:rFonts w:ascii="Times New Roman" w:hAnsi="Times New Roman"/>
          <w:b/>
        </w:rPr>
        <w:t>связанности с обществом</w:t>
      </w:r>
      <w:r w:rsidRPr="00261AEE">
        <w:rPr>
          <w:rFonts w:ascii="Times New Roman" w:hAnsi="Times New Roman"/>
        </w:rPr>
        <w:t xml:space="preserve"> добавлены следующие критерии: </w:t>
      </w:r>
    </w:p>
    <w:p w:rsidR="00BA727C" w:rsidRPr="00261AEE" w:rsidRDefault="00BA727C" w:rsidP="00BA727C">
      <w:pPr>
        <w:pStyle w:val="ac"/>
        <w:numPr>
          <w:ilvl w:val="0"/>
          <w:numId w:val="6"/>
        </w:numPr>
        <w:tabs>
          <w:tab w:val="left" w:pos="-482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членство директора или его связанных лиц в совете директоров юридического лица, которое контролирует общество, либо подконтрольной организации или управляющей организации такого юридического лица;</w:t>
      </w:r>
    </w:p>
    <w:p w:rsidR="00BA727C" w:rsidRPr="00261AEE" w:rsidRDefault="00BA727C" w:rsidP="00BA727C">
      <w:pPr>
        <w:pStyle w:val="ac"/>
        <w:numPr>
          <w:ilvl w:val="0"/>
          <w:numId w:val="6"/>
        </w:numPr>
        <w:tabs>
          <w:tab w:val="left" w:pos="-482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директора являются владельцами акций или выгодоприобретателями по акциям эмитента, которые составляют более 1 процента общего количества голосующих акций эмитента или рыночная стоимость которых более чем в 20 раз превышает величину годового фиксированного </w:t>
      </w:r>
      <w:proofErr w:type="gramStart"/>
      <w:r w:rsidRPr="00261AEE">
        <w:rPr>
          <w:rFonts w:ascii="Times New Roman" w:hAnsi="Times New Roman"/>
        </w:rPr>
        <w:t>вознаграждения члена совета директоров эмитента</w:t>
      </w:r>
      <w:proofErr w:type="gramEnd"/>
    </w:p>
    <w:p w:rsidR="00BA727C" w:rsidRPr="00261AEE" w:rsidRDefault="00BA727C" w:rsidP="00BA727C">
      <w:pPr>
        <w:pStyle w:val="ac"/>
        <w:numPr>
          <w:ilvl w:val="0"/>
          <w:numId w:val="6"/>
        </w:numPr>
        <w:tabs>
          <w:tab w:val="left" w:pos="-482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членство директора или его связанных лиц в совете директоров организации, оказывающей консультационные услуги обществу, его контролирующему лицу или подконтрольным лицам; </w:t>
      </w:r>
    </w:p>
    <w:p w:rsidR="00BA727C" w:rsidRPr="00261AEE" w:rsidRDefault="00BA727C" w:rsidP="00BA727C">
      <w:pPr>
        <w:pStyle w:val="ac"/>
        <w:numPr>
          <w:ilvl w:val="0"/>
          <w:numId w:val="6"/>
        </w:numPr>
        <w:tabs>
          <w:tab w:val="left" w:pos="-482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</w:rPr>
      </w:pPr>
      <w:proofErr w:type="gramStart"/>
      <w:r w:rsidRPr="00261AEE">
        <w:rPr>
          <w:rFonts w:ascii="Times New Roman" w:hAnsi="Times New Roman"/>
        </w:rPr>
        <w:t>членство директора или его связанных лиц в совете директоров организации, оказывающей «финансовые» услуги (услуги в области оценочной деятельности, налогового консультирования, аудиторские услуги или услуги по ведению бухгалтерского учета) обществу или подконтрольным лицам общества;</w:t>
      </w:r>
      <w:proofErr w:type="gramEnd"/>
    </w:p>
    <w:p w:rsidR="00BA727C" w:rsidRPr="00261AEE" w:rsidRDefault="00BA727C" w:rsidP="00BA727C">
      <w:pPr>
        <w:tabs>
          <w:tab w:val="left" w:pos="-4820"/>
        </w:tabs>
        <w:overflowPunct w:val="0"/>
        <w:autoSpaceDE w:val="0"/>
        <w:autoSpaceDN w:val="0"/>
        <w:adjustRightInd w:val="0"/>
        <w:ind w:left="633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1"/>
          <w:numId w:val="1"/>
        </w:numPr>
        <w:tabs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в отношении </w:t>
      </w:r>
      <w:r w:rsidRPr="00261AEE">
        <w:rPr>
          <w:rFonts w:ascii="Times New Roman" w:hAnsi="Times New Roman"/>
          <w:b/>
        </w:rPr>
        <w:t>связанности с существенным акционером</w:t>
      </w:r>
      <w:r w:rsidRPr="00261AEE">
        <w:rPr>
          <w:rFonts w:ascii="Times New Roman" w:hAnsi="Times New Roman"/>
        </w:rPr>
        <w:t xml:space="preserve">: </w:t>
      </w:r>
    </w:p>
    <w:p w:rsidR="00BA727C" w:rsidRPr="00261AEE" w:rsidRDefault="00BA727C" w:rsidP="00BA727C">
      <w:pPr>
        <w:pStyle w:val="ac"/>
        <w:numPr>
          <w:ilvl w:val="0"/>
          <w:numId w:val="6"/>
        </w:numPr>
        <w:tabs>
          <w:tab w:val="left" w:pos="-482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расширен периметр юридических лиц, работники или члены исполнительных органов которых считаются связанными с существенным акционером, а именно юридические лица из группы организаций, в состав которой входит существенный акционер эмитента;</w:t>
      </w:r>
    </w:p>
    <w:p w:rsidR="00BA727C" w:rsidRPr="00261AEE" w:rsidRDefault="00BA727C" w:rsidP="00BA727C">
      <w:pPr>
        <w:pStyle w:val="ac"/>
        <w:numPr>
          <w:ilvl w:val="0"/>
          <w:numId w:val="6"/>
        </w:numPr>
        <w:tabs>
          <w:tab w:val="left" w:pos="-4820"/>
        </w:tabs>
        <w:overflowPunct w:val="0"/>
        <w:autoSpaceDE w:val="0"/>
        <w:autoSpaceDN w:val="0"/>
        <w:adjustRightInd w:val="0"/>
        <w:ind w:left="1276" w:hanging="283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членство директора в совете директоров более чем в двух юридических лицах, подконтрольных существенному акционеру эмитента или лицу, контролирующему существенного акционера эмитента;</w:t>
      </w:r>
    </w:p>
    <w:p w:rsidR="00BA727C" w:rsidRPr="00261AEE" w:rsidRDefault="00BA727C" w:rsidP="00BA727C">
      <w:pPr>
        <w:tabs>
          <w:tab w:val="left" w:pos="-4536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1"/>
          <w:numId w:val="1"/>
        </w:numPr>
        <w:tabs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в отношении </w:t>
      </w:r>
      <w:r w:rsidRPr="00261AEE">
        <w:rPr>
          <w:rFonts w:ascii="Times New Roman" w:hAnsi="Times New Roman"/>
          <w:b/>
        </w:rPr>
        <w:t>связанности с существенным контрагентом или конкурентом эмитента:</w:t>
      </w:r>
    </w:p>
    <w:p w:rsidR="00BA727C" w:rsidRPr="00261AEE" w:rsidRDefault="00BA727C" w:rsidP="00BA727C">
      <w:pPr>
        <w:pStyle w:val="ac"/>
        <w:numPr>
          <w:ilvl w:val="0"/>
          <w:numId w:val="16"/>
        </w:numPr>
        <w:tabs>
          <w:tab w:val="left" w:pos="-453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в периметр связанности добавлены связанные с директором лица;</w:t>
      </w:r>
    </w:p>
    <w:p w:rsidR="00BA727C" w:rsidRPr="00261AEE" w:rsidRDefault="00BA727C" w:rsidP="00BA727C">
      <w:pPr>
        <w:pStyle w:val="ac"/>
        <w:numPr>
          <w:ilvl w:val="0"/>
          <w:numId w:val="16"/>
        </w:numPr>
        <w:tabs>
          <w:tab w:val="left" w:pos="-453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директор или его связанные лица является работником и (или) членом органа управления и/или исполнительных органов юридических лиц, контролирующих существенного контрагента или конкурента эмитента или подконтрольных ему организаций; </w:t>
      </w:r>
    </w:p>
    <w:p w:rsidR="00BA727C" w:rsidRPr="00261AEE" w:rsidRDefault="00BA727C" w:rsidP="00BA727C">
      <w:pPr>
        <w:tabs>
          <w:tab w:val="left" w:pos="-4536"/>
        </w:tabs>
        <w:overflowPunct w:val="0"/>
        <w:autoSpaceDE w:val="0"/>
        <w:autoSpaceDN w:val="0"/>
        <w:adjustRightInd w:val="0"/>
        <w:ind w:left="630"/>
        <w:jc w:val="both"/>
        <w:textAlignment w:val="baseline"/>
      </w:pPr>
    </w:p>
    <w:p w:rsidR="00BA727C" w:rsidRPr="00261AEE" w:rsidRDefault="00BA727C" w:rsidP="00BA727C">
      <w:pPr>
        <w:pStyle w:val="ac"/>
        <w:numPr>
          <w:ilvl w:val="1"/>
          <w:numId w:val="1"/>
        </w:numPr>
        <w:tabs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в отношении </w:t>
      </w:r>
      <w:r w:rsidRPr="00261AEE">
        <w:rPr>
          <w:rFonts w:ascii="Times New Roman" w:hAnsi="Times New Roman"/>
          <w:b/>
        </w:rPr>
        <w:t>связанности с государством</w:t>
      </w:r>
      <w:r w:rsidRPr="00261AEE">
        <w:rPr>
          <w:rFonts w:ascii="Times New Roman" w:hAnsi="Times New Roman"/>
        </w:rPr>
        <w:t xml:space="preserve">: </w:t>
      </w:r>
    </w:p>
    <w:p w:rsidR="00BA727C" w:rsidRPr="00261AEE" w:rsidRDefault="00BA727C" w:rsidP="00BA727C">
      <w:pPr>
        <w:pStyle w:val="ac"/>
        <w:numPr>
          <w:ilvl w:val="0"/>
          <w:numId w:val="7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1211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добавлено признание </w:t>
      </w:r>
      <w:proofErr w:type="gramStart"/>
      <w:r w:rsidRPr="00261AEE">
        <w:rPr>
          <w:rFonts w:ascii="Times New Roman" w:hAnsi="Times New Roman"/>
        </w:rPr>
        <w:t>связанными</w:t>
      </w:r>
      <w:proofErr w:type="gramEnd"/>
      <w:r w:rsidRPr="00261AEE">
        <w:rPr>
          <w:rFonts w:ascii="Times New Roman" w:hAnsi="Times New Roman"/>
        </w:rPr>
        <w:t xml:space="preserve"> с государством лиц, замещающих должности в органах государственной власти в момент оценки независимости или в течение 1 года, предшествующего избранию в совет директоров общества;</w:t>
      </w:r>
    </w:p>
    <w:p w:rsidR="00BA727C" w:rsidRPr="00261AEE" w:rsidRDefault="00BA727C" w:rsidP="00BA727C">
      <w:pPr>
        <w:pStyle w:val="default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before="120" w:beforeAutospacing="0" w:after="0" w:afterAutospacing="0"/>
        <w:ind w:left="1211" w:right="142"/>
        <w:jc w:val="both"/>
        <w:rPr>
          <w:sz w:val="22"/>
          <w:szCs w:val="22"/>
        </w:rPr>
      </w:pPr>
      <w:proofErr w:type="gramStart"/>
      <w:r w:rsidRPr="00261AEE">
        <w:rPr>
          <w:sz w:val="22"/>
          <w:szCs w:val="22"/>
        </w:rPr>
        <w:t xml:space="preserve">уточнено исключение в части работников государственной или муниципальной образовательной или научной организации, которые осуществляют преподавательскую или научную деятельность и не являются лицами, назначенными (утвержденными) на </w:t>
      </w:r>
      <w:r w:rsidRPr="00261AEE">
        <w:rPr>
          <w:sz w:val="22"/>
          <w:szCs w:val="22"/>
        </w:rPr>
        <w:lastRenderedPageBreak/>
        <w:t>должность единоличного исполнительного органа или иную должность в государственной и муниципальной образовательной или научной организации по решению или с согласия органов государственной власти (органов местного самоуправления);</w:t>
      </w:r>
      <w:proofErr w:type="gramEnd"/>
    </w:p>
    <w:p w:rsidR="00BA727C" w:rsidRPr="00261AEE" w:rsidRDefault="00BA727C" w:rsidP="00BA727C">
      <w:pPr>
        <w:pStyle w:val="default0"/>
        <w:tabs>
          <w:tab w:val="left" w:pos="993"/>
        </w:tabs>
        <w:autoSpaceDE w:val="0"/>
        <w:autoSpaceDN w:val="0"/>
        <w:adjustRightInd w:val="0"/>
        <w:spacing w:before="120" w:beforeAutospacing="0" w:after="0" w:afterAutospacing="0"/>
        <w:ind w:left="567" w:right="142"/>
        <w:jc w:val="both"/>
        <w:rPr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1"/>
          <w:numId w:val="1"/>
        </w:numPr>
        <w:tabs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введено определение группы организаций, в состав которой входит существенный акционер эмитента. При этом понятие указанной группы организаций не применяется к таким существенным акционерам, как Российская Федерация, субъект Российской Федерации или муниципальное образование.</w:t>
      </w:r>
    </w:p>
    <w:p w:rsidR="00BA727C" w:rsidRPr="00261AEE" w:rsidRDefault="00BA727C" w:rsidP="00BA727C">
      <w:pPr>
        <w:spacing w:before="240" w:after="240"/>
        <w:ind w:firstLine="567"/>
        <w:jc w:val="both"/>
        <w:rPr>
          <w:sz w:val="22"/>
          <w:szCs w:val="22"/>
        </w:rPr>
      </w:pPr>
      <w:proofErr w:type="gramStart"/>
      <w:r w:rsidRPr="00261AEE">
        <w:rPr>
          <w:sz w:val="22"/>
          <w:szCs w:val="22"/>
        </w:rPr>
        <w:t>Также предусмотрено, что  совет директоров для целей Правил (в отдельных случаях, которые должны носить исключительный характер) может признать независимым члена совета директоров, несмотря на наличие у него формальных критериев связанности с эмитентом, существенным акционером эмитента, существенным контрагентом или конкурентом эмитента, установленных Правилами, только в случае, если такая связанность не оказывает влияния на способность соответствующего лица выносить независимые, объективные и добросовестные</w:t>
      </w:r>
      <w:proofErr w:type="gramEnd"/>
      <w:r w:rsidRPr="00261AEE">
        <w:rPr>
          <w:sz w:val="22"/>
          <w:szCs w:val="22"/>
        </w:rPr>
        <w:t xml:space="preserve"> суждения.</w:t>
      </w:r>
    </w:p>
    <w:p w:rsidR="00BA727C" w:rsidRPr="00261AEE" w:rsidRDefault="00BA727C" w:rsidP="00BA727C">
      <w:pPr>
        <w:spacing w:before="240" w:after="240"/>
        <w:ind w:firstLine="567"/>
        <w:jc w:val="both"/>
        <w:rPr>
          <w:sz w:val="22"/>
          <w:szCs w:val="22"/>
        </w:rPr>
      </w:pPr>
      <w:r w:rsidRPr="00261AEE">
        <w:rPr>
          <w:sz w:val="22"/>
          <w:szCs w:val="22"/>
        </w:rPr>
        <w:t xml:space="preserve">При этом при переизбрании совета директоров процедура признания независимым члена совета директоров, несоответствующего критериям независимости, установленным в Правилах, производится повторно. Условия и порядок осуществления признания </w:t>
      </w:r>
      <w:proofErr w:type="gramStart"/>
      <w:r w:rsidRPr="00261AEE">
        <w:rPr>
          <w:sz w:val="22"/>
          <w:szCs w:val="22"/>
        </w:rPr>
        <w:t>независимым</w:t>
      </w:r>
      <w:proofErr w:type="gramEnd"/>
      <w:r w:rsidRPr="00261AEE">
        <w:rPr>
          <w:sz w:val="22"/>
          <w:szCs w:val="22"/>
        </w:rPr>
        <w:t xml:space="preserve"> члена совета директоров, предусмотрены статьей 25 Правил.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 w:firstLine="567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103D53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103D53">
        <w:rPr>
          <w:rFonts w:ascii="Times New Roman" w:hAnsi="Times New Roman"/>
        </w:rPr>
        <w:t xml:space="preserve">Также </w:t>
      </w:r>
      <w:r w:rsidRPr="00103D53">
        <w:rPr>
          <w:rFonts w:ascii="Times New Roman" w:hAnsi="Times New Roman"/>
          <w:b/>
        </w:rPr>
        <w:t>приведены в соответствие с рекомендациями нового Кодекса корпоративного управления требования в части раскрытия информации</w:t>
      </w:r>
      <w:r w:rsidRPr="00103D53">
        <w:rPr>
          <w:rFonts w:ascii="Times New Roman" w:hAnsi="Times New Roman"/>
        </w:rPr>
        <w:t xml:space="preserve"> о дате составления списка лиц, имеющих право на участие в собрании акционеров, с «не менее чем за 5 дней» на «не менее чем за 7» дней до такой даты. Данная норма вступает в силу </w:t>
      </w:r>
      <w:r w:rsidRPr="00103D53">
        <w:rPr>
          <w:rFonts w:ascii="Times New Roman" w:hAnsi="Times New Roman"/>
          <w:b/>
        </w:rPr>
        <w:t>с 1 июля 2016 г.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В целях защиты институциональных инвесторов при вложении сре</w:t>
      </w:r>
      <w:proofErr w:type="gramStart"/>
      <w:r w:rsidRPr="00261AEE">
        <w:rPr>
          <w:rFonts w:ascii="Times New Roman" w:hAnsi="Times New Roman"/>
        </w:rPr>
        <w:t>дств в ц</w:t>
      </w:r>
      <w:proofErr w:type="gramEnd"/>
      <w:r w:rsidRPr="00261AEE">
        <w:rPr>
          <w:rFonts w:ascii="Times New Roman" w:hAnsi="Times New Roman"/>
        </w:rPr>
        <w:t xml:space="preserve">енные бумаги, а также повышения качества облигаций, включаемых в Первый уровень, </w:t>
      </w:r>
      <w:r w:rsidRPr="00261AEE">
        <w:rPr>
          <w:rFonts w:ascii="Times New Roman" w:hAnsi="Times New Roman"/>
          <w:b/>
        </w:rPr>
        <w:t>вводятся дополнительные требования для включения корпоративных облигаций в Первый уровень</w:t>
      </w:r>
      <w:r w:rsidRPr="00261AEE">
        <w:rPr>
          <w:rFonts w:ascii="Times New Roman" w:hAnsi="Times New Roman"/>
        </w:rPr>
        <w:t xml:space="preserve">. 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261AEE" w:rsidRDefault="00BA727C" w:rsidP="00BA727C">
      <w:pPr>
        <w:tabs>
          <w:tab w:val="left" w:pos="851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eastAsia="Calibri"/>
          <w:sz w:val="22"/>
          <w:szCs w:val="22"/>
        </w:rPr>
      </w:pPr>
      <w:r w:rsidRPr="00261AEE">
        <w:rPr>
          <w:rFonts w:eastAsia="Calibri"/>
          <w:sz w:val="22"/>
          <w:szCs w:val="22"/>
        </w:rPr>
        <w:t xml:space="preserve">В частности, внесены следующие изменения: </w:t>
      </w:r>
    </w:p>
    <w:p w:rsidR="00BA727C" w:rsidRPr="00261AEE" w:rsidRDefault="00BA727C" w:rsidP="00BA727C">
      <w:pPr>
        <w:pStyle w:val="ac"/>
        <w:numPr>
          <w:ilvl w:val="0"/>
          <w:numId w:val="3"/>
        </w:numPr>
        <w:tabs>
          <w:tab w:val="left" w:pos="-4820"/>
          <w:tab w:val="left" w:pos="-311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Вводятся дополнительные требования по обеспечению облигаций, включаемых в Первый уровень, предусмотрены исключения при применении данного требования к отдельным категориям эмитентов.</w:t>
      </w:r>
    </w:p>
    <w:p w:rsidR="00BA727C" w:rsidRPr="00261AEE" w:rsidRDefault="00BA727C" w:rsidP="00BA727C">
      <w:pPr>
        <w:tabs>
          <w:tab w:val="left" w:pos="-4820"/>
          <w:tab w:val="left" w:pos="-3119"/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</w:pPr>
    </w:p>
    <w:p w:rsidR="00BA727C" w:rsidRPr="00261AEE" w:rsidRDefault="00BA727C" w:rsidP="00BA727C">
      <w:pPr>
        <w:pStyle w:val="ac"/>
        <w:numPr>
          <w:ilvl w:val="0"/>
          <w:numId w:val="3"/>
        </w:numPr>
        <w:tabs>
          <w:tab w:val="left" w:pos="-4820"/>
          <w:tab w:val="left" w:pos="-311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 xml:space="preserve">Вводится экспертиза Комитета по ценным бумагам с фиксированным доходом ЗАО «ФБ ММВБ» по вопросам включения/исключения облигаций из Первого уровня. </w:t>
      </w:r>
    </w:p>
    <w:p w:rsidR="00BA727C" w:rsidRPr="00261AEE" w:rsidRDefault="00BA727C" w:rsidP="00BA727C">
      <w:pPr>
        <w:tabs>
          <w:tab w:val="left" w:pos="-4820"/>
          <w:tab w:val="left" w:pos="-3119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</w:rPr>
      </w:pPr>
      <w:r w:rsidRPr="00261AEE">
        <w:rPr>
          <w:rFonts w:eastAsia="Calibri"/>
          <w:sz w:val="22"/>
          <w:szCs w:val="22"/>
        </w:rPr>
        <w:tab/>
        <w:t xml:space="preserve">В случае наличия уровня кредитного рейтинга эмитента и/или поручителя (гаранта) или выпуска ценных бумаг, присвоенного только национальными рейтинговыми агентствами, Биржа вправе обратиться за рекомендацией Комитета по ценным бумагам с фиксированным доходом по вопросу включения таких ценных бумаг в Первый уровень. При этом отдельным решением Биржи могут быть установлены случаи, когда указанные положения не применяются. </w:t>
      </w:r>
    </w:p>
    <w:p w:rsidR="00BA727C" w:rsidRPr="00261AEE" w:rsidRDefault="00BA727C" w:rsidP="00BA727C">
      <w:pPr>
        <w:tabs>
          <w:tab w:val="left" w:pos="-4820"/>
          <w:tab w:val="left" w:pos="-3119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</w:rPr>
      </w:pPr>
      <w:r w:rsidRPr="00261AEE">
        <w:rPr>
          <w:rFonts w:eastAsia="Calibri"/>
          <w:sz w:val="22"/>
          <w:szCs w:val="22"/>
        </w:rPr>
        <w:tab/>
      </w:r>
      <w:proofErr w:type="gramStart"/>
      <w:r w:rsidRPr="00261AEE">
        <w:rPr>
          <w:rFonts w:eastAsia="Calibri"/>
          <w:sz w:val="22"/>
          <w:szCs w:val="22"/>
        </w:rPr>
        <w:t xml:space="preserve">При обращении Биржи в Комитет по ценным бумагам с фиксированным доходом, Биржа вправе запросить у эмитента информационный меморандум в отношении включаемых ценных бумаг, содержащий цели привлечения долгового финансирования, направление использования привлеченных средств, структуру </w:t>
      </w:r>
      <w:proofErr w:type="spellStart"/>
      <w:r w:rsidRPr="00261AEE">
        <w:rPr>
          <w:rFonts w:eastAsia="Calibri"/>
          <w:sz w:val="22"/>
          <w:szCs w:val="22"/>
        </w:rPr>
        <w:t>бенефициарной</w:t>
      </w:r>
      <w:proofErr w:type="spellEnd"/>
      <w:r w:rsidRPr="00261AEE">
        <w:rPr>
          <w:rFonts w:eastAsia="Calibri"/>
          <w:sz w:val="22"/>
          <w:szCs w:val="22"/>
        </w:rPr>
        <w:t xml:space="preserve"> собственности), а также рейтинговое заключение, выданное соответствующим рейтинговым агентством.</w:t>
      </w:r>
      <w:proofErr w:type="gramEnd"/>
    </w:p>
    <w:p w:rsidR="00BA727C" w:rsidRPr="00261AEE" w:rsidRDefault="00BA727C" w:rsidP="00BA727C">
      <w:pPr>
        <w:tabs>
          <w:tab w:val="left" w:pos="-4820"/>
          <w:tab w:val="left" w:pos="-3119"/>
          <w:tab w:val="left" w:pos="567"/>
        </w:tabs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sz w:val="22"/>
          <w:szCs w:val="22"/>
        </w:rPr>
      </w:pPr>
      <w:r w:rsidRPr="00261AEE">
        <w:rPr>
          <w:rFonts w:eastAsia="Calibri"/>
          <w:sz w:val="22"/>
          <w:szCs w:val="22"/>
        </w:rPr>
        <w:tab/>
        <w:t xml:space="preserve">Также Биржа вправе обратиться </w:t>
      </w:r>
      <w:proofErr w:type="gramStart"/>
      <w:r w:rsidRPr="00261AEE">
        <w:rPr>
          <w:rFonts w:eastAsia="Calibri"/>
          <w:sz w:val="22"/>
          <w:szCs w:val="22"/>
        </w:rPr>
        <w:t>в Комитет по ценным бумагам с фиксированным доходом для получения экспертного мнения по вопросу</w:t>
      </w:r>
      <w:proofErr w:type="gramEnd"/>
      <w:r w:rsidRPr="00261AEE">
        <w:rPr>
          <w:rFonts w:eastAsia="Calibri"/>
          <w:sz w:val="22"/>
          <w:szCs w:val="22"/>
        </w:rPr>
        <w:t xml:space="preserve"> исключения ценных бумаг из Первого или Второго уровня (понижение уровня листинга).</w:t>
      </w:r>
    </w:p>
    <w:p w:rsidR="00BA727C" w:rsidRPr="00261AEE" w:rsidRDefault="00BA727C" w:rsidP="00BA727C">
      <w:pPr>
        <w:tabs>
          <w:tab w:val="left" w:pos="-4820"/>
          <w:tab w:val="left" w:pos="-311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0"/>
          <w:numId w:val="3"/>
        </w:numPr>
        <w:tabs>
          <w:tab w:val="left" w:pos="-4820"/>
          <w:tab w:val="left" w:pos="-3119"/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Биржа вправе отдельным решением, в том числе на основании рекомендации Комитета по ценным бумагам с фиксированным доходом, установить перечень рейтинговых агентств, присвоенные кредитные рейтинги которых не применяются при включении ценных бумаг в Первый уровень, а также срок, в течение которого такие кредитные рейтинги не применяются.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lastRenderedPageBreak/>
        <w:t xml:space="preserve">В целях защиты институциональных инвесторов при вложении средств (пенсионные накопления пенсионных фондов, накопления для жилищного обеспечения военнослужащих) в ипотечные сертификаты участия (ИСУ) предусмотрено </w:t>
      </w:r>
      <w:r w:rsidRPr="00261AEE">
        <w:rPr>
          <w:rFonts w:ascii="Times New Roman" w:hAnsi="Times New Roman"/>
          <w:b/>
        </w:rPr>
        <w:t>повышение требований к ИСУ при включении и поддержании их в Первом уровне</w:t>
      </w:r>
      <w:r w:rsidRPr="00261AEE">
        <w:rPr>
          <w:rFonts w:ascii="Times New Roman" w:hAnsi="Times New Roman"/>
        </w:rPr>
        <w:t>, в том числе: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0"/>
          <w:numId w:val="4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по раскрытию информации Управляющими ипотечным покрытием (УИП): реестра ипотечного покрытия; справки о структуре ипотечного покрытия и о расходах, связанных с доверительным управлением; справки о прогнозе будущих потоков доходов и расходов (по основной сумме долга и процентам и о выполнении таких прогнозов);</w:t>
      </w:r>
    </w:p>
    <w:p w:rsidR="00BA727C" w:rsidRPr="00261AEE" w:rsidRDefault="00BA727C" w:rsidP="00BA727C">
      <w:pPr>
        <w:pStyle w:val="ac"/>
        <w:numPr>
          <w:ilvl w:val="0"/>
          <w:numId w:val="4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наличие трехстороннего Соглашения об информационном обмене между Биржей, УИП и специализированным депозитарием, согласного которому специализированный депозитарий представляет на Биржу информацию о соответствии отдельных требований при включении ИСУ и наличии отдельных оснований для исключения ИСУ;</w:t>
      </w:r>
    </w:p>
    <w:p w:rsidR="00BA727C" w:rsidRPr="00261AEE" w:rsidRDefault="00BA727C" w:rsidP="00BA727C">
      <w:pPr>
        <w:pStyle w:val="ac"/>
        <w:numPr>
          <w:ilvl w:val="0"/>
          <w:numId w:val="4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дифференциация требований в зависимости от объектов недвижимости, на которые выпущены ИСУ: жилая недвижимость (устанавливаются повышенные требования к структуре ипотечного покрытия или по страхованию финансовых рисков по договорам/закладным, требования к объему просроченных платежей), нежилая недвижимость (устанавливаются требования к наличию рейтинга ИСУ и требования к объему просроченных платежей);</w:t>
      </w:r>
    </w:p>
    <w:p w:rsidR="00BA727C" w:rsidRPr="00261AEE" w:rsidRDefault="00BA727C" w:rsidP="00BA727C">
      <w:pPr>
        <w:pStyle w:val="ac"/>
        <w:numPr>
          <w:ilvl w:val="0"/>
          <w:numId w:val="4"/>
        </w:numPr>
        <w:tabs>
          <w:tab w:val="left" w:pos="-4820"/>
          <w:tab w:val="left" w:pos="-4678"/>
        </w:tabs>
        <w:overflowPunct w:val="0"/>
        <w:autoSpaceDE w:val="0"/>
        <w:autoSpaceDN w:val="0"/>
        <w:adjustRightInd w:val="0"/>
        <w:ind w:left="993" w:hanging="426"/>
        <w:jc w:val="both"/>
        <w:textAlignment w:val="baseline"/>
        <w:rPr>
          <w:rFonts w:ascii="Times New Roman" w:hAnsi="Times New Roman"/>
        </w:rPr>
      </w:pPr>
      <w:proofErr w:type="gramStart"/>
      <w:r w:rsidRPr="00261AEE">
        <w:rPr>
          <w:rFonts w:ascii="Times New Roman" w:hAnsi="Times New Roman"/>
        </w:rPr>
        <w:t>новые основания исключения, которые применяются только в случае выдачи дополнительных ИСУ и переходные положения на срок, в течение которого УИП должны будут привести себя в соответствие с новыми требованиями (по истечении одного квартала с даты окончания квартала, в котором была осуществлена выдача дополнительных ИСУ).</w:t>
      </w:r>
      <w:proofErr w:type="gramEnd"/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851"/>
        <w:jc w:val="both"/>
        <w:textAlignment w:val="baseline"/>
        <w:rPr>
          <w:rFonts w:eastAsia="Calibri"/>
          <w:sz w:val="22"/>
          <w:szCs w:val="22"/>
        </w:rPr>
      </w:pPr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  <w:b/>
        </w:rPr>
        <w:t>Введена возможность включать в Третий уровень ценные бумаги иностранных эмитентов</w:t>
      </w:r>
      <w:r w:rsidRPr="00261AEE">
        <w:rPr>
          <w:rFonts w:ascii="Times New Roman" w:hAnsi="Times New Roman"/>
        </w:rPr>
        <w:t>, предназначенных для квалифицированных инвесторов, при соблюдении следующих требований:</w:t>
      </w:r>
    </w:p>
    <w:p w:rsidR="00BA727C" w:rsidRPr="00261AEE" w:rsidRDefault="00BA727C" w:rsidP="00BA727C">
      <w:pPr>
        <w:pStyle w:val="ac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ind w:left="993" w:hanging="426"/>
        <w:contextualSpacing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соответствия таких ценных бумаг требованиям законодательства Российской Федерации, в том числе нормативных актов в сфере финансовых рынков;</w:t>
      </w:r>
    </w:p>
    <w:p w:rsidR="00BA727C" w:rsidRPr="00261AEE" w:rsidRDefault="00BA727C" w:rsidP="00BA727C">
      <w:pPr>
        <w:pStyle w:val="ac"/>
        <w:widowControl w:val="0"/>
        <w:numPr>
          <w:ilvl w:val="0"/>
          <w:numId w:val="5"/>
        </w:numPr>
        <w:tabs>
          <w:tab w:val="left" w:pos="1021"/>
        </w:tabs>
        <w:overflowPunct w:val="0"/>
        <w:autoSpaceDE w:val="0"/>
        <w:autoSpaceDN w:val="0"/>
        <w:adjustRightInd w:val="0"/>
        <w:spacing w:before="80"/>
        <w:ind w:left="993" w:hanging="426"/>
        <w:contextualSpacing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принятия на себя иностранным эмитентом обязанности раскрывать информацию в соответствии с правилами (требованиями) Биржи;</w:t>
      </w:r>
    </w:p>
    <w:p w:rsidR="00BA727C" w:rsidRPr="00261AEE" w:rsidRDefault="00BA727C" w:rsidP="00BA727C">
      <w:pPr>
        <w:pStyle w:val="ac"/>
        <w:widowControl w:val="0"/>
        <w:numPr>
          <w:ilvl w:val="0"/>
          <w:numId w:val="5"/>
        </w:numPr>
        <w:tabs>
          <w:tab w:val="left" w:pos="1021"/>
        </w:tabs>
        <w:overflowPunct w:val="0"/>
        <w:autoSpaceDE w:val="0"/>
        <w:autoSpaceDN w:val="0"/>
        <w:adjustRightInd w:val="0"/>
        <w:spacing w:before="240"/>
        <w:ind w:left="993" w:hanging="426"/>
        <w:contextualSpacing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</w:rPr>
        <w:t>ценные бумаги приняты на обслуживание в расчетном депозитарии.</w:t>
      </w:r>
    </w:p>
    <w:p w:rsidR="00BA727C" w:rsidRPr="00261AEE" w:rsidRDefault="00BA727C" w:rsidP="00BA727C">
      <w:pPr>
        <w:tabs>
          <w:tab w:val="left" w:pos="1021"/>
        </w:tabs>
        <w:overflowPunct w:val="0"/>
        <w:autoSpaceDE w:val="0"/>
        <w:autoSpaceDN w:val="0"/>
        <w:adjustRightInd w:val="0"/>
        <w:spacing w:before="240"/>
        <w:contextualSpacing/>
        <w:jc w:val="both"/>
        <w:textAlignment w:val="baseline"/>
        <w:rPr>
          <w:sz w:val="22"/>
          <w:szCs w:val="22"/>
        </w:rPr>
      </w:pPr>
      <w:r w:rsidRPr="00261AEE">
        <w:rPr>
          <w:sz w:val="22"/>
          <w:szCs w:val="22"/>
        </w:rPr>
        <w:t>Возможность включать ценные бумаги иностранных эмитентов, предназначенных для квалифицированных инвесторов, предусмотрена ст. 51.1 Федерального закона от 22.04.1996 № 39-ФЗ «О рынке ценных бумаг».</w:t>
      </w:r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0" w:firstLine="567"/>
        <w:jc w:val="both"/>
        <w:textAlignment w:val="baseline"/>
        <w:rPr>
          <w:rFonts w:ascii="Times New Roman" w:hAnsi="Times New Roman"/>
        </w:rPr>
      </w:pPr>
      <w:proofErr w:type="gramStart"/>
      <w:r w:rsidRPr="00261AEE">
        <w:rPr>
          <w:rFonts w:ascii="Times New Roman" w:hAnsi="Times New Roman"/>
          <w:b/>
        </w:rPr>
        <w:t>Положения Правил, приведены в соответствие с нормами Положение о деятельности по проведению организованных торгов, утвержденного Банком России 17.10.2014 № 437-П</w:t>
      </w:r>
      <w:r w:rsidRPr="00261AEE">
        <w:rPr>
          <w:rFonts w:ascii="Times New Roman" w:hAnsi="Times New Roman"/>
        </w:rPr>
        <w:t>:</w:t>
      </w:r>
      <w:proofErr w:type="gramEnd"/>
    </w:p>
    <w:p w:rsidR="00BA727C" w:rsidRPr="00261AEE" w:rsidRDefault="00BA727C" w:rsidP="00BA727C">
      <w:pPr>
        <w:pStyle w:val="22"/>
        <w:widowControl/>
        <w:numPr>
          <w:ilvl w:val="1"/>
          <w:numId w:val="1"/>
        </w:numPr>
        <w:tabs>
          <w:tab w:val="left" w:pos="-4678"/>
        </w:tabs>
        <w:spacing w:before="240" w:after="120"/>
        <w:ind w:left="993" w:hanging="426"/>
        <w:jc w:val="both"/>
        <w:rPr>
          <w:sz w:val="22"/>
          <w:szCs w:val="22"/>
        </w:rPr>
      </w:pPr>
      <w:proofErr w:type="gramStart"/>
      <w:r w:rsidRPr="00261AEE">
        <w:rPr>
          <w:sz w:val="22"/>
          <w:szCs w:val="22"/>
        </w:rPr>
        <w:t>Учтена обязанность Биржи с даты начала торгов ценными бумагами, включенными в Первый или Второй уровень, ежеквартально раскрывать информацию о соответствии (несоответствии) этих ценных бумаг установленным требованиям для поддержания ценных бумаг - течение 10 рабочих дней с даты истечения отчетного квартала, а в отношении соблюдения (несоблюдения) эмитентами требований к корпоративному управлению эмитента - в течение 35 рабочих дней.</w:t>
      </w:r>
      <w:proofErr w:type="gramEnd"/>
    </w:p>
    <w:p w:rsidR="00BA727C" w:rsidRPr="00261AEE" w:rsidRDefault="00BA727C" w:rsidP="00BA727C">
      <w:pPr>
        <w:pStyle w:val="22"/>
        <w:widowControl/>
        <w:numPr>
          <w:ilvl w:val="1"/>
          <w:numId w:val="1"/>
        </w:numPr>
        <w:tabs>
          <w:tab w:val="left" w:pos="-4678"/>
        </w:tabs>
        <w:spacing w:before="240" w:after="120"/>
        <w:ind w:left="993" w:hanging="426"/>
        <w:jc w:val="both"/>
        <w:rPr>
          <w:sz w:val="22"/>
          <w:szCs w:val="22"/>
        </w:rPr>
      </w:pPr>
      <w:r w:rsidRPr="00261AEE">
        <w:rPr>
          <w:sz w:val="22"/>
          <w:szCs w:val="22"/>
        </w:rPr>
        <w:t>Изменены сроки приостановки торгов ценными бумагами в случае получения от Расчетного депозитария, сообщения (уведомления) о приостановлении (блокировании) операций с ценными бумагами, а также опубликования эмитентом сообщения о государственной регистрации решения о выпуске (дополнительном выпуске) ценных бумаг, на основании которого ценные бумаги эмитента, допущенные к организованным торгам, подлежат конвертации.</w:t>
      </w:r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  <w:b/>
        </w:rPr>
        <w:t>Предусматривается право Биржи</w:t>
      </w:r>
      <w:r w:rsidRPr="00261AEE">
        <w:rPr>
          <w:rFonts w:ascii="Times New Roman" w:hAnsi="Times New Roman"/>
        </w:rPr>
        <w:t xml:space="preserve"> при рассмотрении вопроса о включении ценных бумаг в Список </w:t>
      </w:r>
      <w:r w:rsidRPr="00261AEE">
        <w:rPr>
          <w:rFonts w:ascii="Times New Roman" w:hAnsi="Times New Roman"/>
          <w:b/>
        </w:rPr>
        <w:t>направить в Банк России запрос об установлении соответствия/несоответствия данных ценных бумаг и их эмитента требованиям законодательства РФ и иных нормативных правовых актов</w:t>
      </w:r>
      <w:r w:rsidRPr="00261AEE">
        <w:rPr>
          <w:rFonts w:ascii="Times New Roman" w:hAnsi="Times New Roman"/>
        </w:rPr>
        <w:t xml:space="preserve"> и/или о разъяснении применения указанных требований (норм). При этом срок рассмотрения соответствующего заявления (проведения экспертизы ценной бумаги), а также срок принятия решения </w:t>
      </w:r>
      <w:r w:rsidRPr="00261AEE">
        <w:rPr>
          <w:rFonts w:ascii="Times New Roman" w:hAnsi="Times New Roman"/>
        </w:rPr>
        <w:lastRenderedPageBreak/>
        <w:t xml:space="preserve">о включении ценных бумаг в Список, приостанавливаются до момента получения ответа от Банка России. </w:t>
      </w:r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  <w:b/>
        </w:rPr>
        <w:t>Установлена обязанность эмитентов</w:t>
      </w:r>
      <w:r>
        <w:rPr>
          <w:rFonts w:ascii="Times New Roman" w:hAnsi="Times New Roman"/>
          <w:b/>
        </w:rPr>
        <w:t>/управляющих ипотечным покрытием</w:t>
      </w:r>
      <w:r w:rsidRPr="00261AEE">
        <w:rPr>
          <w:rFonts w:ascii="Times New Roman" w:hAnsi="Times New Roman"/>
          <w:b/>
        </w:rPr>
        <w:t xml:space="preserve"> предоставлять Бирже следующую информацию</w:t>
      </w:r>
      <w:r w:rsidRPr="00261AEE">
        <w:rPr>
          <w:rFonts w:ascii="Times New Roman" w:hAnsi="Times New Roman"/>
        </w:rPr>
        <w:t>: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567"/>
        <w:jc w:val="both"/>
        <w:textAlignment w:val="baseline"/>
        <w:rPr>
          <w:sz w:val="22"/>
          <w:szCs w:val="22"/>
        </w:rPr>
      </w:pPr>
      <w:r w:rsidRPr="00261AEE">
        <w:rPr>
          <w:sz w:val="22"/>
          <w:szCs w:val="22"/>
        </w:rPr>
        <w:t xml:space="preserve">- в письменном виде в случае предстоящего досрочного погашения эмитентом приобретенных им облигаций - в течение 2 дней </w:t>
      </w:r>
      <w:proofErr w:type="gramStart"/>
      <w:r w:rsidRPr="00261AEE">
        <w:rPr>
          <w:sz w:val="22"/>
          <w:szCs w:val="22"/>
        </w:rPr>
        <w:t>с даты принятия</w:t>
      </w:r>
      <w:proofErr w:type="gramEnd"/>
      <w:r w:rsidRPr="00261AEE">
        <w:rPr>
          <w:sz w:val="22"/>
          <w:szCs w:val="22"/>
        </w:rPr>
        <w:t xml:space="preserve"> решения о досрочном погашении, но не позднее, чем за 2 рабочих дня до даты досрочного погашения, с указанием даты досрочного погашения;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567"/>
        <w:jc w:val="both"/>
        <w:textAlignment w:val="baseline"/>
        <w:rPr>
          <w:sz w:val="22"/>
          <w:szCs w:val="22"/>
        </w:rPr>
      </w:pPr>
      <w:r w:rsidRPr="00261AEE">
        <w:rPr>
          <w:sz w:val="22"/>
          <w:szCs w:val="22"/>
        </w:rPr>
        <w:t xml:space="preserve">- расторжение договора страхования финансовых рисков – в течение 5 рабочих дней </w:t>
      </w:r>
      <w:proofErr w:type="gramStart"/>
      <w:r w:rsidRPr="00261AEE">
        <w:rPr>
          <w:sz w:val="22"/>
          <w:szCs w:val="22"/>
        </w:rPr>
        <w:t>с даты расторжения</w:t>
      </w:r>
      <w:proofErr w:type="gramEnd"/>
      <w:r w:rsidRPr="00261AEE">
        <w:rPr>
          <w:sz w:val="22"/>
          <w:szCs w:val="22"/>
        </w:rPr>
        <w:t xml:space="preserve"> такого договора (для ипотечных сертификатов участия, на которые распространяется требование по страхованию финансовых рисков согласно Правилам);</w:t>
      </w:r>
    </w:p>
    <w:p w:rsidR="00BA727C" w:rsidRPr="00261AEE" w:rsidRDefault="00BA727C" w:rsidP="00BA727C">
      <w:p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567"/>
        <w:jc w:val="both"/>
        <w:textAlignment w:val="baseline"/>
      </w:pPr>
      <w:proofErr w:type="gramStart"/>
      <w:r w:rsidRPr="00261AEE">
        <w:rPr>
          <w:sz w:val="22"/>
          <w:szCs w:val="22"/>
        </w:rPr>
        <w:t xml:space="preserve">- выдача дополнительных сертификатов участия – в течение 5 рабочих дней с даты выдачи дополнительных ипотечных сертификатов участия, но не позднее даты окончания квартала, в котором была осуществлена выдача дополнительных сертификатов участия, в письменном виде и в электронном виде по электронной почте на адрес </w:t>
      </w:r>
      <w:hyperlink r:id="rId8" w:history="1">
        <w:r w:rsidRPr="00261AEE">
          <w:rPr>
            <w:sz w:val="22"/>
            <w:szCs w:val="22"/>
          </w:rPr>
          <w:t>ISU@moex.com</w:t>
        </w:r>
      </w:hyperlink>
      <w:r w:rsidRPr="00261AEE">
        <w:rPr>
          <w:sz w:val="22"/>
          <w:szCs w:val="22"/>
        </w:rPr>
        <w:t xml:space="preserve"> (в отношении ипотечных сертификатов участия, включенных в Первый уровень до вступления в силу Правил).</w:t>
      </w:r>
      <w:proofErr w:type="gramEnd"/>
    </w:p>
    <w:p w:rsidR="00BA727C" w:rsidRPr="00261AEE" w:rsidRDefault="00BA727C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0" w:firstLine="567"/>
        <w:jc w:val="both"/>
        <w:textAlignment w:val="baseline"/>
        <w:rPr>
          <w:rFonts w:ascii="Times New Roman" w:hAnsi="Times New Roman"/>
        </w:rPr>
      </w:pPr>
      <w:r w:rsidRPr="00261AEE">
        <w:rPr>
          <w:rFonts w:ascii="Times New Roman" w:hAnsi="Times New Roman"/>
          <w:b/>
        </w:rPr>
        <w:t>Изменяются требования при включении и поддержании акций и депозитарных расписок на акции в Секторе РИИ</w:t>
      </w:r>
      <w:r w:rsidRPr="00261AEE">
        <w:rPr>
          <w:rFonts w:ascii="Times New Roman" w:hAnsi="Times New Roman"/>
        </w:rPr>
        <w:t xml:space="preserve">, а именно требование к уровню капитализации акций </w:t>
      </w:r>
      <w:proofErr w:type="gramStart"/>
      <w:r w:rsidRPr="00261AEE">
        <w:rPr>
          <w:rFonts w:ascii="Times New Roman" w:hAnsi="Times New Roman"/>
        </w:rPr>
        <w:t>заменяется на требование</w:t>
      </w:r>
      <w:proofErr w:type="gramEnd"/>
      <w:r w:rsidRPr="00261AEE">
        <w:rPr>
          <w:rFonts w:ascii="Times New Roman" w:hAnsi="Times New Roman"/>
        </w:rPr>
        <w:t xml:space="preserve"> к капитализации эмитента. При этом рыночная капитализация эмитента должна составлять не менее 150 млн. руб.</w:t>
      </w:r>
    </w:p>
    <w:p w:rsidR="00BA727C" w:rsidRPr="00103D53" w:rsidRDefault="002040EA" w:rsidP="00BA727C">
      <w:pPr>
        <w:pStyle w:val="ac"/>
        <w:numPr>
          <w:ilvl w:val="0"/>
          <w:numId w:val="1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240"/>
        <w:ind w:left="0"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BA727C" w:rsidRPr="00103D53">
        <w:rPr>
          <w:rFonts w:ascii="Times New Roman" w:hAnsi="Times New Roman"/>
          <w:b/>
        </w:rPr>
        <w:t xml:space="preserve">Устанавливается право Биржи принять решение об ограничении перечня допустимых режимов торгов в отношении ценных бумаг Организации </w:t>
      </w:r>
      <w:r w:rsidR="00BA727C" w:rsidRPr="00103D53">
        <w:rPr>
          <w:rFonts w:ascii="Times New Roman" w:hAnsi="Times New Roman"/>
        </w:rPr>
        <w:t>(ценных бумаг под управлением Организации), в соответствии с внутренним документом Биржи, определяющим правила проведения торгов ценными бумагами в случаях, если:</w:t>
      </w:r>
    </w:p>
    <w:p w:rsidR="00BA727C" w:rsidRPr="00103D53" w:rsidRDefault="00BA727C" w:rsidP="00BA727C">
      <w:pPr>
        <w:pStyle w:val="ac"/>
        <w:numPr>
          <w:ilvl w:val="0"/>
          <w:numId w:val="18"/>
        </w:numPr>
        <w:tabs>
          <w:tab w:val="left" w:pos="1134"/>
        </w:tabs>
        <w:overflowPunct w:val="0"/>
        <w:autoSpaceDE w:val="0"/>
        <w:autoSpaceDN w:val="0"/>
        <w:ind w:left="851" w:hanging="284"/>
        <w:contextualSpacing/>
        <w:jc w:val="both"/>
        <w:rPr>
          <w:rFonts w:ascii="Times New Roman" w:hAnsi="Times New Roman"/>
        </w:rPr>
      </w:pPr>
      <w:r w:rsidRPr="00103D53">
        <w:rPr>
          <w:rFonts w:ascii="Times New Roman" w:hAnsi="Times New Roman"/>
        </w:rPr>
        <w:t>введена одна из процедур банкротства (за исключением конкурсного производства), а также, если в отношении Общества применена санация;</w:t>
      </w:r>
    </w:p>
    <w:p w:rsidR="00BA727C" w:rsidRPr="00103D53" w:rsidRDefault="00BA727C" w:rsidP="00BA727C">
      <w:pPr>
        <w:pStyle w:val="ac"/>
        <w:numPr>
          <w:ilvl w:val="0"/>
          <w:numId w:val="18"/>
        </w:numPr>
        <w:tabs>
          <w:tab w:val="left" w:pos="1134"/>
        </w:tabs>
        <w:overflowPunct w:val="0"/>
        <w:autoSpaceDE w:val="0"/>
        <w:autoSpaceDN w:val="0"/>
        <w:ind w:left="851" w:hanging="284"/>
        <w:contextualSpacing/>
        <w:jc w:val="both"/>
        <w:rPr>
          <w:rFonts w:ascii="Times New Roman" w:hAnsi="Times New Roman"/>
        </w:rPr>
      </w:pPr>
      <w:r w:rsidRPr="00103D53">
        <w:rPr>
          <w:rFonts w:ascii="Times New Roman" w:hAnsi="Times New Roman"/>
        </w:rPr>
        <w:t xml:space="preserve">к Обществу применены санкции компетентными (регулирующими) государственными органами за нарушение законодательства Российской Федерации, в том числе в случае отзыва (аннулирования) Банком России лицензии на осуществление соответствующего вида деятельности; </w:t>
      </w:r>
    </w:p>
    <w:p w:rsidR="00BA727C" w:rsidRPr="00103D53" w:rsidRDefault="00BA727C" w:rsidP="00BA727C">
      <w:pPr>
        <w:pStyle w:val="ac"/>
        <w:numPr>
          <w:ilvl w:val="0"/>
          <w:numId w:val="18"/>
        </w:numPr>
        <w:tabs>
          <w:tab w:val="left" w:pos="851"/>
        </w:tabs>
        <w:overflowPunct w:val="0"/>
        <w:autoSpaceDE w:val="0"/>
        <w:autoSpaceDN w:val="0"/>
        <w:ind w:left="851" w:hanging="284"/>
        <w:contextualSpacing/>
        <w:jc w:val="both"/>
        <w:rPr>
          <w:rFonts w:ascii="Times New Roman" w:hAnsi="Times New Roman"/>
        </w:rPr>
      </w:pPr>
      <w:r w:rsidRPr="00103D53">
        <w:rPr>
          <w:rFonts w:ascii="Times New Roman" w:hAnsi="Times New Roman"/>
        </w:rPr>
        <w:t>при наличии иных обстоятельств, которые могут повлечь наступление оснований для принятия Биржей решений о приостановке торгов, исключении (оставлении в Списке) ценных бумаг Общества.</w:t>
      </w:r>
    </w:p>
    <w:p w:rsidR="00C34ECD" w:rsidRPr="00E835CE" w:rsidRDefault="00C34ECD" w:rsidP="00C34ECD">
      <w:pPr>
        <w:tabs>
          <w:tab w:val="left" w:pos="720"/>
        </w:tabs>
        <w:jc w:val="both"/>
        <w:rPr>
          <w:sz w:val="22"/>
          <w:szCs w:val="22"/>
        </w:rPr>
      </w:pPr>
      <w:bookmarkStart w:id="0" w:name="_GoBack"/>
      <w:bookmarkEnd w:id="0"/>
    </w:p>
    <w:sectPr w:rsidR="00C34ECD" w:rsidRPr="00E835CE" w:rsidSect="001736EA">
      <w:footerReference w:type="default" r:id="rId9"/>
      <w:endnotePr>
        <w:numFmt w:val="decimal"/>
      </w:endnotePr>
      <w:pgSz w:w="11907" w:h="16840"/>
      <w:pgMar w:top="567" w:right="992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538" w:rsidRDefault="002C1538" w:rsidP="00281B8B">
      <w:r>
        <w:separator/>
      </w:r>
    </w:p>
  </w:endnote>
  <w:endnote w:type="continuationSeparator" w:id="0">
    <w:p w:rsidR="002C1538" w:rsidRDefault="002C1538" w:rsidP="0028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743257"/>
      <w:docPartObj>
        <w:docPartGallery w:val="Page Numbers (Bottom of Page)"/>
        <w:docPartUnique/>
      </w:docPartObj>
    </w:sdtPr>
    <w:sdtEndPr/>
    <w:sdtContent>
      <w:p w:rsidR="00F203F1" w:rsidRDefault="00F203F1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0EA">
          <w:rPr>
            <w:noProof/>
          </w:rPr>
          <w:t>1</w:t>
        </w:r>
        <w:r>
          <w:fldChar w:fldCharType="end"/>
        </w:r>
      </w:p>
    </w:sdtContent>
  </w:sdt>
  <w:p w:rsidR="00F203F1" w:rsidRDefault="00F203F1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538" w:rsidRDefault="002C1538" w:rsidP="00281B8B">
      <w:r>
        <w:separator/>
      </w:r>
    </w:p>
  </w:footnote>
  <w:footnote w:type="continuationSeparator" w:id="0">
    <w:p w:rsidR="002C1538" w:rsidRDefault="002C1538" w:rsidP="00281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27C"/>
    <w:multiLevelType w:val="hybridMultilevel"/>
    <w:tmpl w:val="137A831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7A5E61"/>
    <w:multiLevelType w:val="hybridMultilevel"/>
    <w:tmpl w:val="E90406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08705206"/>
    <w:multiLevelType w:val="hybridMultilevel"/>
    <w:tmpl w:val="05026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2635B3"/>
    <w:multiLevelType w:val="hybridMultilevel"/>
    <w:tmpl w:val="BC827ED0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1B234871"/>
    <w:multiLevelType w:val="multilevel"/>
    <w:tmpl w:val="911A0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7686E7B"/>
    <w:multiLevelType w:val="hybridMultilevel"/>
    <w:tmpl w:val="B71407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E7AB8"/>
    <w:multiLevelType w:val="hybridMultilevel"/>
    <w:tmpl w:val="7764C7CA"/>
    <w:lvl w:ilvl="0" w:tplc="4330F4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163" w:hanging="804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CC81F55"/>
    <w:multiLevelType w:val="hybridMultilevel"/>
    <w:tmpl w:val="6AF82A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667F43"/>
    <w:multiLevelType w:val="hybridMultilevel"/>
    <w:tmpl w:val="E66C688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453F51C7"/>
    <w:multiLevelType w:val="hybridMultilevel"/>
    <w:tmpl w:val="E8DCF4A2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49D81931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5B146777"/>
    <w:multiLevelType w:val="hybridMultilevel"/>
    <w:tmpl w:val="34D40940"/>
    <w:lvl w:ilvl="0" w:tplc="6750D3EA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13B6301"/>
    <w:multiLevelType w:val="hybridMultilevel"/>
    <w:tmpl w:val="00AAEAB6"/>
    <w:lvl w:ilvl="0" w:tplc="170A2C4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13">
    <w:nsid w:val="68BE10FF"/>
    <w:multiLevelType w:val="hybridMultilevel"/>
    <w:tmpl w:val="611ABB1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3473B46"/>
    <w:multiLevelType w:val="hybridMultilevel"/>
    <w:tmpl w:val="C09CB258"/>
    <w:lvl w:ilvl="0" w:tplc="04190011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744D0F78"/>
    <w:multiLevelType w:val="hybridMultilevel"/>
    <w:tmpl w:val="5F747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4BE60C7"/>
    <w:multiLevelType w:val="multilevel"/>
    <w:tmpl w:val="1EDE7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7620099C"/>
    <w:multiLevelType w:val="hybridMultilevel"/>
    <w:tmpl w:val="BFF012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0"/>
  </w:num>
  <w:num w:numId="5">
    <w:abstractNumId w:val="3"/>
  </w:num>
  <w:num w:numId="6">
    <w:abstractNumId w:val="15"/>
  </w:num>
  <w:num w:numId="7">
    <w:abstractNumId w:val="2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  <w:num w:numId="14">
    <w:abstractNumId w:val="7"/>
  </w:num>
  <w:num w:numId="15">
    <w:abstractNumId w:val="17"/>
  </w:num>
  <w:num w:numId="16">
    <w:abstractNumId w:val="1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6F"/>
    <w:rsid w:val="000007D7"/>
    <w:rsid w:val="0000685F"/>
    <w:rsid w:val="00012572"/>
    <w:rsid w:val="00013361"/>
    <w:rsid w:val="00015696"/>
    <w:rsid w:val="00027422"/>
    <w:rsid w:val="00034B9B"/>
    <w:rsid w:val="00045B46"/>
    <w:rsid w:val="00055ECA"/>
    <w:rsid w:val="00062BF6"/>
    <w:rsid w:val="00063401"/>
    <w:rsid w:val="00071D72"/>
    <w:rsid w:val="00083166"/>
    <w:rsid w:val="000938A7"/>
    <w:rsid w:val="000B4F00"/>
    <w:rsid w:val="000C0F74"/>
    <w:rsid w:val="00100513"/>
    <w:rsid w:val="001168C0"/>
    <w:rsid w:val="00145D40"/>
    <w:rsid w:val="00150C8B"/>
    <w:rsid w:val="001736EA"/>
    <w:rsid w:val="0017418C"/>
    <w:rsid w:val="00177FCD"/>
    <w:rsid w:val="00183F83"/>
    <w:rsid w:val="0018415A"/>
    <w:rsid w:val="00186862"/>
    <w:rsid w:val="0019008B"/>
    <w:rsid w:val="001A1F04"/>
    <w:rsid w:val="001B05DF"/>
    <w:rsid w:val="001B2A3E"/>
    <w:rsid w:val="001B5A2D"/>
    <w:rsid w:val="001C08C7"/>
    <w:rsid w:val="001C2DA6"/>
    <w:rsid w:val="001D7027"/>
    <w:rsid w:val="001E1A1A"/>
    <w:rsid w:val="001E295D"/>
    <w:rsid w:val="001E73B7"/>
    <w:rsid w:val="001F2908"/>
    <w:rsid w:val="002040EA"/>
    <w:rsid w:val="002123F6"/>
    <w:rsid w:val="00212F37"/>
    <w:rsid w:val="002171E2"/>
    <w:rsid w:val="00220B64"/>
    <w:rsid w:val="0022148A"/>
    <w:rsid w:val="00225864"/>
    <w:rsid w:val="00225CA5"/>
    <w:rsid w:val="002539B7"/>
    <w:rsid w:val="00254EF1"/>
    <w:rsid w:val="00260DDE"/>
    <w:rsid w:val="00265D5B"/>
    <w:rsid w:val="0027272A"/>
    <w:rsid w:val="00273141"/>
    <w:rsid w:val="00281B8B"/>
    <w:rsid w:val="002847C7"/>
    <w:rsid w:val="00284E99"/>
    <w:rsid w:val="00285C59"/>
    <w:rsid w:val="00287B8A"/>
    <w:rsid w:val="00297B61"/>
    <w:rsid w:val="002A76F8"/>
    <w:rsid w:val="002B6D19"/>
    <w:rsid w:val="002C1538"/>
    <w:rsid w:val="002C18DA"/>
    <w:rsid w:val="002D5477"/>
    <w:rsid w:val="002E053D"/>
    <w:rsid w:val="002E1E16"/>
    <w:rsid w:val="002F0A55"/>
    <w:rsid w:val="002F5AED"/>
    <w:rsid w:val="002F7E23"/>
    <w:rsid w:val="0030042F"/>
    <w:rsid w:val="00300D54"/>
    <w:rsid w:val="003018B1"/>
    <w:rsid w:val="003075B3"/>
    <w:rsid w:val="00307809"/>
    <w:rsid w:val="003375D8"/>
    <w:rsid w:val="00346B98"/>
    <w:rsid w:val="0034788F"/>
    <w:rsid w:val="003512F8"/>
    <w:rsid w:val="003646C1"/>
    <w:rsid w:val="00374368"/>
    <w:rsid w:val="00387B47"/>
    <w:rsid w:val="00387F73"/>
    <w:rsid w:val="003918A6"/>
    <w:rsid w:val="003A561C"/>
    <w:rsid w:val="003C6371"/>
    <w:rsid w:val="003D4E68"/>
    <w:rsid w:val="003D5DFF"/>
    <w:rsid w:val="003E08E9"/>
    <w:rsid w:val="003E13C0"/>
    <w:rsid w:val="003E62E0"/>
    <w:rsid w:val="003F034A"/>
    <w:rsid w:val="003F679B"/>
    <w:rsid w:val="0040780D"/>
    <w:rsid w:val="0041318F"/>
    <w:rsid w:val="00415D69"/>
    <w:rsid w:val="0042524A"/>
    <w:rsid w:val="00427BC8"/>
    <w:rsid w:val="00431F75"/>
    <w:rsid w:val="00440498"/>
    <w:rsid w:val="004409A5"/>
    <w:rsid w:val="00441F16"/>
    <w:rsid w:val="004469DD"/>
    <w:rsid w:val="0046063E"/>
    <w:rsid w:val="0047014F"/>
    <w:rsid w:val="0047745E"/>
    <w:rsid w:val="00477BA2"/>
    <w:rsid w:val="00477E6F"/>
    <w:rsid w:val="004832F5"/>
    <w:rsid w:val="004A6DCA"/>
    <w:rsid w:val="004A764F"/>
    <w:rsid w:val="004B2DA4"/>
    <w:rsid w:val="004B4D17"/>
    <w:rsid w:val="004B7196"/>
    <w:rsid w:val="004C025F"/>
    <w:rsid w:val="004C5B95"/>
    <w:rsid w:val="004E5ABC"/>
    <w:rsid w:val="004F36EB"/>
    <w:rsid w:val="004F6322"/>
    <w:rsid w:val="005057C8"/>
    <w:rsid w:val="0050784F"/>
    <w:rsid w:val="0051397D"/>
    <w:rsid w:val="00516E77"/>
    <w:rsid w:val="00535E55"/>
    <w:rsid w:val="00543059"/>
    <w:rsid w:val="0055120B"/>
    <w:rsid w:val="00560CD6"/>
    <w:rsid w:val="005724E5"/>
    <w:rsid w:val="005760A9"/>
    <w:rsid w:val="0057715F"/>
    <w:rsid w:val="00581E7E"/>
    <w:rsid w:val="00587953"/>
    <w:rsid w:val="0059588D"/>
    <w:rsid w:val="00597C79"/>
    <w:rsid w:val="005A693A"/>
    <w:rsid w:val="005A6964"/>
    <w:rsid w:val="005A788E"/>
    <w:rsid w:val="005C427C"/>
    <w:rsid w:val="005D0AE0"/>
    <w:rsid w:val="005F296E"/>
    <w:rsid w:val="005F62B4"/>
    <w:rsid w:val="00606003"/>
    <w:rsid w:val="006124A8"/>
    <w:rsid w:val="00615C00"/>
    <w:rsid w:val="00615FBD"/>
    <w:rsid w:val="00623728"/>
    <w:rsid w:val="0062618A"/>
    <w:rsid w:val="0063145D"/>
    <w:rsid w:val="0065747E"/>
    <w:rsid w:val="00660498"/>
    <w:rsid w:val="006618F9"/>
    <w:rsid w:val="00665F7D"/>
    <w:rsid w:val="0068590C"/>
    <w:rsid w:val="00687A14"/>
    <w:rsid w:val="00694EC4"/>
    <w:rsid w:val="00695D52"/>
    <w:rsid w:val="00696177"/>
    <w:rsid w:val="00697ED5"/>
    <w:rsid w:val="006A623A"/>
    <w:rsid w:val="006A7EE1"/>
    <w:rsid w:val="006B5F15"/>
    <w:rsid w:val="006C2581"/>
    <w:rsid w:val="006C7DF1"/>
    <w:rsid w:val="006E4371"/>
    <w:rsid w:val="006F73E3"/>
    <w:rsid w:val="007200EE"/>
    <w:rsid w:val="007203A3"/>
    <w:rsid w:val="00725881"/>
    <w:rsid w:val="00727A85"/>
    <w:rsid w:val="007321CC"/>
    <w:rsid w:val="00746727"/>
    <w:rsid w:val="007527E1"/>
    <w:rsid w:val="00753E77"/>
    <w:rsid w:val="007568CB"/>
    <w:rsid w:val="00764F9D"/>
    <w:rsid w:val="007741DC"/>
    <w:rsid w:val="007778B0"/>
    <w:rsid w:val="0079200F"/>
    <w:rsid w:val="007926B5"/>
    <w:rsid w:val="00792B0D"/>
    <w:rsid w:val="007A188F"/>
    <w:rsid w:val="007A59B6"/>
    <w:rsid w:val="007B09B3"/>
    <w:rsid w:val="007C2C07"/>
    <w:rsid w:val="007C3C8D"/>
    <w:rsid w:val="007C739B"/>
    <w:rsid w:val="007E5249"/>
    <w:rsid w:val="007F10E8"/>
    <w:rsid w:val="00802EFB"/>
    <w:rsid w:val="00803188"/>
    <w:rsid w:val="00803A6A"/>
    <w:rsid w:val="0081689F"/>
    <w:rsid w:val="00817C05"/>
    <w:rsid w:val="00820F86"/>
    <w:rsid w:val="00823482"/>
    <w:rsid w:val="0083512F"/>
    <w:rsid w:val="00845BC0"/>
    <w:rsid w:val="008558FC"/>
    <w:rsid w:val="00876D40"/>
    <w:rsid w:val="0088393C"/>
    <w:rsid w:val="0089136A"/>
    <w:rsid w:val="008A5864"/>
    <w:rsid w:val="008A7A11"/>
    <w:rsid w:val="008B1B4A"/>
    <w:rsid w:val="008C3CBD"/>
    <w:rsid w:val="008C4304"/>
    <w:rsid w:val="008D6C22"/>
    <w:rsid w:val="008F1C0B"/>
    <w:rsid w:val="00910858"/>
    <w:rsid w:val="00931420"/>
    <w:rsid w:val="0093398A"/>
    <w:rsid w:val="00973A3F"/>
    <w:rsid w:val="009841EE"/>
    <w:rsid w:val="00985612"/>
    <w:rsid w:val="0099792D"/>
    <w:rsid w:val="00997E11"/>
    <w:rsid w:val="009A0527"/>
    <w:rsid w:val="009A24E6"/>
    <w:rsid w:val="009B0C19"/>
    <w:rsid w:val="009C3364"/>
    <w:rsid w:val="009D12BB"/>
    <w:rsid w:val="009D7469"/>
    <w:rsid w:val="009D7B9E"/>
    <w:rsid w:val="009E1797"/>
    <w:rsid w:val="009E7B91"/>
    <w:rsid w:val="00A0053A"/>
    <w:rsid w:val="00A04B43"/>
    <w:rsid w:val="00A075BD"/>
    <w:rsid w:val="00A14EBF"/>
    <w:rsid w:val="00A21054"/>
    <w:rsid w:val="00A21BF2"/>
    <w:rsid w:val="00A33D39"/>
    <w:rsid w:val="00A45AA4"/>
    <w:rsid w:val="00A52AEB"/>
    <w:rsid w:val="00A644B2"/>
    <w:rsid w:val="00A714BC"/>
    <w:rsid w:val="00A726F6"/>
    <w:rsid w:val="00A73E19"/>
    <w:rsid w:val="00AA0D0D"/>
    <w:rsid w:val="00AA3C75"/>
    <w:rsid w:val="00AB1BCD"/>
    <w:rsid w:val="00AB7153"/>
    <w:rsid w:val="00AC065D"/>
    <w:rsid w:val="00AC0FC6"/>
    <w:rsid w:val="00AE0A1D"/>
    <w:rsid w:val="00AF507D"/>
    <w:rsid w:val="00AF5E06"/>
    <w:rsid w:val="00B00ED4"/>
    <w:rsid w:val="00B01E32"/>
    <w:rsid w:val="00B04B3F"/>
    <w:rsid w:val="00B10B53"/>
    <w:rsid w:val="00B113B7"/>
    <w:rsid w:val="00B27E17"/>
    <w:rsid w:val="00B41D33"/>
    <w:rsid w:val="00B422F8"/>
    <w:rsid w:val="00B47E2E"/>
    <w:rsid w:val="00B5320B"/>
    <w:rsid w:val="00B57228"/>
    <w:rsid w:val="00B61FFE"/>
    <w:rsid w:val="00B90E96"/>
    <w:rsid w:val="00B933FB"/>
    <w:rsid w:val="00B954C8"/>
    <w:rsid w:val="00B96935"/>
    <w:rsid w:val="00BA4C0A"/>
    <w:rsid w:val="00BA727C"/>
    <w:rsid w:val="00BB38B4"/>
    <w:rsid w:val="00BB49C2"/>
    <w:rsid w:val="00BB4FA4"/>
    <w:rsid w:val="00BB63DA"/>
    <w:rsid w:val="00BC1F83"/>
    <w:rsid w:val="00BC6368"/>
    <w:rsid w:val="00BD1B9A"/>
    <w:rsid w:val="00BD5954"/>
    <w:rsid w:val="00BE1FCB"/>
    <w:rsid w:val="00BE336C"/>
    <w:rsid w:val="00BF4D6D"/>
    <w:rsid w:val="00C05E48"/>
    <w:rsid w:val="00C252D6"/>
    <w:rsid w:val="00C270BC"/>
    <w:rsid w:val="00C3157E"/>
    <w:rsid w:val="00C327FA"/>
    <w:rsid w:val="00C34ECD"/>
    <w:rsid w:val="00C37889"/>
    <w:rsid w:val="00C42B28"/>
    <w:rsid w:val="00C44220"/>
    <w:rsid w:val="00C5207A"/>
    <w:rsid w:val="00C61338"/>
    <w:rsid w:val="00C61943"/>
    <w:rsid w:val="00C62875"/>
    <w:rsid w:val="00C66AE6"/>
    <w:rsid w:val="00C913C7"/>
    <w:rsid w:val="00CC0809"/>
    <w:rsid w:val="00CC10FB"/>
    <w:rsid w:val="00CC1396"/>
    <w:rsid w:val="00CC2D22"/>
    <w:rsid w:val="00CE1600"/>
    <w:rsid w:val="00CE4178"/>
    <w:rsid w:val="00CE463A"/>
    <w:rsid w:val="00CE58B3"/>
    <w:rsid w:val="00CF0CC8"/>
    <w:rsid w:val="00D0653C"/>
    <w:rsid w:val="00D13AC0"/>
    <w:rsid w:val="00D1602D"/>
    <w:rsid w:val="00D20E6A"/>
    <w:rsid w:val="00D3673D"/>
    <w:rsid w:val="00D40962"/>
    <w:rsid w:val="00D46275"/>
    <w:rsid w:val="00D505FB"/>
    <w:rsid w:val="00D543CF"/>
    <w:rsid w:val="00D674E8"/>
    <w:rsid w:val="00D67DCA"/>
    <w:rsid w:val="00D82A6A"/>
    <w:rsid w:val="00D83AF8"/>
    <w:rsid w:val="00D92ABC"/>
    <w:rsid w:val="00D9453B"/>
    <w:rsid w:val="00DB482A"/>
    <w:rsid w:val="00DC199D"/>
    <w:rsid w:val="00DC4328"/>
    <w:rsid w:val="00DD1C8A"/>
    <w:rsid w:val="00DE18A8"/>
    <w:rsid w:val="00DE753E"/>
    <w:rsid w:val="00DF0FE6"/>
    <w:rsid w:val="00DF5867"/>
    <w:rsid w:val="00E1797E"/>
    <w:rsid w:val="00E22011"/>
    <w:rsid w:val="00E24B05"/>
    <w:rsid w:val="00E27F7A"/>
    <w:rsid w:val="00E33B66"/>
    <w:rsid w:val="00E369EB"/>
    <w:rsid w:val="00E5293F"/>
    <w:rsid w:val="00E6473B"/>
    <w:rsid w:val="00E7263A"/>
    <w:rsid w:val="00E727B6"/>
    <w:rsid w:val="00E73422"/>
    <w:rsid w:val="00E82935"/>
    <w:rsid w:val="00E835CE"/>
    <w:rsid w:val="00E91A49"/>
    <w:rsid w:val="00E96217"/>
    <w:rsid w:val="00E96CB6"/>
    <w:rsid w:val="00EA7B8A"/>
    <w:rsid w:val="00EB0A53"/>
    <w:rsid w:val="00EB5FA4"/>
    <w:rsid w:val="00EC4555"/>
    <w:rsid w:val="00ED22BD"/>
    <w:rsid w:val="00EE0C1A"/>
    <w:rsid w:val="00EF37B2"/>
    <w:rsid w:val="00EF3DD0"/>
    <w:rsid w:val="00F01B47"/>
    <w:rsid w:val="00F060D8"/>
    <w:rsid w:val="00F203F1"/>
    <w:rsid w:val="00F244B4"/>
    <w:rsid w:val="00F323F5"/>
    <w:rsid w:val="00F36D3C"/>
    <w:rsid w:val="00F7627C"/>
    <w:rsid w:val="00F86E68"/>
    <w:rsid w:val="00F86ECD"/>
    <w:rsid w:val="00FA64EF"/>
    <w:rsid w:val="00FB1CA0"/>
    <w:rsid w:val="00FC52E2"/>
    <w:rsid w:val="00FC7ACD"/>
    <w:rsid w:val="00FC7D7B"/>
    <w:rsid w:val="00FD6746"/>
    <w:rsid w:val="00FD69A5"/>
    <w:rsid w:val="00FD6D5A"/>
    <w:rsid w:val="00FE0CDE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99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5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rsid w:val="004A6DCA"/>
    <w:pPr>
      <w:keepNext/>
      <w:widowControl/>
      <w:overflowPunct w:val="0"/>
      <w:autoSpaceDE w:val="0"/>
      <w:autoSpaceDN w:val="0"/>
      <w:adjustRightInd w:val="0"/>
      <w:jc w:val="both"/>
      <w:textAlignment w:val="baseline"/>
      <w:outlineLvl w:val="0"/>
    </w:pPr>
  </w:style>
  <w:style w:type="paragraph" w:styleId="2">
    <w:name w:val="heading 2"/>
    <w:basedOn w:val="a"/>
    <w:next w:val="a"/>
    <w:qFormat/>
    <w:rsid w:val="004A6DC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A6DCA"/>
    <w:pPr>
      <w:keepNext/>
      <w:tabs>
        <w:tab w:val="left" w:pos="851"/>
      </w:tabs>
      <w:ind w:left="360"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4A6DCA"/>
    <w:rPr>
      <w:sz w:val="20"/>
    </w:rPr>
  </w:style>
  <w:style w:type="character" w:customStyle="1" w:styleId="10">
    <w:name w:val="Основной шрифт абзаца1"/>
    <w:rsid w:val="004A6DCA"/>
    <w:rPr>
      <w:sz w:val="20"/>
    </w:rPr>
  </w:style>
  <w:style w:type="paragraph" w:customStyle="1" w:styleId="Iauiue">
    <w:name w:val="Iau?iue"/>
    <w:rsid w:val="004A6DCA"/>
    <w:pPr>
      <w:widowControl w:val="0"/>
    </w:pPr>
  </w:style>
  <w:style w:type="paragraph" w:styleId="a3">
    <w:name w:val="Body Text Indent"/>
    <w:basedOn w:val="a"/>
    <w:rsid w:val="004A6DCA"/>
    <w:pPr>
      <w:spacing w:before="120" w:line="360" w:lineRule="auto"/>
      <w:ind w:firstLine="720"/>
      <w:jc w:val="both"/>
    </w:pPr>
  </w:style>
  <w:style w:type="paragraph" w:styleId="a4">
    <w:name w:val="Body Text"/>
    <w:basedOn w:val="a"/>
    <w:rsid w:val="004A6DCA"/>
    <w:pPr>
      <w:jc w:val="both"/>
    </w:pPr>
  </w:style>
  <w:style w:type="character" w:customStyle="1" w:styleId="a5">
    <w:name w:val="Компания"/>
    <w:rsid w:val="004A6DCA"/>
    <w:rPr>
      <w:rFonts w:ascii="Futuris" w:hAnsi="Futuris"/>
      <w:b/>
      <w:i/>
      <w:sz w:val="22"/>
    </w:rPr>
  </w:style>
  <w:style w:type="paragraph" w:styleId="21">
    <w:name w:val="Body Text 2"/>
    <w:basedOn w:val="a"/>
    <w:rsid w:val="004A6DCA"/>
    <w:pPr>
      <w:spacing w:line="360" w:lineRule="auto"/>
      <w:jc w:val="both"/>
    </w:pPr>
    <w:rPr>
      <w:b/>
    </w:rPr>
  </w:style>
  <w:style w:type="paragraph" w:styleId="30">
    <w:name w:val="Body Text 3"/>
    <w:basedOn w:val="a"/>
    <w:rsid w:val="004A6DCA"/>
    <w:pPr>
      <w:jc w:val="both"/>
    </w:pPr>
    <w:rPr>
      <w:i/>
    </w:rPr>
  </w:style>
  <w:style w:type="paragraph" w:styleId="22">
    <w:name w:val="Body Text Indent 2"/>
    <w:basedOn w:val="a"/>
    <w:rsid w:val="004A6DCA"/>
    <w:pPr>
      <w:ind w:left="426" w:hanging="426"/>
    </w:pPr>
  </w:style>
  <w:style w:type="character" w:customStyle="1" w:styleId="SUBST">
    <w:name w:val="__SUBST"/>
    <w:rsid w:val="004A6DCA"/>
    <w:rPr>
      <w:b/>
      <w:i/>
      <w:sz w:val="22"/>
    </w:rPr>
  </w:style>
  <w:style w:type="paragraph" w:customStyle="1" w:styleId="23">
    <w:name w:val="???????? ????? 2"/>
    <w:basedOn w:val="a"/>
    <w:rsid w:val="004A6DCA"/>
    <w:pPr>
      <w:jc w:val="both"/>
    </w:pPr>
    <w:rPr>
      <w:b/>
    </w:rPr>
  </w:style>
  <w:style w:type="paragraph" w:customStyle="1" w:styleId="11">
    <w:name w:val="Цитата1"/>
    <w:basedOn w:val="a"/>
    <w:rsid w:val="004A6DCA"/>
    <w:pPr>
      <w:widowControl/>
      <w:overflowPunct w:val="0"/>
      <w:autoSpaceDE w:val="0"/>
      <w:autoSpaceDN w:val="0"/>
      <w:adjustRightInd w:val="0"/>
      <w:ind w:left="-142" w:right="-652"/>
      <w:jc w:val="both"/>
      <w:textAlignment w:val="baseline"/>
    </w:pPr>
    <w:rPr>
      <w:rFonts w:ascii="Times New Roman CYR" w:hAnsi="Times New Roman CYR"/>
      <w:b/>
    </w:rPr>
  </w:style>
  <w:style w:type="paragraph" w:styleId="31">
    <w:name w:val="Body Text Indent 3"/>
    <w:basedOn w:val="a"/>
    <w:rsid w:val="004A6DCA"/>
    <w:pPr>
      <w:ind w:left="-142"/>
      <w:jc w:val="both"/>
    </w:pPr>
    <w:rPr>
      <w:i/>
    </w:rPr>
  </w:style>
  <w:style w:type="paragraph" w:customStyle="1" w:styleId="210">
    <w:name w:val="Основной текст 21"/>
    <w:basedOn w:val="a"/>
    <w:rsid w:val="004A6DCA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Arial" w:hAnsi="Arial"/>
      <w:sz w:val="22"/>
    </w:rPr>
  </w:style>
  <w:style w:type="paragraph" w:customStyle="1" w:styleId="a6">
    <w:name w:val="???????"/>
    <w:rsid w:val="004A6DCA"/>
    <w:rPr>
      <w:sz w:val="24"/>
    </w:rPr>
  </w:style>
  <w:style w:type="paragraph" w:styleId="a7">
    <w:name w:val="Block Text"/>
    <w:basedOn w:val="a"/>
    <w:rsid w:val="004A6DCA"/>
    <w:pPr>
      <w:widowControl/>
      <w:ind w:left="-142" w:right="-5"/>
      <w:jc w:val="both"/>
    </w:pPr>
    <w:rPr>
      <w:i/>
      <w:szCs w:val="24"/>
    </w:rPr>
  </w:style>
  <w:style w:type="paragraph" w:customStyle="1" w:styleId="Iniiaiieoaeno">
    <w:name w:val="Iniiaiie oaeno"/>
    <w:basedOn w:val="a"/>
    <w:rsid w:val="004A6DCA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auiue3">
    <w:name w:val="Iau?iue3"/>
    <w:rsid w:val="004A6DCA"/>
    <w:pPr>
      <w:keepLines/>
      <w:widowControl w:val="0"/>
      <w:ind w:firstLine="720"/>
      <w:jc w:val="both"/>
    </w:pPr>
    <w:rPr>
      <w:rFonts w:ascii="Baltica" w:hAnsi="Baltica"/>
      <w:sz w:val="24"/>
    </w:rPr>
  </w:style>
  <w:style w:type="paragraph" w:styleId="a8">
    <w:name w:val="Balloon Text"/>
    <w:basedOn w:val="a"/>
    <w:semiHidden/>
    <w:rsid w:val="004A6DCA"/>
    <w:rPr>
      <w:rFonts w:ascii="Tahoma" w:hAnsi="Tahoma" w:cs="Tahoma"/>
      <w:sz w:val="16"/>
      <w:szCs w:val="16"/>
    </w:rPr>
  </w:style>
  <w:style w:type="paragraph" w:customStyle="1" w:styleId="OoaiiAoia">
    <w:name w:val="OoaiiAoia"/>
    <w:basedOn w:val="a"/>
    <w:rsid w:val="004A6DCA"/>
    <w:pPr>
      <w:widowControl/>
      <w:tabs>
        <w:tab w:val="right" w:leader="underscore" w:pos="3289"/>
      </w:tabs>
      <w:overflowPunct w:val="0"/>
      <w:autoSpaceDE w:val="0"/>
      <w:autoSpaceDN w:val="0"/>
      <w:adjustRightInd w:val="0"/>
      <w:spacing w:line="260" w:lineRule="exact"/>
      <w:ind w:left="425" w:right="17"/>
      <w:textAlignment w:val="baseline"/>
    </w:pPr>
    <w:rPr>
      <w:rFonts w:ascii="Arial Narrow" w:hAnsi="Arial Narrow"/>
      <w:b/>
      <w:sz w:val="20"/>
    </w:rPr>
  </w:style>
  <w:style w:type="paragraph" w:customStyle="1" w:styleId="ConsNormal">
    <w:name w:val="ConsNormal"/>
    <w:rsid w:val="004A6DCA"/>
    <w:pPr>
      <w:widowControl w:val="0"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hAnsi="Arial"/>
    </w:rPr>
  </w:style>
  <w:style w:type="paragraph" w:customStyle="1" w:styleId="caaieiaie6">
    <w:name w:val="caaieiaie 6"/>
    <w:basedOn w:val="a"/>
    <w:next w:val="a"/>
    <w:rsid w:val="004A6DCA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AvantGardeC" w:hAnsi="AvantGardeC"/>
    </w:rPr>
  </w:style>
  <w:style w:type="paragraph" w:customStyle="1" w:styleId="211">
    <w:name w:val="Основной текст с отступом 21"/>
    <w:basedOn w:val="a"/>
    <w:rsid w:val="004A6DCA"/>
    <w:pPr>
      <w:widowControl/>
      <w:overflowPunct w:val="0"/>
      <w:autoSpaceDE w:val="0"/>
      <w:autoSpaceDN w:val="0"/>
      <w:adjustRightInd w:val="0"/>
      <w:ind w:right="312" w:firstLine="284"/>
      <w:jc w:val="both"/>
      <w:textAlignment w:val="baseline"/>
    </w:pPr>
    <w:rPr>
      <w:b/>
    </w:rPr>
  </w:style>
  <w:style w:type="character" w:styleId="a9">
    <w:name w:val="Hyperlink"/>
    <w:rsid w:val="00A714BC"/>
    <w:rPr>
      <w:color w:val="0000FF"/>
      <w:sz w:val="20"/>
      <w:u w:val="single"/>
    </w:rPr>
  </w:style>
  <w:style w:type="paragraph" w:styleId="aa">
    <w:name w:val="Document Map"/>
    <w:basedOn w:val="a"/>
    <w:semiHidden/>
    <w:rsid w:val="00E82935"/>
    <w:pPr>
      <w:shd w:val="clear" w:color="auto" w:fill="000080"/>
    </w:pPr>
    <w:rPr>
      <w:rFonts w:ascii="Tahoma" w:hAnsi="Tahoma" w:cs="Tahoma"/>
      <w:sz w:val="20"/>
    </w:rPr>
  </w:style>
  <w:style w:type="paragraph" w:styleId="ab">
    <w:name w:val="Normal (Web)"/>
    <w:basedOn w:val="a"/>
    <w:uiPriority w:val="99"/>
    <w:unhideWhenUsed/>
    <w:rsid w:val="00803188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c">
    <w:name w:val="List Paragraph"/>
    <w:basedOn w:val="a"/>
    <w:uiPriority w:val="99"/>
    <w:qFormat/>
    <w:rsid w:val="00803188"/>
    <w:pPr>
      <w:widowControl/>
      <w:ind w:left="720"/>
    </w:pPr>
    <w:rPr>
      <w:rFonts w:ascii="Calibri" w:eastAsia="Calibri" w:hAnsi="Calibri"/>
      <w:sz w:val="22"/>
      <w:szCs w:val="22"/>
    </w:rPr>
  </w:style>
  <w:style w:type="paragraph" w:styleId="ad">
    <w:name w:val="annotation text"/>
    <w:basedOn w:val="a"/>
    <w:link w:val="ae"/>
    <w:uiPriority w:val="99"/>
    <w:rsid w:val="003018B1"/>
    <w:pPr>
      <w:widowControl/>
    </w:pPr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3018B1"/>
  </w:style>
  <w:style w:type="character" w:styleId="af">
    <w:name w:val="annotation reference"/>
    <w:uiPriority w:val="99"/>
    <w:rsid w:val="003018B1"/>
    <w:rPr>
      <w:sz w:val="16"/>
      <w:szCs w:val="16"/>
    </w:rPr>
  </w:style>
  <w:style w:type="character" w:styleId="af0">
    <w:name w:val="Strong"/>
    <w:basedOn w:val="a0"/>
    <w:uiPriority w:val="22"/>
    <w:qFormat/>
    <w:rsid w:val="00FA64EF"/>
    <w:rPr>
      <w:b/>
      <w:bCs/>
    </w:rPr>
  </w:style>
  <w:style w:type="character" w:customStyle="1" w:styleId="apple-converted-space">
    <w:name w:val="apple-converted-space"/>
    <w:basedOn w:val="a0"/>
    <w:rsid w:val="00FA64EF"/>
  </w:style>
  <w:style w:type="paragraph" w:customStyle="1" w:styleId="Nienieiiaaaeaiee">
    <w:name w:val="Nienie ii?aaaeaiee"/>
    <w:basedOn w:val="a"/>
    <w:next w:val="a"/>
    <w:uiPriority w:val="99"/>
    <w:rsid w:val="002171E2"/>
    <w:pPr>
      <w:overflowPunct w:val="0"/>
      <w:autoSpaceDE w:val="0"/>
      <w:autoSpaceDN w:val="0"/>
      <w:adjustRightInd w:val="0"/>
      <w:ind w:left="360"/>
      <w:textAlignment w:val="baseline"/>
    </w:pPr>
    <w:rPr>
      <w:lang w:eastAsia="en-US"/>
    </w:rPr>
  </w:style>
  <w:style w:type="paragraph" w:customStyle="1" w:styleId="Default">
    <w:name w:val="Default"/>
    <w:rsid w:val="00281B8B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af1">
    <w:name w:val="footnote text"/>
    <w:basedOn w:val="a"/>
    <w:link w:val="af2"/>
    <w:uiPriority w:val="99"/>
    <w:unhideWhenUsed/>
    <w:rsid w:val="00281B8B"/>
    <w:pPr>
      <w:widowControl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rsid w:val="00281B8B"/>
    <w:rPr>
      <w:rFonts w:asciiTheme="minorHAnsi" w:eastAsiaTheme="minorHAnsi" w:hAnsiTheme="minorHAnsi" w:cstheme="minorBidi"/>
      <w:lang w:eastAsia="en-US"/>
    </w:rPr>
  </w:style>
  <w:style w:type="character" w:styleId="af3">
    <w:name w:val="footnote reference"/>
    <w:basedOn w:val="a0"/>
    <w:uiPriority w:val="99"/>
    <w:unhideWhenUsed/>
    <w:rsid w:val="00281B8B"/>
    <w:rPr>
      <w:vertAlign w:val="superscript"/>
    </w:rPr>
  </w:style>
  <w:style w:type="paragraph" w:styleId="af4">
    <w:name w:val="header"/>
    <w:basedOn w:val="a"/>
    <w:link w:val="af5"/>
    <w:rsid w:val="00F203F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F203F1"/>
    <w:rPr>
      <w:sz w:val="24"/>
    </w:rPr>
  </w:style>
  <w:style w:type="paragraph" w:styleId="af6">
    <w:name w:val="footer"/>
    <w:basedOn w:val="a"/>
    <w:link w:val="af7"/>
    <w:uiPriority w:val="99"/>
    <w:rsid w:val="00F203F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203F1"/>
    <w:rPr>
      <w:sz w:val="24"/>
    </w:rPr>
  </w:style>
  <w:style w:type="paragraph" w:customStyle="1" w:styleId="ConsPlusNormal">
    <w:name w:val="ConsPlusNormal"/>
    <w:link w:val="ConsPlusNormal0"/>
    <w:rsid w:val="00BE33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BE336C"/>
    <w:rPr>
      <w:rFonts w:ascii="Arial" w:hAnsi="Arial" w:cs="Arial"/>
    </w:rPr>
  </w:style>
  <w:style w:type="paragraph" w:customStyle="1" w:styleId="default0">
    <w:name w:val="default"/>
    <w:basedOn w:val="a"/>
    <w:uiPriority w:val="99"/>
    <w:rsid w:val="00145D40"/>
    <w:pPr>
      <w:widowControl/>
      <w:spacing w:before="100" w:beforeAutospacing="1" w:after="100" w:afterAutospacing="1"/>
    </w:pPr>
    <w:rPr>
      <w:rFonts w:eastAsia="Calibri"/>
      <w:szCs w:val="24"/>
    </w:rPr>
  </w:style>
  <w:style w:type="paragraph" w:styleId="af8">
    <w:name w:val="annotation subject"/>
    <w:basedOn w:val="ad"/>
    <w:next w:val="ad"/>
    <w:link w:val="af9"/>
    <w:rsid w:val="00A644B2"/>
    <w:pPr>
      <w:widowControl w:val="0"/>
    </w:pPr>
    <w:rPr>
      <w:b/>
      <w:bCs/>
    </w:rPr>
  </w:style>
  <w:style w:type="character" w:customStyle="1" w:styleId="af9">
    <w:name w:val="Тема примечания Знак"/>
    <w:basedOn w:val="ae"/>
    <w:link w:val="af8"/>
    <w:rsid w:val="00A644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2648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3846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2554">
          <w:marLeft w:val="446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730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4">
          <w:marLeft w:val="274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U@moex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1654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</vt:lpstr>
    </vt:vector>
  </TitlesOfParts>
  <Company>micex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</dc:title>
  <dc:creator>User</dc:creator>
  <cp:lastModifiedBy>Минакова Евгения Николаевна</cp:lastModifiedBy>
  <cp:revision>4</cp:revision>
  <cp:lastPrinted>2015-02-27T09:32:00Z</cp:lastPrinted>
  <dcterms:created xsi:type="dcterms:W3CDTF">2015-02-27T09:32:00Z</dcterms:created>
  <dcterms:modified xsi:type="dcterms:W3CDTF">2015-04-01T14:38:00Z</dcterms:modified>
</cp:coreProperties>
</file>