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813" w:rsidRPr="00E835CE" w:rsidRDefault="00736813" w:rsidP="00736813">
      <w:pPr>
        <w:jc w:val="both"/>
        <w:rPr>
          <w:b/>
          <w:sz w:val="22"/>
          <w:szCs w:val="22"/>
        </w:rPr>
      </w:pPr>
      <w:r>
        <w:rPr>
          <w:b/>
          <w:sz w:val="22"/>
          <w:szCs w:val="22"/>
        </w:rPr>
        <w:t>И</w:t>
      </w:r>
      <w:r w:rsidRPr="00317BB1">
        <w:rPr>
          <w:b/>
          <w:sz w:val="22"/>
          <w:szCs w:val="22"/>
        </w:rPr>
        <w:t>зменени</w:t>
      </w:r>
      <w:r>
        <w:rPr>
          <w:b/>
          <w:sz w:val="22"/>
          <w:szCs w:val="22"/>
        </w:rPr>
        <w:t>я</w:t>
      </w:r>
      <w:r w:rsidRPr="00317BB1">
        <w:rPr>
          <w:b/>
          <w:sz w:val="22"/>
          <w:szCs w:val="22"/>
        </w:rPr>
        <w:t xml:space="preserve"> и дополнени</w:t>
      </w:r>
      <w:r>
        <w:rPr>
          <w:b/>
          <w:sz w:val="22"/>
          <w:szCs w:val="22"/>
        </w:rPr>
        <w:t>я</w:t>
      </w:r>
      <w:r w:rsidRPr="00317BB1">
        <w:rPr>
          <w:b/>
          <w:sz w:val="22"/>
          <w:szCs w:val="22"/>
        </w:rPr>
        <w:t xml:space="preserve"> в</w:t>
      </w:r>
      <w:r w:rsidRPr="00E835CE">
        <w:rPr>
          <w:b/>
          <w:sz w:val="22"/>
          <w:szCs w:val="22"/>
        </w:rPr>
        <w:t xml:space="preserve"> Правила листинга Закрытого акционерного общества «Фондовая биржа ММВБ» (далее – Правила), утвержденные Советом директоров ЗАО «ФБ ММВБ» </w:t>
      </w:r>
      <w:r w:rsidRPr="00736813">
        <w:rPr>
          <w:b/>
          <w:sz w:val="22"/>
          <w:szCs w:val="22"/>
        </w:rPr>
        <w:t xml:space="preserve">27 </w:t>
      </w:r>
      <w:r>
        <w:rPr>
          <w:b/>
          <w:sz w:val="22"/>
          <w:szCs w:val="22"/>
        </w:rPr>
        <w:t>февраля 2015г.</w:t>
      </w:r>
      <w:r w:rsidRPr="00E835CE">
        <w:rPr>
          <w:b/>
          <w:sz w:val="22"/>
          <w:szCs w:val="22"/>
        </w:rPr>
        <w:t xml:space="preserve"> (Протокол № </w:t>
      </w:r>
      <w:r>
        <w:rPr>
          <w:b/>
          <w:sz w:val="22"/>
          <w:szCs w:val="22"/>
        </w:rPr>
        <w:t>13</w:t>
      </w:r>
      <w:r w:rsidRPr="00E835CE">
        <w:rPr>
          <w:b/>
          <w:sz w:val="22"/>
          <w:szCs w:val="22"/>
        </w:rPr>
        <w:t>).</w:t>
      </w:r>
    </w:p>
    <w:p w:rsidR="00BA727C" w:rsidRDefault="00BA727C" w:rsidP="00BA727C">
      <w:pPr>
        <w:tabs>
          <w:tab w:val="left" w:pos="851"/>
        </w:tabs>
        <w:ind w:firstLine="567"/>
        <w:jc w:val="both"/>
        <w:rPr>
          <w:sz w:val="22"/>
          <w:szCs w:val="22"/>
        </w:rPr>
      </w:pPr>
    </w:p>
    <w:p w:rsidR="00037131" w:rsidRPr="00980A89" w:rsidRDefault="00037131" w:rsidP="00037131">
      <w:pPr>
        <w:pStyle w:val="ac"/>
        <w:numPr>
          <w:ilvl w:val="0"/>
          <w:numId w:val="1"/>
        </w:numPr>
        <w:tabs>
          <w:tab w:val="left" w:pos="851"/>
          <w:tab w:val="left" w:pos="993"/>
        </w:tabs>
        <w:overflowPunct w:val="0"/>
        <w:autoSpaceDE w:val="0"/>
        <w:autoSpaceDN w:val="0"/>
        <w:adjustRightInd w:val="0"/>
        <w:spacing w:after="240"/>
        <w:ind w:left="0" w:firstLine="567"/>
        <w:jc w:val="both"/>
        <w:textAlignment w:val="baseline"/>
        <w:rPr>
          <w:rFonts w:ascii="Times New Roman" w:hAnsi="Times New Roman"/>
        </w:rPr>
      </w:pPr>
      <w:proofErr w:type="gramStart"/>
      <w:r w:rsidRPr="00980A89">
        <w:rPr>
          <w:rFonts w:ascii="Times New Roman" w:hAnsi="Times New Roman"/>
        </w:rPr>
        <w:t xml:space="preserve">В продолжение работы </w:t>
      </w:r>
      <w:r>
        <w:rPr>
          <w:rFonts w:ascii="Times New Roman" w:hAnsi="Times New Roman"/>
        </w:rPr>
        <w:t>Группы «</w:t>
      </w:r>
      <w:r w:rsidRPr="00980A89">
        <w:rPr>
          <w:rFonts w:ascii="Times New Roman" w:hAnsi="Times New Roman"/>
        </w:rPr>
        <w:t>Московск</w:t>
      </w:r>
      <w:r>
        <w:rPr>
          <w:rFonts w:ascii="Times New Roman" w:hAnsi="Times New Roman"/>
        </w:rPr>
        <w:t>ая</w:t>
      </w:r>
      <w:r w:rsidRPr="00980A89">
        <w:rPr>
          <w:rFonts w:ascii="Times New Roman" w:hAnsi="Times New Roman"/>
        </w:rPr>
        <w:t xml:space="preserve"> Бирж</w:t>
      </w:r>
      <w:r>
        <w:rPr>
          <w:rFonts w:ascii="Times New Roman" w:hAnsi="Times New Roman"/>
        </w:rPr>
        <w:t xml:space="preserve">а» </w:t>
      </w:r>
      <w:r w:rsidRPr="00980A89">
        <w:rPr>
          <w:rFonts w:ascii="Times New Roman" w:hAnsi="Times New Roman"/>
        </w:rPr>
        <w:t>по расширению видов финансовых инструментов, допускаемых к организованным торгам,</w:t>
      </w:r>
      <w:r w:rsidRPr="00980A89">
        <w:rPr>
          <w:rFonts w:ascii="Times New Roman" w:hAnsi="Times New Roman"/>
          <w:b/>
        </w:rPr>
        <w:t xml:space="preserve"> </w:t>
      </w:r>
      <w:r w:rsidRPr="00980A89">
        <w:rPr>
          <w:rFonts w:ascii="Times New Roman" w:hAnsi="Times New Roman"/>
        </w:rPr>
        <w:t xml:space="preserve">в Правилах </w:t>
      </w:r>
      <w:r w:rsidRPr="00980A89">
        <w:rPr>
          <w:rFonts w:ascii="Times New Roman" w:hAnsi="Times New Roman"/>
          <w:b/>
        </w:rPr>
        <w:t xml:space="preserve">вводится возможность включения </w:t>
      </w:r>
      <w:r w:rsidRPr="00980A89">
        <w:rPr>
          <w:rFonts w:ascii="Times New Roman" w:hAnsi="Times New Roman"/>
        </w:rPr>
        <w:t>в Список ценных бумаг, допущенных к торгам Биржи (далее Список)</w:t>
      </w:r>
      <w:r w:rsidRPr="00980A89">
        <w:rPr>
          <w:rFonts w:ascii="Times New Roman" w:hAnsi="Times New Roman"/>
          <w:b/>
        </w:rPr>
        <w:t xml:space="preserve"> российских депозитарных расписок, эмиссия которых осуществляется без государственной регистрации их выпуска и регистрации проспекта</w:t>
      </w:r>
      <w:r w:rsidRPr="00980A89">
        <w:rPr>
          <w:rFonts w:ascii="Times New Roman" w:hAnsi="Times New Roman"/>
        </w:rPr>
        <w:t>, при соблюдении условий, предусмотренных ст. 27.5-3.</w:t>
      </w:r>
      <w:proofErr w:type="gramEnd"/>
      <w:r w:rsidRPr="00980A89">
        <w:rPr>
          <w:rFonts w:ascii="Times New Roman" w:hAnsi="Times New Roman"/>
        </w:rPr>
        <w:t xml:space="preserve"> Федерального закона от 22.04.1996 № 39-ФЗ «О рынке ценных бумаг» (далее - </w:t>
      </w:r>
      <w:proofErr w:type="gramStart"/>
      <w:r w:rsidRPr="00980A89">
        <w:rPr>
          <w:rFonts w:ascii="Times New Roman" w:hAnsi="Times New Roman"/>
        </w:rPr>
        <w:t>биржевые</w:t>
      </w:r>
      <w:proofErr w:type="gramEnd"/>
      <w:r w:rsidRPr="00980A89">
        <w:rPr>
          <w:rFonts w:ascii="Times New Roman" w:hAnsi="Times New Roman"/>
        </w:rPr>
        <w:t xml:space="preserve"> РДР). </w:t>
      </w:r>
    </w:p>
    <w:p w:rsidR="00037131" w:rsidRPr="00980A89" w:rsidRDefault="00037131" w:rsidP="00037131">
      <w:pPr>
        <w:autoSpaceDE w:val="0"/>
        <w:autoSpaceDN w:val="0"/>
        <w:adjustRightInd w:val="0"/>
        <w:ind w:firstLine="567"/>
        <w:jc w:val="both"/>
        <w:outlineLvl w:val="0"/>
        <w:rPr>
          <w:rFonts w:eastAsia="Calibri"/>
          <w:sz w:val="22"/>
          <w:szCs w:val="22"/>
        </w:rPr>
      </w:pPr>
      <w:r w:rsidRPr="00980A89">
        <w:rPr>
          <w:rFonts w:eastAsia="Calibri"/>
          <w:sz w:val="22"/>
          <w:szCs w:val="22"/>
        </w:rPr>
        <w:t xml:space="preserve">Решение о включении в Список </w:t>
      </w:r>
      <w:proofErr w:type="gramStart"/>
      <w:r w:rsidRPr="00980A89">
        <w:rPr>
          <w:rFonts w:eastAsia="Calibri"/>
          <w:sz w:val="22"/>
          <w:szCs w:val="22"/>
        </w:rPr>
        <w:t>биржевых</w:t>
      </w:r>
      <w:proofErr w:type="gramEnd"/>
      <w:r w:rsidRPr="00980A89">
        <w:rPr>
          <w:rFonts w:eastAsia="Calibri"/>
          <w:sz w:val="22"/>
          <w:szCs w:val="22"/>
        </w:rPr>
        <w:t xml:space="preserve"> РДР принимается Биржей одновременно с решением о присвоении идентификационного номера выпуску биржевых РДР.</w:t>
      </w:r>
    </w:p>
    <w:p w:rsidR="00037131" w:rsidRPr="00980A89" w:rsidRDefault="00037131" w:rsidP="00037131">
      <w:pPr>
        <w:pStyle w:val="ac"/>
        <w:tabs>
          <w:tab w:val="left" w:pos="851"/>
          <w:tab w:val="left" w:pos="993"/>
        </w:tabs>
        <w:overflowPunct w:val="0"/>
        <w:autoSpaceDE w:val="0"/>
        <w:autoSpaceDN w:val="0"/>
        <w:adjustRightInd w:val="0"/>
        <w:ind w:left="567"/>
        <w:jc w:val="both"/>
        <w:textAlignment w:val="baseline"/>
        <w:rPr>
          <w:rFonts w:ascii="Times New Roman" w:hAnsi="Times New Roman"/>
        </w:rPr>
      </w:pPr>
    </w:p>
    <w:p w:rsidR="00037131" w:rsidRPr="00980A89" w:rsidRDefault="00037131" w:rsidP="00037131">
      <w:pPr>
        <w:pStyle w:val="ac"/>
        <w:tabs>
          <w:tab w:val="left" w:pos="851"/>
          <w:tab w:val="left" w:pos="993"/>
        </w:tabs>
        <w:overflowPunct w:val="0"/>
        <w:autoSpaceDE w:val="0"/>
        <w:autoSpaceDN w:val="0"/>
        <w:adjustRightInd w:val="0"/>
        <w:ind w:left="567"/>
        <w:jc w:val="both"/>
        <w:textAlignment w:val="baseline"/>
        <w:rPr>
          <w:rFonts w:ascii="Times New Roman" w:hAnsi="Times New Roman"/>
        </w:rPr>
      </w:pPr>
      <w:r w:rsidRPr="00980A89">
        <w:rPr>
          <w:rFonts w:ascii="Times New Roman" w:hAnsi="Times New Roman"/>
        </w:rPr>
        <w:t xml:space="preserve">Базовыми требованиями для включения </w:t>
      </w:r>
      <w:proofErr w:type="gramStart"/>
      <w:r w:rsidRPr="00980A89">
        <w:rPr>
          <w:rFonts w:ascii="Times New Roman" w:hAnsi="Times New Roman"/>
        </w:rPr>
        <w:t>биржевых</w:t>
      </w:r>
      <w:proofErr w:type="gramEnd"/>
      <w:r w:rsidRPr="00980A89">
        <w:rPr>
          <w:rFonts w:ascii="Times New Roman" w:hAnsi="Times New Roman"/>
        </w:rPr>
        <w:t xml:space="preserve"> РДР являются:</w:t>
      </w:r>
    </w:p>
    <w:p w:rsidR="00037131" w:rsidRPr="00980A89" w:rsidRDefault="00037131" w:rsidP="00037131">
      <w:pPr>
        <w:pStyle w:val="ac"/>
        <w:widowControl w:val="0"/>
        <w:numPr>
          <w:ilvl w:val="0"/>
          <w:numId w:val="19"/>
        </w:numPr>
        <w:overflowPunct w:val="0"/>
        <w:autoSpaceDE w:val="0"/>
        <w:autoSpaceDN w:val="0"/>
        <w:adjustRightInd w:val="0"/>
        <w:ind w:left="993" w:hanging="426"/>
        <w:contextualSpacing/>
        <w:jc w:val="both"/>
        <w:textAlignment w:val="baseline"/>
        <w:rPr>
          <w:rFonts w:ascii="Times New Roman" w:eastAsia="Times New Roman" w:hAnsi="Times New Roman"/>
        </w:rPr>
      </w:pPr>
      <w:r w:rsidRPr="00980A89">
        <w:rPr>
          <w:rFonts w:ascii="Times New Roman" w:eastAsia="Times New Roman" w:hAnsi="Times New Roman"/>
        </w:rPr>
        <w:t xml:space="preserve">соответствие </w:t>
      </w:r>
      <w:proofErr w:type="gramStart"/>
      <w:r w:rsidRPr="00980A89">
        <w:rPr>
          <w:rFonts w:ascii="Times New Roman" w:eastAsia="Times New Roman" w:hAnsi="Times New Roman"/>
        </w:rPr>
        <w:t>биржевых</w:t>
      </w:r>
      <w:proofErr w:type="gramEnd"/>
      <w:r w:rsidRPr="00980A89">
        <w:rPr>
          <w:rFonts w:ascii="Times New Roman" w:eastAsia="Times New Roman" w:hAnsi="Times New Roman"/>
        </w:rPr>
        <w:t xml:space="preserve"> РДР требованиям законодательства Российской Федерации; </w:t>
      </w:r>
    </w:p>
    <w:p w:rsidR="00037131" w:rsidRPr="00980A89" w:rsidRDefault="00037131" w:rsidP="00037131">
      <w:pPr>
        <w:pStyle w:val="ac"/>
        <w:widowControl w:val="0"/>
        <w:numPr>
          <w:ilvl w:val="0"/>
          <w:numId w:val="19"/>
        </w:numPr>
        <w:overflowPunct w:val="0"/>
        <w:autoSpaceDE w:val="0"/>
        <w:autoSpaceDN w:val="0"/>
        <w:adjustRightInd w:val="0"/>
        <w:ind w:left="993" w:hanging="426"/>
        <w:contextualSpacing/>
        <w:jc w:val="both"/>
        <w:textAlignment w:val="baseline"/>
        <w:rPr>
          <w:rFonts w:ascii="Times New Roman" w:eastAsia="Times New Roman" w:hAnsi="Times New Roman"/>
        </w:rPr>
      </w:pPr>
      <w:r w:rsidRPr="00980A89">
        <w:rPr>
          <w:rFonts w:ascii="Times New Roman" w:eastAsia="Times New Roman" w:hAnsi="Times New Roman"/>
        </w:rPr>
        <w:t>представление эмитентом соответствующих требованиям законодательства Российской Федерации документов, предусмотренных нормативными актами и Правилами;</w:t>
      </w:r>
    </w:p>
    <w:p w:rsidR="00037131" w:rsidRPr="00980A89" w:rsidRDefault="00037131" w:rsidP="00037131">
      <w:pPr>
        <w:pStyle w:val="ac"/>
        <w:numPr>
          <w:ilvl w:val="0"/>
          <w:numId w:val="19"/>
        </w:numPr>
        <w:tabs>
          <w:tab w:val="left" w:pos="1021"/>
        </w:tabs>
        <w:overflowPunct w:val="0"/>
        <w:autoSpaceDE w:val="0"/>
        <w:autoSpaceDN w:val="0"/>
        <w:adjustRightInd w:val="0"/>
        <w:spacing w:before="240"/>
        <w:ind w:left="993" w:hanging="426"/>
        <w:contextualSpacing/>
        <w:jc w:val="both"/>
        <w:textAlignment w:val="baseline"/>
        <w:rPr>
          <w:rFonts w:ascii="Times New Roman" w:eastAsia="Times New Roman" w:hAnsi="Times New Roman"/>
        </w:rPr>
      </w:pPr>
      <w:r w:rsidRPr="00980A89">
        <w:rPr>
          <w:rFonts w:ascii="Times New Roman" w:eastAsia="Times New Roman" w:hAnsi="Times New Roman"/>
        </w:rPr>
        <w:t xml:space="preserve">принятие эмитентом  обязанности раскрывать информацию в соответствии с правилами (требованиями) Биржи в случае, если для публичного обращения ценных бумаг не требуется представление Бирже проспекта российских депозитарных расписок либо осуществления раскрытия информации в соответствии с требованиями </w:t>
      </w:r>
      <w:hyperlink r:id="rId8" w:history="1">
        <w:r w:rsidRPr="00980A89">
          <w:rPr>
            <w:rFonts w:ascii="Times New Roman" w:eastAsia="Times New Roman" w:hAnsi="Times New Roman"/>
          </w:rPr>
          <w:t>законодательства</w:t>
        </w:r>
      </w:hyperlink>
      <w:r w:rsidRPr="00980A89">
        <w:rPr>
          <w:rFonts w:ascii="Times New Roman" w:eastAsia="Times New Roman" w:hAnsi="Times New Roman"/>
        </w:rPr>
        <w:t xml:space="preserve"> Российской Федерации о ценных бумагах, в том числе нормативных актов в сфере финансовых рынков.</w:t>
      </w:r>
    </w:p>
    <w:p w:rsidR="00037131" w:rsidRPr="00980A89" w:rsidRDefault="00037131" w:rsidP="00037131">
      <w:pPr>
        <w:widowControl/>
        <w:autoSpaceDE w:val="0"/>
        <w:autoSpaceDN w:val="0"/>
        <w:adjustRightInd w:val="0"/>
        <w:ind w:firstLine="540"/>
        <w:jc w:val="both"/>
        <w:outlineLvl w:val="0"/>
        <w:rPr>
          <w:sz w:val="22"/>
          <w:szCs w:val="22"/>
        </w:rPr>
      </w:pPr>
    </w:p>
    <w:p w:rsidR="00037131" w:rsidRPr="00980A89" w:rsidRDefault="00037131" w:rsidP="00037131">
      <w:pPr>
        <w:widowControl/>
        <w:autoSpaceDE w:val="0"/>
        <w:autoSpaceDN w:val="0"/>
        <w:adjustRightInd w:val="0"/>
        <w:ind w:firstLine="540"/>
        <w:jc w:val="both"/>
        <w:outlineLvl w:val="0"/>
        <w:rPr>
          <w:sz w:val="22"/>
          <w:szCs w:val="22"/>
        </w:rPr>
      </w:pPr>
      <w:r w:rsidRPr="00980A89">
        <w:rPr>
          <w:sz w:val="22"/>
          <w:szCs w:val="22"/>
        </w:rPr>
        <w:t>Правилами также предусмотрена процедура внесения изменений в решение о выпуске биржевых российских депозитарных расписок и/или проспект биржевых российских депозитарных расписок в отношении биржевых РДР.</w:t>
      </w:r>
    </w:p>
    <w:p w:rsidR="00037131" w:rsidRPr="00980A89" w:rsidRDefault="00037131" w:rsidP="00037131">
      <w:pPr>
        <w:widowControl/>
        <w:autoSpaceDE w:val="0"/>
        <w:autoSpaceDN w:val="0"/>
        <w:adjustRightInd w:val="0"/>
        <w:ind w:firstLine="540"/>
        <w:jc w:val="both"/>
        <w:outlineLvl w:val="0"/>
        <w:rPr>
          <w:sz w:val="22"/>
          <w:szCs w:val="22"/>
        </w:rPr>
      </w:pPr>
    </w:p>
    <w:p w:rsidR="00037131" w:rsidRPr="00980A89" w:rsidRDefault="00037131" w:rsidP="00037131">
      <w:pPr>
        <w:pStyle w:val="ac"/>
        <w:numPr>
          <w:ilvl w:val="0"/>
          <w:numId w:val="1"/>
        </w:numPr>
        <w:tabs>
          <w:tab w:val="left" w:pos="851"/>
          <w:tab w:val="left" w:pos="993"/>
        </w:tabs>
        <w:overflowPunct w:val="0"/>
        <w:autoSpaceDE w:val="0"/>
        <w:autoSpaceDN w:val="0"/>
        <w:adjustRightInd w:val="0"/>
        <w:spacing w:after="240"/>
        <w:ind w:left="0" w:firstLine="567"/>
        <w:jc w:val="both"/>
        <w:textAlignment w:val="baseline"/>
        <w:rPr>
          <w:rFonts w:ascii="Times New Roman" w:hAnsi="Times New Roman"/>
        </w:rPr>
      </w:pPr>
      <w:r w:rsidRPr="00980A89">
        <w:rPr>
          <w:rFonts w:ascii="Times New Roman" w:hAnsi="Times New Roman"/>
          <w:b/>
        </w:rPr>
        <w:t>В Правила внесены изменения, предусматривающие усиление требований листинга к ценным бумагам: акциям; ипотечным сертификатам участия (далее – ИСУ); облигациям, в том числе облигациям эмитентов-концессионеров</w:t>
      </w:r>
      <w:r w:rsidRPr="00980A89">
        <w:rPr>
          <w:rFonts w:ascii="Times New Roman" w:hAnsi="Times New Roman"/>
        </w:rPr>
        <w:t>. Концепция по усилению требований листинга ценных бумаг обсуждалась на комитетах пользователей Биржи: Комитетом по рынку коллективных инвестиций (30.06.2015), Комитетом по ценным бумагам с фиксированным доходом (22.07.2015), Комитетом эмитентов облигаций (22.07.2015), Комитетом по первичному рынку акций (23.07.2015), Комитетом эмитентов акций (24.07.2015), Комитетом по фондовому рынку (27.07.2015).</w:t>
      </w:r>
    </w:p>
    <w:p w:rsidR="00037131" w:rsidRPr="00980A89" w:rsidRDefault="00037131" w:rsidP="00037131">
      <w:pPr>
        <w:tabs>
          <w:tab w:val="left" w:pos="-5103"/>
          <w:tab w:val="left" w:pos="-4820"/>
        </w:tabs>
        <w:overflowPunct w:val="0"/>
        <w:autoSpaceDE w:val="0"/>
        <w:autoSpaceDN w:val="0"/>
        <w:adjustRightInd w:val="0"/>
        <w:ind w:firstLine="567"/>
        <w:jc w:val="both"/>
        <w:textAlignment w:val="baseline"/>
        <w:rPr>
          <w:rFonts w:eastAsia="Calibri"/>
          <w:sz w:val="22"/>
          <w:szCs w:val="22"/>
        </w:rPr>
      </w:pPr>
      <w:r w:rsidRPr="00980A89">
        <w:rPr>
          <w:rFonts w:eastAsia="Calibri"/>
          <w:sz w:val="22"/>
          <w:szCs w:val="22"/>
        </w:rPr>
        <w:t xml:space="preserve">2.1. </w:t>
      </w:r>
      <w:r w:rsidRPr="00980A89">
        <w:rPr>
          <w:rFonts w:eastAsia="Calibri"/>
          <w:b/>
          <w:sz w:val="22"/>
          <w:szCs w:val="22"/>
        </w:rPr>
        <w:t>В отношении акций, включенных (включаемых) в Первый уровень, вводятся следующие требования для поддержания</w:t>
      </w:r>
      <w:r w:rsidRPr="00980A89">
        <w:rPr>
          <w:rFonts w:eastAsia="Calibri"/>
          <w:sz w:val="22"/>
          <w:szCs w:val="22"/>
        </w:rPr>
        <w:t>:</w:t>
      </w:r>
    </w:p>
    <w:p w:rsidR="00037131" w:rsidRPr="00980A89" w:rsidRDefault="00037131" w:rsidP="00037131">
      <w:pPr>
        <w:pStyle w:val="ac"/>
        <w:tabs>
          <w:tab w:val="left" w:pos="-5103"/>
        </w:tabs>
        <w:overflowPunct w:val="0"/>
        <w:autoSpaceDE w:val="0"/>
        <w:autoSpaceDN w:val="0"/>
        <w:adjustRightInd w:val="0"/>
        <w:ind w:left="0" w:firstLine="567"/>
        <w:jc w:val="both"/>
        <w:textAlignment w:val="baseline"/>
        <w:rPr>
          <w:rFonts w:ascii="Times New Roman" w:hAnsi="Times New Roman"/>
        </w:rPr>
      </w:pPr>
      <w:proofErr w:type="gramStart"/>
      <w:r w:rsidRPr="00980A89">
        <w:rPr>
          <w:rFonts w:ascii="Times New Roman" w:hAnsi="Times New Roman"/>
        </w:rPr>
        <w:t>1) размер дневного медианного объема сделок за каждый календарный квартал должен составлять не менее 1 млн. руб., при этом количество торговых дней, в которые совершались сделки, должно составлять</w:t>
      </w:r>
      <w:r>
        <w:rPr>
          <w:rFonts w:ascii="Times New Roman" w:hAnsi="Times New Roman"/>
        </w:rPr>
        <w:t>:</w:t>
      </w:r>
      <w:r w:rsidRPr="00980A89">
        <w:rPr>
          <w:rFonts w:ascii="Times New Roman" w:hAnsi="Times New Roman"/>
        </w:rPr>
        <w:t xml:space="preserve"> не менее 70% от количества всех торговых дней в соответствующем квартале (требование не применяется, если заключены договоры об оказании услуг </w:t>
      </w:r>
      <w:proofErr w:type="spellStart"/>
      <w:r w:rsidRPr="00980A89">
        <w:rPr>
          <w:rFonts w:ascii="Times New Roman" w:hAnsi="Times New Roman"/>
        </w:rPr>
        <w:t>маркет-мейкера</w:t>
      </w:r>
      <w:proofErr w:type="spellEnd"/>
      <w:r w:rsidRPr="00980A89">
        <w:rPr>
          <w:rFonts w:ascii="Times New Roman" w:hAnsi="Times New Roman"/>
        </w:rPr>
        <w:t xml:space="preserve">, и выполняются обязательства </w:t>
      </w:r>
      <w:proofErr w:type="spellStart"/>
      <w:r w:rsidRPr="00980A89">
        <w:rPr>
          <w:rFonts w:ascii="Times New Roman" w:hAnsi="Times New Roman"/>
        </w:rPr>
        <w:t>маркет-мейкера</w:t>
      </w:r>
      <w:proofErr w:type="spellEnd"/>
      <w:r w:rsidRPr="00980A89">
        <w:rPr>
          <w:rFonts w:ascii="Times New Roman" w:hAnsi="Times New Roman"/>
        </w:rPr>
        <w:t xml:space="preserve"> по таким договорам).</w:t>
      </w:r>
      <w:proofErr w:type="gramEnd"/>
    </w:p>
    <w:p w:rsidR="00037131" w:rsidRPr="00980A89" w:rsidRDefault="00037131" w:rsidP="00037131">
      <w:pPr>
        <w:pStyle w:val="ac"/>
        <w:tabs>
          <w:tab w:val="left" w:pos="-5103"/>
        </w:tabs>
        <w:overflowPunct w:val="0"/>
        <w:autoSpaceDE w:val="0"/>
        <w:autoSpaceDN w:val="0"/>
        <w:adjustRightInd w:val="0"/>
        <w:ind w:left="0" w:firstLine="567"/>
        <w:jc w:val="both"/>
        <w:textAlignment w:val="baseline"/>
        <w:rPr>
          <w:rFonts w:ascii="Times New Roman" w:hAnsi="Times New Roman"/>
        </w:rPr>
      </w:pPr>
      <w:r w:rsidRPr="00980A89">
        <w:rPr>
          <w:rFonts w:ascii="Times New Roman" w:hAnsi="Times New Roman"/>
        </w:rPr>
        <w:t xml:space="preserve">2) наличие 2 договоров об оказании услуг </w:t>
      </w:r>
      <w:proofErr w:type="spellStart"/>
      <w:r w:rsidRPr="00980A89">
        <w:rPr>
          <w:rFonts w:ascii="Times New Roman" w:hAnsi="Times New Roman"/>
        </w:rPr>
        <w:t>маркет-мейкера</w:t>
      </w:r>
      <w:proofErr w:type="spellEnd"/>
      <w:r w:rsidRPr="00980A89">
        <w:rPr>
          <w:rFonts w:ascii="Times New Roman" w:hAnsi="Times New Roman"/>
        </w:rPr>
        <w:t xml:space="preserve">, заключенных между Организацией, </w:t>
      </w:r>
      <w:proofErr w:type="spellStart"/>
      <w:r w:rsidRPr="00980A89">
        <w:rPr>
          <w:rFonts w:ascii="Times New Roman" w:hAnsi="Times New Roman"/>
        </w:rPr>
        <w:t>маркет-мейкерами</w:t>
      </w:r>
      <w:proofErr w:type="spellEnd"/>
      <w:r w:rsidRPr="00980A89">
        <w:rPr>
          <w:rFonts w:ascii="Times New Roman" w:hAnsi="Times New Roman"/>
        </w:rPr>
        <w:t xml:space="preserve"> и Биржей, содержащих условия выполнения обязательств </w:t>
      </w:r>
      <w:proofErr w:type="spellStart"/>
      <w:r w:rsidRPr="00980A89">
        <w:rPr>
          <w:rFonts w:ascii="Times New Roman" w:hAnsi="Times New Roman"/>
        </w:rPr>
        <w:t>маркет-мейкера</w:t>
      </w:r>
      <w:proofErr w:type="spellEnd"/>
      <w:r w:rsidRPr="00980A89">
        <w:rPr>
          <w:rFonts w:ascii="Times New Roman" w:hAnsi="Times New Roman"/>
        </w:rPr>
        <w:t>, согласованные с Биржей (требование не применяется, если дневной медианный объем сделок за каждый календарный квартал более 1 млн. руб.).</w:t>
      </w:r>
    </w:p>
    <w:p w:rsidR="00037131" w:rsidRPr="00980A89" w:rsidRDefault="00037131" w:rsidP="00037131">
      <w:pPr>
        <w:pStyle w:val="ac"/>
        <w:tabs>
          <w:tab w:val="left" w:pos="-5103"/>
        </w:tabs>
        <w:overflowPunct w:val="0"/>
        <w:autoSpaceDE w:val="0"/>
        <w:autoSpaceDN w:val="0"/>
        <w:adjustRightInd w:val="0"/>
        <w:ind w:left="0" w:firstLine="567"/>
        <w:jc w:val="both"/>
        <w:textAlignment w:val="baseline"/>
        <w:rPr>
          <w:rFonts w:ascii="Times New Roman" w:hAnsi="Times New Roman"/>
        </w:rPr>
      </w:pPr>
      <w:r w:rsidRPr="00980A89">
        <w:rPr>
          <w:rFonts w:ascii="Times New Roman" w:hAnsi="Times New Roman"/>
        </w:rPr>
        <w:t>Также устанавливаются особенности при поддержании акций по вышеуказанным требованиям, в том числе:</w:t>
      </w:r>
    </w:p>
    <w:p w:rsidR="00037131" w:rsidRPr="00980A89" w:rsidRDefault="00037131" w:rsidP="00037131">
      <w:pPr>
        <w:pStyle w:val="ac"/>
        <w:tabs>
          <w:tab w:val="left" w:pos="-5103"/>
        </w:tabs>
        <w:overflowPunct w:val="0"/>
        <w:autoSpaceDE w:val="0"/>
        <w:autoSpaceDN w:val="0"/>
        <w:adjustRightInd w:val="0"/>
        <w:ind w:left="0" w:firstLine="567"/>
        <w:jc w:val="both"/>
        <w:textAlignment w:val="baseline"/>
        <w:rPr>
          <w:rFonts w:ascii="Times New Roman" w:hAnsi="Times New Roman"/>
        </w:rPr>
      </w:pPr>
      <w:r w:rsidRPr="00980A89">
        <w:rPr>
          <w:rFonts w:ascii="Times New Roman" w:hAnsi="Times New Roman"/>
        </w:rPr>
        <w:t xml:space="preserve">- устанавливается возможность устранения эмитентом нарушения указанных </w:t>
      </w:r>
      <w:proofErr w:type="gramStart"/>
      <w:r w:rsidRPr="00980A89">
        <w:rPr>
          <w:rFonts w:ascii="Times New Roman" w:hAnsi="Times New Roman"/>
        </w:rPr>
        <w:t>требований</w:t>
      </w:r>
      <w:proofErr w:type="gramEnd"/>
      <w:r w:rsidRPr="00980A89">
        <w:rPr>
          <w:rFonts w:ascii="Times New Roman" w:hAnsi="Times New Roman"/>
        </w:rPr>
        <w:t xml:space="preserve"> в рамках установленного Биржей срока,</w:t>
      </w:r>
    </w:p>
    <w:p w:rsidR="00037131" w:rsidRPr="00980A89" w:rsidRDefault="00037131" w:rsidP="00037131">
      <w:pPr>
        <w:ind w:right="142" w:firstLine="426"/>
        <w:jc w:val="both"/>
        <w:rPr>
          <w:rFonts w:eastAsia="Calibri"/>
          <w:sz w:val="22"/>
          <w:szCs w:val="22"/>
        </w:rPr>
      </w:pPr>
      <w:r w:rsidRPr="00980A89">
        <w:rPr>
          <w:rFonts w:eastAsia="Calibri"/>
          <w:sz w:val="22"/>
          <w:szCs w:val="22"/>
        </w:rPr>
        <w:t xml:space="preserve">- предусматривается право Биржи при </w:t>
      </w:r>
      <w:proofErr w:type="spellStart"/>
      <w:r w:rsidRPr="00980A89">
        <w:rPr>
          <w:rFonts w:eastAsia="Calibri"/>
          <w:sz w:val="22"/>
          <w:szCs w:val="22"/>
        </w:rPr>
        <w:t>неустранении</w:t>
      </w:r>
      <w:proofErr w:type="spellEnd"/>
      <w:r w:rsidRPr="00980A89">
        <w:rPr>
          <w:rFonts w:eastAsia="Calibri"/>
          <w:sz w:val="22"/>
          <w:szCs w:val="22"/>
        </w:rPr>
        <w:t xml:space="preserve"> допущенного нарушения</w:t>
      </w:r>
      <w:r>
        <w:rPr>
          <w:rFonts w:eastAsia="Calibri"/>
          <w:sz w:val="22"/>
          <w:szCs w:val="22"/>
        </w:rPr>
        <w:t>,</w:t>
      </w:r>
      <w:r w:rsidRPr="00980A89">
        <w:rPr>
          <w:rFonts w:eastAsia="Calibri"/>
          <w:sz w:val="22"/>
          <w:szCs w:val="22"/>
        </w:rPr>
        <w:t xml:space="preserve"> с учетом существенности и систематичности нарушения</w:t>
      </w:r>
      <w:r>
        <w:rPr>
          <w:rFonts w:eastAsia="Calibri"/>
          <w:sz w:val="22"/>
          <w:szCs w:val="22"/>
        </w:rPr>
        <w:t>,</w:t>
      </w:r>
      <w:r w:rsidRPr="00980A89">
        <w:rPr>
          <w:rFonts w:eastAsia="Calibri"/>
          <w:sz w:val="22"/>
          <w:szCs w:val="22"/>
        </w:rPr>
        <w:t xml:space="preserve"> обратиться в Комитет по фондовому рынку для получения экспертного мнения по вопросу не исключения таких акций из Первого уровня.</w:t>
      </w:r>
    </w:p>
    <w:p w:rsidR="00037131" w:rsidRPr="00980A89" w:rsidRDefault="00037131" w:rsidP="00037131">
      <w:pPr>
        <w:tabs>
          <w:tab w:val="left" w:pos="-4820"/>
          <w:tab w:val="left" w:pos="567"/>
          <w:tab w:val="left" w:pos="851"/>
        </w:tabs>
        <w:overflowPunct w:val="0"/>
        <w:autoSpaceDE w:val="0"/>
        <w:autoSpaceDN w:val="0"/>
        <w:adjustRightInd w:val="0"/>
        <w:ind w:left="567"/>
        <w:jc w:val="both"/>
        <w:textAlignment w:val="baseline"/>
        <w:rPr>
          <w:rFonts w:eastAsia="Calibri"/>
          <w:sz w:val="22"/>
          <w:szCs w:val="22"/>
        </w:rPr>
      </w:pPr>
    </w:p>
    <w:p w:rsidR="00037131" w:rsidRPr="00980A89" w:rsidRDefault="00037131" w:rsidP="00037131">
      <w:pPr>
        <w:tabs>
          <w:tab w:val="left" w:pos="-5103"/>
          <w:tab w:val="left" w:pos="-4820"/>
        </w:tabs>
        <w:overflowPunct w:val="0"/>
        <w:autoSpaceDE w:val="0"/>
        <w:autoSpaceDN w:val="0"/>
        <w:adjustRightInd w:val="0"/>
        <w:ind w:firstLine="567"/>
        <w:jc w:val="both"/>
        <w:textAlignment w:val="baseline"/>
        <w:rPr>
          <w:rFonts w:eastAsia="Calibri"/>
          <w:sz w:val="22"/>
          <w:szCs w:val="22"/>
        </w:rPr>
      </w:pPr>
      <w:r w:rsidRPr="00980A89">
        <w:rPr>
          <w:rFonts w:eastAsia="Calibri"/>
          <w:sz w:val="22"/>
          <w:szCs w:val="22"/>
        </w:rPr>
        <w:t xml:space="preserve">2.2. </w:t>
      </w:r>
      <w:r w:rsidRPr="00980A89">
        <w:rPr>
          <w:rFonts w:eastAsia="Calibri"/>
          <w:b/>
          <w:sz w:val="22"/>
          <w:szCs w:val="22"/>
        </w:rPr>
        <w:t>В отношении облигаций, включенных (включаемых) во Второй и Третий уровни, вводятся следующие требования для включения</w:t>
      </w:r>
      <w:r w:rsidRPr="00980A89">
        <w:rPr>
          <w:rFonts w:eastAsia="Calibri"/>
          <w:sz w:val="22"/>
          <w:szCs w:val="22"/>
        </w:rPr>
        <w:t>:</w:t>
      </w:r>
    </w:p>
    <w:p w:rsidR="00037131" w:rsidRPr="00980A89" w:rsidRDefault="00037131" w:rsidP="00037131">
      <w:pPr>
        <w:pStyle w:val="ac"/>
        <w:tabs>
          <w:tab w:val="left" w:pos="-4962"/>
        </w:tabs>
        <w:autoSpaceDE w:val="0"/>
        <w:autoSpaceDN w:val="0"/>
        <w:adjustRightInd w:val="0"/>
        <w:ind w:left="0" w:right="142" w:firstLine="567"/>
        <w:contextualSpacing/>
        <w:jc w:val="both"/>
        <w:rPr>
          <w:rFonts w:ascii="Times New Roman" w:hAnsi="Times New Roman"/>
        </w:rPr>
      </w:pPr>
      <w:r w:rsidRPr="00980A89">
        <w:rPr>
          <w:rFonts w:ascii="Times New Roman" w:hAnsi="Times New Roman"/>
        </w:rPr>
        <w:t>1) российским эмитентом облигаций, выпускаемых без обеспечения, в том числе биржевы</w:t>
      </w:r>
      <w:r>
        <w:rPr>
          <w:rFonts w:ascii="Times New Roman" w:hAnsi="Times New Roman"/>
        </w:rPr>
        <w:t>х</w:t>
      </w:r>
      <w:r w:rsidRPr="00980A89">
        <w:rPr>
          <w:rFonts w:ascii="Times New Roman" w:hAnsi="Times New Roman"/>
        </w:rPr>
        <w:t xml:space="preserve"> облигаци</w:t>
      </w:r>
      <w:r>
        <w:rPr>
          <w:rFonts w:ascii="Times New Roman" w:hAnsi="Times New Roman"/>
        </w:rPr>
        <w:t>й</w:t>
      </w:r>
      <w:r w:rsidRPr="00980A89">
        <w:rPr>
          <w:rFonts w:ascii="Times New Roman" w:hAnsi="Times New Roman"/>
        </w:rPr>
        <w:t>, должен быть определен представитель владельцев облигаций</w:t>
      </w:r>
      <w:r>
        <w:rPr>
          <w:rFonts w:ascii="Times New Roman" w:hAnsi="Times New Roman"/>
        </w:rPr>
        <w:t xml:space="preserve">. Данное требование не </w:t>
      </w:r>
      <w:r>
        <w:rPr>
          <w:rFonts w:ascii="Times New Roman" w:hAnsi="Times New Roman"/>
        </w:rPr>
        <w:lastRenderedPageBreak/>
        <w:t>распространяется на следующие категории эмитентов</w:t>
      </w:r>
      <w:r w:rsidRPr="00980A89">
        <w:rPr>
          <w:rFonts w:ascii="Times New Roman" w:hAnsi="Times New Roman"/>
        </w:rPr>
        <w:t>: эмитентов – кредитных организаций; эмитентов, акции которых включены в Первый уровень</w:t>
      </w:r>
      <w:r>
        <w:rPr>
          <w:rFonts w:ascii="Times New Roman" w:hAnsi="Times New Roman"/>
        </w:rPr>
        <w:t>,</w:t>
      </w:r>
      <w:r w:rsidRPr="00980A89">
        <w:rPr>
          <w:rFonts w:ascii="Times New Roman" w:hAnsi="Times New Roman"/>
        </w:rPr>
        <w:t xml:space="preserve"> или эмитентов, находящихся под прямым или косвенным контролем таких обществ; эмитентов и (или) облигаций, имеющих кредитный рейтинг от международных рейтинговых агентств</w:t>
      </w:r>
      <w:r>
        <w:rPr>
          <w:rFonts w:ascii="Times New Roman" w:hAnsi="Times New Roman"/>
        </w:rPr>
        <w:t xml:space="preserve"> не ниже требуемого уровня</w:t>
      </w:r>
      <w:r w:rsidRPr="00980A89">
        <w:rPr>
          <w:rFonts w:ascii="Times New Roman" w:hAnsi="Times New Roman"/>
        </w:rPr>
        <w:t xml:space="preserve">; эмитентов - государственных </w:t>
      </w:r>
      <w:hyperlink r:id="rId9" w:history="1">
        <w:r w:rsidRPr="00980A89">
          <w:rPr>
            <w:rFonts w:ascii="Times New Roman" w:hAnsi="Times New Roman"/>
          </w:rPr>
          <w:t>корпораций</w:t>
        </w:r>
      </w:hyperlink>
      <w:r w:rsidRPr="00980A89">
        <w:rPr>
          <w:rFonts w:ascii="Times New Roman" w:hAnsi="Times New Roman"/>
        </w:rPr>
        <w:t xml:space="preserve"> или государственных компаний; а также эмитентов, находящихся под прямым или косвенным контролем указанных эмитентов и др.</w:t>
      </w:r>
    </w:p>
    <w:p w:rsidR="00037131" w:rsidRPr="00980A89" w:rsidRDefault="00037131" w:rsidP="00037131">
      <w:pPr>
        <w:pStyle w:val="ac"/>
        <w:tabs>
          <w:tab w:val="left" w:pos="-4962"/>
        </w:tabs>
        <w:autoSpaceDE w:val="0"/>
        <w:autoSpaceDN w:val="0"/>
        <w:adjustRightInd w:val="0"/>
        <w:ind w:left="0" w:right="142" w:firstLine="567"/>
        <w:contextualSpacing/>
        <w:jc w:val="both"/>
        <w:rPr>
          <w:rFonts w:ascii="Times New Roman" w:hAnsi="Times New Roman"/>
        </w:rPr>
      </w:pPr>
    </w:p>
    <w:p w:rsidR="00037131" w:rsidRPr="00980A89" w:rsidRDefault="00037131" w:rsidP="00037131">
      <w:pPr>
        <w:tabs>
          <w:tab w:val="left" w:pos="-5103"/>
          <w:tab w:val="left" w:pos="-4962"/>
          <w:tab w:val="left" w:pos="-4820"/>
        </w:tabs>
        <w:overflowPunct w:val="0"/>
        <w:autoSpaceDE w:val="0"/>
        <w:autoSpaceDN w:val="0"/>
        <w:adjustRightInd w:val="0"/>
        <w:ind w:firstLine="567"/>
        <w:jc w:val="both"/>
        <w:textAlignment w:val="baseline"/>
        <w:rPr>
          <w:rFonts w:eastAsia="Calibri"/>
          <w:sz w:val="22"/>
          <w:szCs w:val="22"/>
        </w:rPr>
      </w:pPr>
      <w:r w:rsidRPr="00980A89">
        <w:rPr>
          <w:rFonts w:eastAsia="Calibri"/>
          <w:sz w:val="22"/>
          <w:szCs w:val="22"/>
        </w:rPr>
        <w:t xml:space="preserve">2.3. </w:t>
      </w:r>
      <w:r w:rsidRPr="00980A89">
        <w:rPr>
          <w:rFonts w:eastAsia="Calibri"/>
          <w:b/>
          <w:sz w:val="22"/>
          <w:szCs w:val="22"/>
        </w:rPr>
        <w:t>Вводятся дополнительные требования по раскрытию информации эмитентами-концессионерами</w:t>
      </w:r>
      <w:r w:rsidRPr="00980A89">
        <w:rPr>
          <w:rFonts w:eastAsia="Calibri"/>
          <w:sz w:val="22"/>
          <w:szCs w:val="22"/>
        </w:rPr>
        <w:t>, в частности, при включении новых облигаций эмитент-концессионер должен принять на себя обязательств</w:t>
      </w:r>
      <w:r>
        <w:rPr>
          <w:rFonts w:eastAsia="Calibri"/>
          <w:sz w:val="22"/>
          <w:szCs w:val="22"/>
        </w:rPr>
        <w:t>о</w:t>
      </w:r>
      <w:r w:rsidRPr="00980A89">
        <w:rPr>
          <w:rFonts w:eastAsia="Calibri"/>
          <w:sz w:val="22"/>
          <w:szCs w:val="22"/>
        </w:rPr>
        <w:t xml:space="preserve"> ежеквартально раскрывать информацию в отношении концессионных соглашений и деятельности эмитента по реализации концессионного соглашения в порядке и объеме, установленном отдельными правилами (требованиями) Биржи. Установление данных требований позволит повысить </w:t>
      </w:r>
      <w:proofErr w:type="spellStart"/>
      <w:r w:rsidRPr="00980A89">
        <w:rPr>
          <w:rFonts w:eastAsia="Calibri"/>
          <w:sz w:val="22"/>
          <w:szCs w:val="22"/>
        </w:rPr>
        <w:t>транспарентность</w:t>
      </w:r>
      <w:proofErr w:type="spellEnd"/>
      <w:r w:rsidRPr="00980A89">
        <w:rPr>
          <w:rFonts w:eastAsia="Calibri"/>
          <w:sz w:val="22"/>
          <w:szCs w:val="22"/>
        </w:rPr>
        <w:t xml:space="preserve"> при раскрытии информации в отношении концессионных проектов и расширит возможность проведения инвесторами мониторинга деятельности эмитентов-концессионеров. Указанные правила (требования) по раскрытию информации будут </w:t>
      </w:r>
      <w:r>
        <w:rPr>
          <w:rFonts w:eastAsia="Calibri"/>
          <w:sz w:val="22"/>
          <w:szCs w:val="22"/>
        </w:rPr>
        <w:t>установлены</w:t>
      </w:r>
      <w:r w:rsidRPr="00980A89">
        <w:rPr>
          <w:rFonts w:eastAsia="Calibri"/>
          <w:sz w:val="22"/>
          <w:szCs w:val="22"/>
        </w:rPr>
        <w:t xml:space="preserve"> Биржей дополнительно</w:t>
      </w:r>
      <w:r>
        <w:rPr>
          <w:rFonts w:eastAsia="Calibri"/>
          <w:sz w:val="22"/>
          <w:szCs w:val="22"/>
        </w:rPr>
        <w:t xml:space="preserve"> и отражены в отдельном документе</w:t>
      </w:r>
      <w:r w:rsidRPr="00980A89">
        <w:rPr>
          <w:rFonts w:eastAsia="Calibri"/>
          <w:sz w:val="22"/>
          <w:szCs w:val="22"/>
        </w:rPr>
        <w:t>.</w:t>
      </w:r>
    </w:p>
    <w:p w:rsidR="00037131" w:rsidRPr="00980A89" w:rsidRDefault="00037131" w:rsidP="00037131">
      <w:pPr>
        <w:tabs>
          <w:tab w:val="left" w:pos="-4962"/>
          <w:tab w:val="left" w:pos="-4820"/>
        </w:tabs>
        <w:overflowPunct w:val="0"/>
        <w:autoSpaceDE w:val="0"/>
        <w:autoSpaceDN w:val="0"/>
        <w:adjustRightInd w:val="0"/>
        <w:ind w:firstLine="567"/>
        <w:jc w:val="both"/>
        <w:textAlignment w:val="baseline"/>
        <w:rPr>
          <w:rFonts w:eastAsia="Calibri"/>
          <w:sz w:val="22"/>
          <w:szCs w:val="22"/>
        </w:rPr>
      </w:pPr>
      <w:r w:rsidRPr="00980A89">
        <w:rPr>
          <w:rFonts w:eastAsia="Calibri"/>
          <w:sz w:val="22"/>
          <w:szCs w:val="22"/>
        </w:rPr>
        <w:t xml:space="preserve">Новые требования будут применяться только к новым выпускам концессионных облигаций, включаемым в Первый уровень после вступления в силу </w:t>
      </w:r>
      <w:r>
        <w:rPr>
          <w:rFonts w:eastAsia="Calibri"/>
          <w:sz w:val="22"/>
          <w:szCs w:val="22"/>
        </w:rPr>
        <w:t xml:space="preserve">указанных положений </w:t>
      </w:r>
      <w:r w:rsidRPr="00980A89">
        <w:rPr>
          <w:rFonts w:eastAsia="Calibri"/>
          <w:sz w:val="22"/>
          <w:szCs w:val="22"/>
        </w:rPr>
        <w:t>Правил.</w:t>
      </w:r>
    </w:p>
    <w:p w:rsidR="00037131" w:rsidRPr="00980A89" w:rsidRDefault="00037131" w:rsidP="00037131">
      <w:pPr>
        <w:tabs>
          <w:tab w:val="left" w:pos="-4820"/>
          <w:tab w:val="left" w:pos="567"/>
          <w:tab w:val="left" w:pos="851"/>
        </w:tabs>
        <w:overflowPunct w:val="0"/>
        <w:autoSpaceDE w:val="0"/>
        <w:autoSpaceDN w:val="0"/>
        <w:adjustRightInd w:val="0"/>
        <w:ind w:left="567"/>
        <w:jc w:val="both"/>
        <w:textAlignment w:val="baseline"/>
        <w:rPr>
          <w:rFonts w:eastAsia="Calibri"/>
          <w:sz w:val="22"/>
          <w:szCs w:val="22"/>
        </w:rPr>
      </w:pPr>
    </w:p>
    <w:p w:rsidR="00037131" w:rsidRPr="00980A89" w:rsidRDefault="00037131" w:rsidP="00037131">
      <w:pPr>
        <w:tabs>
          <w:tab w:val="left" w:pos="-5103"/>
          <w:tab w:val="left" w:pos="-4820"/>
        </w:tabs>
        <w:overflowPunct w:val="0"/>
        <w:autoSpaceDE w:val="0"/>
        <w:autoSpaceDN w:val="0"/>
        <w:adjustRightInd w:val="0"/>
        <w:ind w:firstLine="567"/>
        <w:jc w:val="both"/>
        <w:textAlignment w:val="baseline"/>
        <w:rPr>
          <w:rFonts w:eastAsia="Calibri"/>
          <w:sz w:val="22"/>
          <w:szCs w:val="22"/>
        </w:rPr>
      </w:pPr>
      <w:r w:rsidRPr="00980A89">
        <w:rPr>
          <w:rFonts w:eastAsia="Calibri"/>
          <w:sz w:val="22"/>
          <w:szCs w:val="22"/>
        </w:rPr>
        <w:t xml:space="preserve">2.4. </w:t>
      </w:r>
      <w:r w:rsidRPr="00980A89">
        <w:rPr>
          <w:rFonts w:eastAsia="Calibri"/>
          <w:b/>
          <w:sz w:val="22"/>
          <w:szCs w:val="22"/>
        </w:rPr>
        <w:t>В отношении ИСУ, включенных (включаемых) в Первый уровень, вводятся следующие требования</w:t>
      </w:r>
      <w:bookmarkStart w:id="0" w:name="_GoBack"/>
      <w:bookmarkEnd w:id="0"/>
      <w:r w:rsidRPr="00980A89">
        <w:rPr>
          <w:rFonts w:eastAsia="Calibri"/>
          <w:sz w:val="22"/>
          <w:szCs w:val="22"/>
        </w:rPr>
        <w:t>:</w:t>
      </w:r>
    </w:p>
    <w:p w:rsidR="00037131" w:rsidRPr="00980A89" w:rsidRDefault="00037131" w:rsidP="00037131">
      <w:pPr>
        <w:tabs>
          <w:tab w:val="left" w:pos="-4820"/>
          <w:tab w:val="left" w:pos="-3686"/>
        </w:tabs>
        <w:overflowPunct w:val="0"/>
        <w:autoSpaceDE w:val="0"/>
        <w:autoSpaceDN w:val="0"/>
        <w:adjustRightInd w:val="0"/>
        <w:ind w:firstLine="567"/>
        <w:jc w:val="both"/>
        <w:textAlignment w:val="baseline"/>
        <w:rPr>
          <w:rFonts w:eastAsia="Tahoma"/>
          <w:sz w:val="22"/>
          <w:szCs w:val="22"/>
        </w:rPr>
      </w:pPr>
      <w:r w:rsidRPr="00980A89">
        <w:rPr>
          <w:rFonts w:eastAsia="Calibri"/>
          <w:sz w:val="22"/>
          <w:szCs w:val="22"/>
        </w:rPr>
        <w:t>1) с</w:t>
      </w:r>
      <w:r w:rsidRPr="00980A89">
        <w:rPr>
          <w:rFonts w:eastAsia="Tahoma"/>
          <w:sz w:val="22"/>
          <w:szCs w:val="22"/>
        </w:rPr>
        <w:t>окращается перечень российских рейтинговых агентств, чьи рейтинги ранее применялись для включения (поддержания) ИСУ. Для целей листинга применимым рейтингом (в части российских рейтинговых агентств) остается рейтинг ЗАО  «РА «Эксперт РА» не ниже уровня</w:t>
      </w:r>
      <w:proofErr w:type="gramStart"/>
      <w:r w:rsidRPr="00980A89">
        <w:rPr>
          <w:rFonts w:eastAsia="Tahoma"/>
          <w:sz w:val="22"/>
          <w:szCs w:val="22"/>
        </w:rPr>
        <w:t xml:space="preserve"> В</w:t>
      </w:r>
      <w:proofErr w:type="gramEnd"/>
      <w:r w:rsidRPr="00980A89">
        <w:rPr>
          <w:rFonts w:eastAsia="Tahoma"/>
          <w:sz w:val="22"/>
          <w:szCs w:val="22"/>
        </w:rPr>
        <w:t>++, а для ИСУ, включенных ранее, для поддержания будут применяться рейтинги российских рейтинговых агентств</w:t>
      </w:r>
      <w:r>
        <w:rPr>
          <w:rFonts w:eastAsia="Tahoma"/>
          <w:sz w:val="22"/>
          <w:szCs w:val="22"/>
        </w:rPr>
        <w:t>, установленные в текущей редакции Правил</w:t>
      </w:r>
      <w:r w:rsidRPr="00980A89">
        <w:rPr>
          <w:rFonts w:eastAsia="Tahoma"/>
          <w:sz w:val="22"/>
          <w:szCs w:val="22"/>
        </w:rPr>
        <w:t>;</w:t>
      </w:r>
    </w:p>
    <w:p w:rsidR="00037131" w:rsidRPr="00980A89" w:rsidRDefault="00037131" w:rsidP="00037131">
      <w:pPr>
        <w:tabs>
          <w:tab w:val="left" w:pos="-4820"/>
          <w:tab w:val="left" w:pos="-3686"/>
        </w:tabs>
        <w:overflowPunct w:val="0"/>
        <w:autoSpaceDE w:val="0"/>
        <w:autoSpaceDN w:val="0"/>
        <w:adjustRightInd w:val="0"/>
        <w:ind w:firstLine="567"/>
        <w:jc w:val="both"/>
        <w:textAlignment w:val="baseline"/>
        <w:rPr>
          <w:rFonts w:eastAsia="Tahoma"/>
          <w:sz w:val="22"/>
          <w:szCs w:val="22"/>
        </w:rPr>
      </w:pPr>
      <w:r w:rsidRPr="00980A89">
        <w:rPr>
          <w:rFonts w:eastAsia="Tahoma"/>
          <w:sz w:val="22"/>
          <w:szCs w:val="22"/>
        </w:rPr>
        <w:t xml:space="preserve">2) установлено ограничение на включение ИСУ, в состав ипотечного </w:t>
      </w:r>
      <w:proofErr w:type="gramStart"/>
      <w:r w:rsidRPr="00980A89">
        <w:rPr>
          <w:rFonts w:eastAsia="Tahoma"/>
          <w:sz w:val="22"/>
          <w:szCs w:val="22"/>
        </w:rPr>
        <w:t>покрытия</w:t>
      </w:r>
      <w:proofErr w:type="gramEnd"/>
      <w:r w:rsidRPr="00980A89">
        <w:rPr>
          <w:rFonts w:eastAsia="Tahoma"/>
          <w:sz w:val="22"/>
          <w:szCs w:val="22"/>
        </w:rPr>
        <w:t xml:space="preserve"> которых входит недвижимое имущество, являющееся земельными участками (за исключением комплексов недвижимости). </w:t>
      </w:r>
      <w:proofErr w:type="gramStart"/>
      <w:r w:rsidRPr="00980A89">
        <w:rPr>
          <w:rFonts w:eastAsia="Tahoma"/>
          <w:sz w:val="22"/>
          <w:szCs w:val="22"/>
        </w:rPr>
        <w:t xml:space="preserve">Для целей настоящего пункта под комплексом недвижимости понимается - объединение различных объектов движимого и недвижимого имущества единым хозяйственным назначением при наличии в составе имущественного комплекса недвижимости земельного участка (прав на земельный участок), на котором расположен объект (объекты) недвижимости (здание, сооружение, помещение или прочие составляющие здания (сооружения), входящий в комплекс недвижимости. </w:t>
      </w:r>
      <w:proofErr w:type="gramEnd"/>
    </w:p>
    <w:p w:rsidR="00037131" w:rsidRPr="00980A89" w:rsidRDefault="00037131" w:rsidP="00037131">
      <w:pPr>
        <w:tabs>
          <w:tab w:val="left" w:pos="-4820"/>
          <w:tab w:val="left" w:pos="-3686"/>
        </w:tabs>
        <w:overflowPunct w:val="0"/>
        <w:autoSpaceDE w:val="0"/>
        <w:autoSpaceDN w:val="0"/>
        <w:adjustRightInd w:val="0"/>
        <w:ind w:firstLine="567"/>
        <w:jc w:val="both"/>
        <w:textAlignment w:val="baseline"/>
        <w:rPr>
          <w:rFonts w:eastAsia="Tahoma"/>
          <w:sz w:val="22"/>
          <w:szCs w:val="22"/>
        </w:rPr>
      </w:pPr>
      <w:r w:rsidRPr="00980A89">
        <w:rPr>
          <w:rFonts w:eastAsia="Tahoma"/>
          <w:sz w:val="22"/>
          <w:szCs w:val="22"/>
        </w:rPr>
        <w:t xml:space="preserve">Указанные требования будут применяться </w:t>
      </w:r>
      <w:proofErr w:type="gramStart"/>
      <w:r w:rsidRPr="00980A89">
        <w:rPr>
          <w:rFonts w:eastAsia="Tahoma"/>
          <w:sz w:val="22"/>
          <w:szCs w:val="22"/>
        </w:rPr>
        <w:t>к</w:t>
      </w:r>
      <w:proofErr w:type="gramEnd"/>
      <w:r w:rsidRPr="00980A89">
        <w:rPr>
          <w:rFonts w:eastAsia="Tahoma"/>
          <w:sz w:val="22"/>
          <w:szCs w:val="22"/>
        </w:rPr>
        <w:t xml:space="preserve"> новым ИСУ, включаемым в Первый уровень после вступления в силу Правил листинга, а также к ранее включенным в Первый уровень ИСУ при выдаче дополнительных ИСУ.</w:t>
      </w:r>
    </w:p>
    <w:p w:rsidR="00037131" w:rsidRPr="00980A89" w:rsidRDefault="00037131" w:rsidP="00037131">
      <w:pPr>
        <w:tabs>
          <w:tab w:val="left" w:pos="-4820"/>
          <w:tab w:val="left" w:pos="-3686"/>
        </w:tabs>
        <w:overflowPunct w:val="0"/>
        <w:autoSpaceDE w:val="0"/>
        <w:autoSpaceDN w:val="0"/>
        <w:adjustRightInd w:val="0"/>
        <w:ind w:firstLine="567"/>
        <w:jc w:val="both"/>
        <w:textAlignment w:val="baseline"/>
        <w:rPr>
          <w:rFonts w:eastAsia="Tahoma"/>
          <w:sz w:val="22"/>
          <w:szCs w:val="22"/>
        </w:rPr>
      </w:pPr>
    </w:p>
    <w:p w:rsidR="00037131" w:rsidRPr="00980A89" w:rsidRDefault="00037131" w:rsidP="00037131">
      <w:pPr>
        <w:pStyle w:val="ac"/>
        <w:numPr>
          <w:ilvl w:val="0"/>
          <w:numId w:val="1"/>
        </w:numPr>
        <w:tabs>
          <w:tab w:val="left" w:pos="-4820"/>
          <w:tab w:val="left" w:pos="567"/>
          <w:tab w:val="left" w:pos="851"/>
        </w:tabs>
        <w:overflowPunct w:val="0"/>
        <w:autoSpaceDE w:val="0"/>
        <w:autoSpaceDN w:val="0"/>
        <w:adjustRightInd w:val="0"/>
        <w:ind w:left="0" w:firstLine="567"/>
        <w:jc w:val="both"/>
        <w:textAlignment w:val="baseline"/>
        <w:rPr>
          <w:rFonts w:ascii="Times New Roman" w:hAnsi="Times New Roman"/>
        </w:rPr>
      </w:pPr>
      <w:r w:rsidRPr="00980A89">
        <w:rPr>
          <w:rFonts w:ascii="Times New Roman" w:eastAsia="Times New Roman" w:hAnsi="Times New Roman"/>
          <w:b/>
        </w:rPr>
        <w:t>Вводится новый сегмент Рынка инноваций и инвестиций - Сегмент РИИ-</w:t>
      </w:r>
      <w:proofErr w:type="spellStart"/>
      <w:r w:rsidRPr="00980A89">
        <w:rPr>
          <w:rFonts w:ascii="Times New Roman" w:eastAsia="Times New Roman" w:hAnsi="Times New Roman"/>
          <w:b/>
        </w:rPr>
        <w:t>Прайм</w:t>
      </w:r>
      <w:proofErr w:type="spellEnd"/>
      <w:r w:rsidRPr="00980A89">
        <w:rPr>
          <w:rFonts w:ascii="Times New Roman" w:eastAsia="Times New Roman" w:hAnsi="Times New Roman"/>
        </w:rPr>
        <w:t>. Целью создания Сегмента РИИ-</w:t>
      </w:r>
      <w:proofErr w:type="spellStart"/>
      <w:r w:rsidRPr="00980A89">
        <w:rPr>
          <w:rFonts w:ascii="Times New Roman" w:eastAsia="Times New Roman" w:hAnsi="Times New Roman"/>
        </w:rPr>
        <w:t>Прайм</w:t>
      </w:r>
      <w:proofErr w:type="spellEnd"/>
      <w:r w:rsidRPr="00980A89">
        <w:rPr>
          <w:rFonts w:ascii="Times New Roman" w:eastAsia="Times New Roman" w:hAnsi="Times New Roman"/>
        </w:rPr>
        <w:t xml:space="preserve"> является возможность допуска средств пенсионных накоплений пенсионных фондов и накоплений для жилищного обеспечения военнослужащих для инвестирования в </w:t>
      </w:r>
      <w:r w:rsidRPr="00980A89">
        <w:rPr>
          <w:rFonts w:ascii="Times New Roman" w:hAnsi="Times New Roman"/>
        </w:rPr>
        <w:t xml:space="preserve">высококачественные публичные инновационные компании, путем установления повышенных требований к эмитентам и их ценным бумагам. </w:t>
      </w:r>
    </w:p>
    <w:p w:rsidR="00037131" w:rsidRPr="00980A89" w:rsidRDefault="00037131" w:rsidP="00037131">
      <w:pPr>
        <w:tabs>
          <w:tab w:val="left" w:pos="-4962"/>
          <w:tab w:val="left" w:pos="-4820"/>
          <w:tab w:val="left" w:pos="-3686"/>
        </w:tabs>
        <w:overflowPunct w:val="0"/>
        <w:autoSpaceDE w:val="0"/>
        <w:autoSpaceDN w:val="0"/>
        <w:adjustRightInd w:val="0"/>
        <w:ind w:firstLine="567"/>
        <w:jc w:val="both"/>
        <w:textAlignment w:val="baseline"/>
        <w:rPr>
          <w:rFonts w:eastAsia="Calibri"/>
          <w:sz w:val="22"/>
          <w:szCs w:val="22"/>
        </w:rPr>
      </w:pPr>
      <w:r w:rsidRPr="00980A89">
        <w:rPr>
          <w:rFonts w:eastAsia="Calibri"/>
          <w:sz w:val="22"/>
          <w:szCs w:val="22"/>
        </w:rPr>
        <w:t>Концепция по созданию Сегмента РИИ-</w:t>
      </w:r>
      <w:proofErr w:type="spellStart"/>
      <w:r w:rsidRPr="00980A89">
        <w:rPr>
          <w:rFonts w:eastAsia="Calibri"/>
          <w:sz w:val="22"/>
          <w:szCs w:val="22"/>
        </w:rPr>
        <w:t>Прайм</w:t>
      </w:r>
      <w:proofErr w:type="spellEnd"/>
      <w:r w:rsidRPr="00980A89">
        <w:rPr>
          <w:rFonts w:eastAsia="Calibri"/>
          <w:sz w:val="22"/>
          <w:szCs w:val="22"/>
        </w:rPr>
        <w:t xml:space="preserve"> была рассмотрена и одобрена Комитетом по развитию Рынка Инноваций и Инвестиций при Координационном совете РИИ Московской Биржи – Экспертном совете ЗАО «ФБ ММВБ» (29.10.2014) (далее - Экспертный</w:t>
      </w:r>
      <w:r w:rsidRPr="00980A89">
        <w:rPr>
          <w:sz w:val="22"/>
          <w:szCs w:val="22"/>
        </w:rPr>
        <w:t xml:space="preserve"> совет РИИ)</w:t>
      </w:r>
      <w:r w:rsidRPr="00980A89">
        <w:rPr>
          <w:rFonts w:eastAsia="Calibri"/>
          <w:sz w:val="22"/>
          <w:szCs w:val="22"/>
        </w:rPr>
        <w:t xml:space="preserve">. </w:t>
      </w:r>
    </w:p>
    <w:p w:rsidR="00037131" w:rsidRPr="00980A89" w:rsidRDefault="00037131" w:rsidP="00037131">
      <w:pPr>
        <w:tabs>
          <w:tab w:val="left" w:pos="-4962"/>
          <w:tab w:val="left" w:pos="-4820"/>
          <w:tab w:val="left" w:pos="-3686"/>
        </w:tabs>
        <w:overflowPunct w:val="0"/>
        <w:autoSpaceDE w:val="0"/>
        <w:autoSpaceDN w:val="0"/>
        <w:adjustRightInd w:val="0"/>
        <w:ind w:firstLine="567"/>
        <w:jc w:val="both"/>
        <w:textAlignment w:val="baseline"/>
        <w:rPr>
          <w:rFonts w:eastAsia="Calibri"/>
          <w:sz w:val="22"/>
          <w:szCs w:val="22"/>
        </w:rPr>
      </w:pPr>
      <w:r w:rsidRPr="00980A89">
        <w:rPr>
          <w:rFonts w:eastAsia="Calibri"/>
          <w:sz w:val="22"/>
          <w:szCs w:val="22"/>
        </w:rPr>
        <w:t>Сегмент РИИ-</w:t>
      </w:r>
      <w:proofErr w:type="spellStart"/>
      <w:r w:rsidRPr="00980A89">
        <w:rPr>
          <w:rFonts w:eastAsia="Calibri"/>
          <w:sz w:val="22"/>
          <w:szCs w:val="22"/>
        </w:rPr>
        <w:t>Прайм</w:t>
      </w:r>
      <w:proofErr w:type="spellEnd"/>
      <w:r w:rsidRPr="00980A89">
        <w:rPr>
          <w:rFonts w:eastAsia="Calibri"/>
          <w:sz w:val="22"/>
          <w:szCs w:val="22"/>
        </w:rPr>
        <w:t xml:space="preserve"> формируется из ценных бумаг, включенных (</w:t>
      </w:r>
      <w:r w:rsidRPr="00980A89">
        <w:rPr>
          <w:sz w:val="22"/>
          <w:szCs w:val="22"/>
        </w:rPr>
        <w:t>включаемых) в Первый или Второй уровень</w:t>
      </w:r>
      <w:r w:rsidRPr="00980A89">
        <w:rPr>
          <w:rFonts w:eastAsia="Calibri"/>
          <w:sz w:val="22"/>
          <w:szCs w:val="22"/>
        </w:rPr>
        <w:t>.</w:t>
      </w:r>
    </w:p>
    <w:p w:rsidR="00037131" w:rsidRPr="00980A89" w:rsidRDefault="00037131" w:rsidP="00037131">
      <w:pPr>
        <w:tabs>
          <w:tab w:val="left" w:pos="-4820"/>
          <w:tab w:val="left" w:pos="567"/>
          <w:tab w:val="left" w:pos="851"/>
        </w:tabs>
        <w:overflowPunct w:val="0"/>
        <w:autoSpaceDE w:val="0"/>
        <w:autoSpaceDN w:val="0"/>
        <w:adjustRightInd w:val="0"/>
        <w:ind w:firstLine="567"/>
        <w:jc w:val="both"/>
        <w:textAlignment w:val="baseline"/>
        <w:rPr>
          <w:sz w:val="22"/>
          <w:szCs w:val="22"/>
        </w:rPr>
      </w:pPr>
    </w:p>
    <w:p w:rsidR="00037131" w:rsidRPr="00980A89" w:rsidRDefault="00037131" w:rsidP="00037131">
      <w:pPr>
        <w:tabs>
          <w:tab w:val="left" w:pos="-4820"/>
          <w:tab w:val="left" w:pos="567"/>
          <w:tab w:val="left" w:pos="851"/>
        </w:tabs>
        <w:overflowPunct w:val="0"/>
        <w:autoSpaceDE w:val="0"/>
        <w:autoSpaceDN w:val="0"/>
        <w:adjustRightInd w:val="0"/>
        <w:ind w:firstLine="567"/>
        <w:jc w:val="both"/>
        <w:textAlignment w:val="baseline"/>
        <w:rPr>
          <w:sz w:val="22"/>
          <w:szCs w:val="22"/>
        </w:rPr>
      </w:pPr>
      <w:r w:rsidRPr="00980A89">
        <w:rPr>
          <w:sz w:val="22"/>
          <w:szCs w:val="22"/>
        </w:rPr>
        <w:t>Основными требованиями по включению ценных бумаг в Сегмент РИИ-</w:t>
      </w:r>
      <w:proofErr w:type="spellStart"/>
      <w:r w:rsidRPr="00980A89">
        <w:rPr>
          <w:sz w:val="22"/>
          <w:szCs w:val="22"/>
        </w:rPr>
        <w:t>Прайм</w:t>
      </w:r>
      <w:proofErr w:type="spellEnd"/>
      <w:r w:rsidRPr="00980A89">
        <w:rPr>
          <w:sz w:val="22"/>
          <w:szCs w:val="22"/>
        </w:rPr>
        <w:t xml:space="preserve"> являются:</w:t>
      </w:r>
    </w:p>
    <w:p w:rsidR="00037131" w:rsidRPr="00980A89" w:rsidRDefault="00037131" w:rsidP="00037131">
      <w:pPr>
        <w:pStyle w:val="ac"/>
        <w:numPr>
          <w:ilvl w:val="0"/>
          <w:numId w:val="20"/>
        </w:numPr>
        <w:tabs>
          <w:tab w:val="left" w:pos="-4820"/>
          <w:tab w:val="left" w:pos="567"/>
          <w:tab w:val="left" w:pos="851"/>
        </w:tabs>
        <w:overflowPunct w:val="0"/>
        <w:autoSpaceDE w:val="0"/>
        <w:autoSpaceDN w:val="0"/>
        <w:adjustRightInd w:val="0"/>
        <w:jc w:val="both"/>
        <w:textAlignment w:val="baseline"/>
        <w:rPr>
          <w:rFonts w:ascii="Times New Roman" w:eastAsia="Times New Roman" w:hAnsi="Times New Roman"/>
        </w:rPr>
      </w:pPr>
      <w:r w:rsidRPr="00980A89">
        <w:rPr>
          <w:rFonts w:ascii="Times New Roman" w:eastAsia="Times New Roman" w:hAnsi="Times New Roman"/>
        </w:rPr>
        <w:t xml:space="preserve">ценные бумаги </w:t>
      </w:r>
      <w:proofErr w:type="gramStart"/>
      <w:r w:rsidRPr="00980A89">
        <w:rPr>
          <w:rFonts w:ascii="Times New Roman" w:eastAsia="Times New Roman" w:hAnsi="Times New Roman"/>
        </w:rPr>
        <w:t>включены</w:t>
      </w:r>
      <w:proofErr w:type="gramEnd"/>
      <w:r w:rsidRPr="00980A89">
        <w:rPr>
          <w:rFonts w:ascii="Times New Roman" w:eastAsia="Times New Roman" w:hAnsi="Times New Roman"/>
        </w:rPr>
        <w:t>/включаются в Первый или Второй уровень,</w:t>
      </w:r>
    </w:p>
    <w:p w:rsidR="00037131" w:rsidRPr="00980A89" w:rsidRDefault="00037131" w:rsidP="00037131">
      <w:pPr>
        <w:pStyle w:val="ac"/>
        <w:numPr>
          <w:ilvl w:val="0"/>
          <w:numId w:val="20"/>
        </w:numPr>
        <w:tabs>
          <w:tab w:val="left" w:pos="-4820"/>
          <w:tab w:val="left" w:pos="567"/>
          <w:tab w:val="left" w:pos="851"/>
        </w:tabs>
        <w:overflowPunct w:val="0"/>
        <w:autoSpaceDE w:val="0"/>
        <w:autoSpaceDN w:val="0"/>
        <w:adjustRightInd w:val="0"/>
        <w:jc w:val="both"/>
        <w:textAlignment w:val="baseline"/>
        <w:rPr>
          <w:rFonts w:ascii="Times New Roman" w:eastAsia="Times New Roman" w:hAnsi="Times New Roman"/>
        </w:rPr>
      </w:pPr>
      <w:r w:rsidRPr="00980A89">
        <w:rPr>
          <w:rFonts w:ascii="Times New Roman" w:eastAsia="Times New Roman" w:hAnsi="Times New Roman"/>
        </w:rPr>
        <w:t xml:space="preserve">эмитент соответствует хотя бы одному из установленных Правилами критериев </w:t>
      </w:r>
      <w:proofErr w:type="spellStart"/>
      <w:r w:rsidRPr="00980A89">
        <w:rPr>
          <w:rFonts w:ascii="Times New Roman" w:eastAsia="Times New Roman" w:hAnsi="Times New Roman"/>
        </w:rPr>
        <w:t>инновационности</w:t>
      </w:r>
      <w:proofErr w:type="spellEnd"/>
      <w:r w:rsidRPr="00980A89">
        <w:rPr>
          <w:rFonts w:ascii="Times New Roman" w:eastAsia="Times New Roman" w:hAnsi="Times New Roman"/>
        </w:rPr>
        <w:t xml:space="preserve">, </w:t>
      </w:r>
    </w:p>
    <w:p w:rsidR="00037131" w:rsidRPr="00980A89" w:rsidRDefault="00037131" w:rsidP="00037131">
      <w:pPr>
        <w:pStyle w:val="ac"/>
        <w:numPr>
          <w:ilvl w:val="0"/>
          <w:numId w:val="20"/>
        </w:numPr>
        <w:tabs>
          <w:tab w:val="left" w:pos="-4820"/>
          <w:tab w:val="left" w:pos="567"/>
          <w:tab w:val="left" w:pos="851"/>
        </w:tabs>
        <w:overflowPunct w:val="0"/>
        <w:autoSpaceDE w:val="0"/>
        <w:autoSpaceDN w:val="0"/>
        <w:adjustRightInd w:val="0"/>
        <w:jc w:val="both"/>
        <w:textAlignment w:val="baseline"/>
        <w:rPr>
          <w:rFonts w:ascii="Times New Roman" w:eastAsia="Times New Roman" w:hAnsi="Times New Roman"/>
        </w:rPr>
      </w:pPr>
      <w:r w:rsidRPr="00980A89">
        <w:rPr>
          <w:rFonts w:ascii="Times New Roman" w:eastAsia="Times New Roman" w:hAnsi="Times New Roman"/>
        </w:rPr>
        <w:t>в отдельных случаях - наличие заключения Экспертного совета РИИ с рекомендацией о включении ценной бумаги в Сегмент РИИ-</w:t>
      </w:r>
      <w:proofErr w:type="spellStart"/>
      <w:r w:rsidRPr="00980A89">
        <w:rPr>
          <w:rFonts w:ascii="Times New Roman" w:eastAsia="Times New Roman" w:hAnsi="Times New Roman"/>
        </w:rPr>
        <w:t>Прайм</w:t>
      </w:r>
      <w:proofErr w:type="spellEnd"/>
      <w:r w:rsidRPr="00980A89">
        <w:rPr>
          <w:rFonts w:ascii="Times New Roman" w:eastAsia="Times New Roman" w:hAnsi="Times New Roman"/>
        </w:rPr>
        <w:t>,</w:t>
      </w:r>
    </w:p>
    <w:p w:rsidR="00037131" w:rsidRPr="00980A89" w:rsidRDefault="00037131" w:rsidP="00037131">
      <w:pPr>
        <w:pStyle w:val="ac"/>
        <w:numPr>
          <w:ilvl w:val="0"/>
          <w:numId w:val="20"/>
        </w:numPr>
        <w:tabs>
          <w:tab w:val="left" w:pos="-4820"/>
          <w:tab w:val="left" w:pos="567"/>
          <w:tab w:val="left" w:pos="851"/>
        </w:tabs>
        <w:overflowPunct w:val="0"/>
        <w:autoSpaceDE w:val="0"/>
        <w:autoSpaceDN w:val="0"/>
        <w:adjustRightInd w:val="0"/>
        <w:jc w:val="both"/>
        <w:textAlignment w:val="baseline"/>
        <w:rPr>
          <w:rFonts w:ascii="Times New Roman" w:eastAsia="Times New Roman" w:hAnsi="Times New Roman"/>
        </w:rPr>
      </w:pPr>
      <w:r w:rsidRPr="00980A89">
        <w:rPr>
          <w:rFonts w:ascii="Times New Roman" w:eastAsia="Times New Roman" w:hAnsi="Times New Roman"/>
        </w:rPr>
        <w:t>рыночная капитализация эмитента составляет не менее 6 млрд.</w:t>
      </w:r>
      <w:r>
        <w:rPr>
          <w:rFonts w:ascii="Times New Roman" w:eastAsia="Times New Roman" w:hAnsi="Times New Roman"/>
        </w:rPr>
        <w:t xml:space="preserve"> руб.</w:t>
      </w:r>
      <w:r w:rsidRPr="00980A89">
        <w:rPr>
          <w:rFonts w:ascii="Times New Roman" w:eastAsia="Times New Roman" w:hAnsi="Times New Roman"/>
        </w:rPr>
        <w:t xml:space="preserve"> (для акций и  депозитарных расписок на акции),</w:t>
      </w:r>
    </w:p>
    <w:p w:rsidR="00037131" w:rsidRPr="00980A89" w:rsidRDefault="00037131" w:rsidP="00037131">
      <w:pPr>
        <w:pStyle w:val="ac"/>
        <w:numPr>
          <w:ilvl w:val="0"/>
          <w:numId w:val="20"/>
        </w:numPr>
        <w:tabs>
          <w:tab w:val="left" w:pos="-4820"/>
          <w:tab w:val="left" w:pos="567"/>
          <w:tab w:val="left" w:pos="851"/>
        </w:tabs>
        <w:overflowPunct w:val="0"/>
        <w:autoSpaceDE w:val="0"/>
        <w:autoSpaceDN w:val="0"/>
        <w:adjustRightInd w:val="0"/>
        <w:jc w:val="both"/>
        <w:textAlignment w:val="baseline"/>
        <w:rPr>
          <w:rFonts w:ascii="Times New Roman" w:eastAsia="Times New Roman" w:hAnsi="Times New Roman"/>
        </w:rPr>
      </w:pPr>
      <w:r w:rsidRPr="00980A89">
        <w:rPr>
          <w:rFonts w:ascii="Times New Roman" w:eastAsia="Times New Roman" w:hAnsi="Times New Roman"/>
        </w:rPr>
        <w:lastRenderedPageBreak/>
        <w:t>составление и раскрытие (опубликование) финансовой (бухгалтерской) отчетности (перечень аудиторских организаций устанавливается отдельным решением Биржи) (для акций и депозитарных расписок на акции),</w:t>
      </w:r>
    </w:p>
    <w:p w:rsidR="00037131" w:rsidRPr="00980A89" w:rsidRDefault="00037131" w:rsidP="00037131">
      <w:pPr>
        <w:pStyle w:val="ac"/>
        <w:numPr>
          <w:ilvl w:val="0"/>
          <w:numId w:val="20"/>
        </w:numPr>
        <w:tabs>
          <w:tab w:val="left" w:pos="-4820"/>
          <w:tab w:val="left" w:pos="567"/>
          <w:tab w:val="left" w:pos="851"/>
        </w:tabs>
        <w:overflowPunct w:val="0"/>
        <w:autoSpaceDE w:val="0"/>
        <w:autoSpaceDN w:val="0"/>
        <w:adjustRightInd w:val="0"/>
        <w:jc w:val="both"/>
        <w:textAlignment w:val="baseline"/>
        <w:rPr>
          <w:rFonts w:ascii="Times New Roman" w:eastAsia="Times New Roman" w:hAnsi="Times New Roman"/>
        </w:rPr>
      </w:pPr>
      <w:r w:rsidRPr="00980A89">
        <w:rPr>
          <w:rFonts w:ascii="Times New Roman" w:eastAsia="Times New Roman" w:hAnsi="Times New Roman"/>
        </w:rPr>
        <w:t>наличие у эмитента и/или выпуска облигаций данного эмитента кредитного рейтинга одного из рейтинговых агентств (для облигаций),</w:t>
      </w:r>
    </w:p>
    <w:p w:rsidR="00037131" w:rsidRPr="00980A89" w:rsidRDefault="00037131" w:rsidP="00037131">
      <w:pPr>
        <w:tabs>
          <w:tab w:val="left" w:pos="-4820"/>
          <w:tab w:val="left" w:pos="-1560"/>
        </w:tabs>
        <w:overflowPunct w:val="0"/>
        <w:autoSpaceDE w:val="0"/>
        <w:autoSpaceDN w:val="0"/>
        <w:adjustRightInd w:val="0"/>
        <w:ind w:left="1276"/>
        <w:jc w:val="both"/>
        <w:textAlignment w:val="baseline"/>
        <w:rPr>
          <w:sz w:val="22"/>
          <w:szCs w:val="22"/>
        </w:rPr>
      </w:pPr>
      <w:r w:rsidRPr="00980A89">
        <w:rPr>
          <w:sz w:val="22"/>
          <w:szCs w:val="22"/>
        </w:rPr>
        <w:t>Уровень рейтинга эмитента и/или выпуска облигаций (включая биржевые облигации), а также перечень рейтинговых агентств устанавливается отдельным решением Биржи. Также Биржа вправе установить перечень рейтинговых агентств, присвоенные кредитные рейтинги которых не применяются при включении облигаций в Сегмент РИИ-</w:t>
      </w:r>
      <w:proofErr w:type="spellStart"/>
      <w:r w:rsidRPr="00980A89">
        <w:rPr>
          <w:sz w:val="22"/>
          <w:szCs w:val="22"/>
        </w:rPr>
        <w:t>Прайм</w:t>
      </w:r>
      <w:proofErr w:type="spellEnd"/>
      <w:r w:rsidRPr="00980A89">
        <w:rPr>
          <w:sz w:val="22"/>
          <w:szCs w:val="22"/>
        </w:rPr>
        <w:t>, а также срок, в течение которого такие кредитные рейтинги не применяются,</w:t>
      </w:r>
    </w:p>
    <w:p w:rsidR="00037131" w:rsidRPr="00980A89" w:rsidRDefault="00037131" w:rsidP="00037131">
      <w:pPr>
        <w:pStyle w:val="ac"/>
        <w:numPr>
          <w:ilvl w:val="0"/>
          <w:numId w:val="20"/>
        </w:numPr>
        <w:tabs>
          <w:tab w:val="left" w:pos="-4820"/>
          <w:tab w:val="left" w:pos="567"/>
          <w:tab w:val="left" w:pos="851"/>
        </w:tabs>
        <w:overflowPunct w:val="0"/>
        <w:autoSpaceDE w:val="0"/>
        <w:autoSpaceDN w:val="0"/>
        <w:adjustRightInd w:val="0"/>
        <w:jc w:val="both"/>
        <w:textAlignment w:val="baseline"/>
        <w:rPr>
          <w:rFonts w:ascii="Times New Roman" w:eastAsia="Times New Roman" w:hAnsi="Times New Roman"/>
        </w:rPr>
      </w:pPr>
      <w:r w:rsidRPr="00980A89">
        <w:rPr>
          <w:rFonts w:ascii="Times New Roman" w:eastAsia="Times New Roman" w:hAnsi="Times New Roman"/>
        </w:rPr>
        <w:t>объем выпуска облигаций</w:t>
      </w:r>
      <w:r>
        <w:rPr>
          <w:rFonts w:ascii="Times New Roman" w:eastAsia="Times New Roman" w:hAnsi="Times New Roman"/>
        </w:rPr>
        <w:t xml:space="preserve"> (</w:t>
      </w:r>
      <w:r w:rsidRPr="00980A89">
        <w:rPr>
          <w:rFonts w:ascii="Times New Roman" w:eastAsia="Times New Roman" w:hAnsi="Times New Roman"/>
        </w:rPr>
        <w:t>биржевы</w:t>
      </w:r>
      <w:r>
        <w:rPr>
          <w:rFonts w:ascii="Times New Roman" w:eastAsia="Times New Roman" w:hAnsi="Times New Roman"/>
        </w:rPr>
        <w:t>х</w:t>
      </w:r>
      <w:r w:rsidRPr="00980A89">
        <w:rPr>
          <w:rFonts w:ascii="Times New Roman" w:eastAsia="Times New Roman" w:hAnsi="Times New Roman"/>
        </w:rPr>
        <w:t xml:space="preserve"> облигаци</w:t>
      </w:r>
      <w:r>
        <w:rPr>
          <w:rFonts w:ascii="Times New Roman" w:eastAsia="Times New Roman" w:hAnsi="Times New Roman"/>
        </w:rPr>
        <w:t>й)</w:t>
      </w:r>
      <w:r w:rsidRPr="00980A89">
        <w:rPr>
          <w:rFonts w:ascii="Times New Roman" w:eastAsia="Times New Roman" w:hAnsi="Times New Roman"/>
        </w:rPr>
        <w:t xml:space="preserve"> должен составлять не менее 1 млрд. руб.</w:t>
      </w:r>
    </w:p>
    <w:p w:rsidR="00037131" w:rsidRPr="00980A89" w:rsidRDefault="00037131" w:rsidP="00037131">
      <w:pPr>
        <w:tabs>
          <w:tab w:val="left" w:pos="-4820"/>
          <w:tab w:val="left" w:pos="567"/>
          <w:tab w:val="left" w:pos="851"/>
        </w:tabs>
        <w:overflowPunct w:val="0"/>
        <w:autoSpaceDE w:val="0"/>
        <w:autoSpaceDN w:val="0"/>
        <w:adjustRightInd w:val="0"/>
        <w:ind w:left="567"/>
        <w:jc w:val="both"/>
        <w:textAlignment w:val="baseline"/>
        <w:rPr>
          <w:sz w:val="22"/>
          <w:szCs w:val="22"/>
        </w:rPr>
      </w:pPr>
    </w:p>
    <w:p w:rsidR="00037131" w:rsidRPr="00980A89" w:rsidRDefault="00037131" w:rsidP="00037131">
      <w:pPr>
        <w:tabs>
          <w:tab w:val="left" w:pos="-4820"/>
          <w:tab w:val="left" w:pos="-709"/>
          <w:tab w:val="left" w:pos="-567"/>
        </w:tabs>
        <w:overflowPunct w:val="0"/>
        <w:autoSpaceDE w:val="0"/>
        <w:autoSpaceDN w:val="0"/>
        <w:adjustRightInd w:val="0"/>
        <w:ind w:firstLine="567"/>
        <w:jc w:val="both"/>
        <w:textAlignment w:val="baseline"/>
        <w:rPr>
          <w:sz w:val="22"/>
          <w:szCs w:val="22"/>
        </w:rPr>
      </w:pPr>
      <w:r w:rsidRPr="00980A89">
        <w:rPr>
          <w:sz w:val="22"/>
          <w:szCs w:val="22"/>
        </w:rPr>
        <w:t>Также предусмотрено, что в случае, если на дату вступления в силу Правил ценные бумаги, включенные в Сектор РИИ, соответствуют требованиям для включения в Сегмент РИИ-</w:t>
      </w:r>
      <w:proofErr w:type="spellStart"/>
      <w:r w:rsidRPr="00980A89">
        <w:rPr>
          <w:sz w:val="22"/>
          <w:szCs w:val="22"/>
        </w:rPr>
        <w:t>Прайм</w:t>
      </w:r>
      <w:proofErr w:type="spellEnd"/>
      <w:r w:rsidRPr="00980A89">
        <w:rPr>
          <w:sz w:val="22"/>
          <w:szCs w:val="22"/>
        </w:rPr>
        <w:t>, Биржа имеет право перевести такие ценные бумаги из Сектора РИИ в Сегмент РИИ-</w:t>
      </w:r>
      <w:proofErr w:type="spellStart"/>
      <w:r w:rsidRPr="00980A89">
        <w:rPr>
          <w:sz w:val="22"/>
          <w:szCs w:val="22"/>
        </w:rPr>
        <w:t>Прайм</w:t>
      </w:r>
      <w:proofErr w:type="spellEnd"/>
      <w:r w:rsidRPr="00980A89">
        <w:rPr>
          <w:sz w:val="22"/>
          <w:szCs w:val="22"/>
        </w:rPr>
        <w:t xml:space="preserve"> по собственной инициативе без получения письма от эмитента.</w:t>
      </w:r>
    </w:p>
    <w:p w:rsidR="00037131" w:rsidRPr="00980A89" w:rsidRDefault="00037131" w:rsidP="00037131">
      <w:pPr>
        <w:tabs>
          <w:tab w:val="left" w:pos="-4820"/>
          <w:tab w:val="left" w:pos="567"/>
          <w:tab w:val="left" w:pos="851"/>
        </w:tabs>
        <w:overflowPunct w:val="0"/>
        <w:autoSpaceDE w:val="0"/>
        <w:autoSpaceDN w:val="0"/>
        <w:adjustRightInd w:val="0"/>
        <w:ind w:left="567"/>
        <w:jc w:val="both"/>
        <w:textAlignment w:val="baseline"/>
        <w:rPr>
          <w:sz w:val="22"/>
          <w:szCs w:val="22"/>
        </w:rPr>
      </w:pPr>
    </w:p>
    <w:p w:rsidR="00037131" w:rsidRPr="00980A89" w:rsidRDefault="00037131" w:rsidP="00037131">
      <w:pPr>
        <w:pStyle w:val="ac"/>
        <w:numPr>
          <w:ilvl w:val="0"/>
          <w:numId w:val="1"/>
        </w:numPr>
        <w:tabs>
          <w:tab w:val="left" w:pos="-4820"/>
          <w:tab w:val="left" w:pos="567"/>
          <w:tab w:val="left" w:pos="851"/>
        </w:tabs>
        <w:overflowPunct w:val="0"/>
        <w:autoSpaceDE w:val="0"/>
        <w:autoSpaceDN w:val="0"/>
        <w:adjustRightInd w:val="0"/>
        <w:ind w:left="0" w:firstLine="567"/>
        <w:jc w:val="both"/>
        <w:textAlignment w:val="baseline"/>
        <w:rPr>
          <w:rFonts w:ascii="Times New Roman" w:hAnsi="Times New Roman"/>
        </w:rPr>
      </w:pPr>
      <w:r w:rsidRPr="00980A89">
        <w:rPr>
          <w:rFonts w:ascii="Times New Roman" w:hAnsi="Times New Roman"/>
          <w:b/>
        </w:rPr>
        <w:t>Правилами предусматривается повышение базовых требований к ценным бумагам и их эмитентам, включаемым в Сектор РИИ</w:t>
      </w:r>
      <w:r w:rsidRPr="00980A89">
        <w:rPr>
          <w:rFonts w:ascii="Times New Roman" w:hAnsi="Times New Roman"/>
        </w:rPr>
        <w:t>:</w:t>
      </w:r>
    </w:p>
    <w:p w:rsidR="00037131" w:rsidRPr="00980A89" w:rsidRDefault="00037131" w:rsidP="00037131">
      <w:pPr>
        <w:pStyle w:val="ac"/>
        <w:numPr>
          <w:ilvl w:val="0"/>
          <w:numId w:val="20"/>
        </w:numPr>
        <w:tabs>
          <w:tab w:val="left" w:pos="-4820"/>
          <w:tab w:val="left" w:pos="567"/>
          <w:tab w:val="left" w:pos="851"/>
        </w:tabs>
        <w:overflowPunct w:val="0"/>
        <w:autoSpaceDE w:val="0"/>
        <w:autoSpaceDN w:val="0"/>
        <w:adjustRightInd w:val="0"/>
        <w:jc w:val="both"/>
        <w:textAlignment w:val="baseline"/>
        <w:rPr>
          <w:rFonts w:ascii="Times New Roman" w:hAnsi="Times New Roman"/>
        </w:rPr>
      </w:pPr>
      <w:r w:rsidRPr="00980A89">
        <w:rPr>
          <w:rFonts w:ascii="Times New Roman" w:hAnsi="Times New Roman"/>
        </w:rPr>
        <w:t xml:space="preserve">составление и раскрытие (опубликование) финансовой (бухгалтерской) отчетности </w:t>
      </w:r>
      <w:r w:rsidRPr="00980A89">
        <w:rPr>
          <w:rFonts w:ascii="Times New Roman" w:eastAsia="Times New Roman" w:hAnsi="Times New Roman"/>
        </w:rPr>
        <w:t>(для акций)</w:t>
      </w:r>
      <w:r w:rsidRPr="00980A89">
        <w:rPr>
          <w:rFonts w:ascii="Times New Roman" w:hAnsi="Times New Roman"/>
        </w:rPr>
        <w:t>,</w:t>
      </w:r>
    </w:p>
    <w:p w:rsidR="00037131" w:rsidRPr="00980A89" w:rsidRDefault="00037131" w:rsidP="00037131">
      <w:pPr>
        <w:pStyle w:val="ac"/>
        <w:numPr>
          <w:ilvl w:val="0"/>
          <w:numId w:val="20"/>
        </w:numPr>
        <w:tabs>
          <w:tab w:val="left" w:pos="-4820"/>
          <w:tab w:val="left" w:pos="567"/>
          <w:tab w:val="left" w:pos="851"/>
        </w:tabs>
        <w:overflowPunct w:val="0"/>
        <w:autoSpaceDE w:val="0"/>
        <w:autoSpaceDN w:val="0"/>
        <w:adjustRightInd w:val="0"/>
        <w:jc w:val="both"/>
        <w:textAlignment w:val="baseline"/>
        <w:rPr>
          <w:rFonts w:ascii="Times New Roman" w:hAnsi="Times New Roman"/>
        </w:rPr>
      </w:pPr>
      <w:r w:rsidRPr="00980A89">
        <w:rPr>
          <w:rFonts w:ascii="Times New Roman" w:hAnsi="Times New Roman"/>
        </w:rPr>
        <w:t>в отдельных случаях - наличие заключения Экспертного совета РИИ с рекомендацией о включении ценной бумаги в Сегмент РИИ-</w:t>
      </w:r>
      <w:proofErr w:type="spellStart"/>
      <w:r w:rsidRPr="00980A89">
        <w:rPr>
          <w:rFonts w:ascii="Times New Roman" w:hAnsi="Times New Roman"/>
        </w:rPr>
        <w:t>Прайм</w:t>
      </w:r>
      <w:proofErr w:type="spellEnd"/>
      <w:r w:rsidRPr="00980A89">
        <w:rPr>
          <w:rFonts w:ascii="Times New Roman" w:hAnsi="Times New Roman"/>
        </w:rPr>
        <w:t>,</w:t>
      </w:r>
    </w:p>
    <w:p w:rsidR="00037131" w:rsidRPr="00980A89" w:rsidRDefault="00037131" w:rsidP="00037131">
      <w:pPr>
        <w:pStyle w:val="ac"/>
        <w:numPr>
          <w:ilvl w:val="0"/>
          <w:numId w:val="20"/>
        </w:numPr>
        <w:tabs>
          <w:tab w:val="left" w:pos="-4820"/>
          <w:tab w:val="left" w:pos="567"/>
          <w:tab w:val="left" w:pos="851"/>
        </w:tabs>
        <w:overflowPunct w:val="0"/>
        <w:autoSpaceDE w:val="0"/>
        <w:autoSpaceDN w:val="0"/>
        <w:adjustRightInd w:val="0"/>
        <w:jc w:val="both"/>
        <w:textAlignment w:val="baseline"/>
        <w:rPr>
          <w:rFonts w:ascii="Times New Roman" w:hAnsi="Times New Roman"/>
        </w:rPr>
      </w:pPr>
      <w:r w:rsidRPr="00980A89">
        <w:rPr>
          <w:rFonts w:ascii="Times New Roman" w:hAnsi="Times New Roman"/>
        </w:rPr>
        <w:t>вводятся требования к содержанию инвестиционного меморандума и заключению Листингового агента, содержащему обоснование оценки рыночной капитализации акций.</w:t>
      </w:r>
    </w:p>
    <w:p w:rsidR="00037131" w:rsidRPr="00980A89" w:rsidRDefault="00037131" w:rsidP="00037131">
      <w:pPr>
        <w:tabs>
          <w:tab w:val="left" w:pos="0"/>
          <w:tab w:val="left" w:pos="1021"/>
        </w:tabs>
        <w:spacing w:before="120" w:after="240"/>
        <w:ind w:firstLine="567"/>
        <w:jc w:val="both"/>
        <w:rPr>
          <w:rFonts w:eastAsia="Calibri"/>
          <w:sz w:val="22"/>
          <w:szCs w:val="22"/>
        </w:rPr>
      </w:pPr>
      <w:r w:rsidRPr="00980A89">
        <w:rPr>
          <w:rFonts w:eastAsia="Calibri"/>
          <w:sz w:val="22"/>
          <w:szCs w:val="22"/>
        </w:rPr>
        <w:t>Также вводится новое основание исключения ценных бумаг из Сектора РИИ/Сегмента РИИ-</w:t>
      </w:r>
      <w:proofErr w:type="spellStart"/>
      <w:r w:rsidRPr="00980A89">
        <w:rPr>
          <w:rFonts w:eastAsia="Calibri"/>
          <w:sz w:val="22"/>
          <w:szCs w:val="22"/>
        </w:rPr>
        <w:t>Прайм</w:t>
      </w:r>
      <w:proofErr w:type="spellEnd"/>
      <w:r w:rsidRPr="00980A89">
        <w:rPr>
          <w:rFonts w:eastAsia="Calibri"/>
          <w:sz w:val="22"/>
          <w:szCs w:val="22"/>
        </w:rPr>
        <w:t xml:space="preserve">: наличие </w:t>
      </w:r>
      <w:proofErr w:type="spellStart"/>
      <w:r w:rsidRPr="00980A89">
        <w:rPr>
          <w:rFonts w:eastAsia="Calibri"/>
          <w:sz w:val="22"/>
          <w:szCs w:val="22"/>
        </w:rPr>
        <w:t>неустраненного</w:t>
      </w:r>
      <w:proofErr w:type="spellEnd"/>
      <w:r w:rsidRPr="00980A89">
        <w:rPr>
          <w:rFonts w:eastAsia="Calibri"/>
          <w:sz w:val="22"/>
          <w:szCs w:val="22"/>
        </w:rPr>
        <w:t xml:space="preserve"> Организацией существенного нарушения требования по раскрытию информации</w:t>
      </w:r>
      <w:r>
        <w:rPr>
          <w:rFonts w:eastAsia="Calibri"/>
          <w:sz w:val="22"/>
          <w:szCs w:val="22"/>
        </w:rPr>
        <w:t>,</w:t>
      </w:r>
      <w:r w:rsidRPr="00980A89">
        <w:rPr>
          <w:rFonts w:eastAsia="Calibri"/>
          <w:sz w:val="22"/>
          <w:szCs w:val="22"/>
        </w:rPr>
        <w:t xml:space="preserve"> с учетом систематичности таких нарушений.</w:t>
      </w:r>
    </w:p>
    <w:p w:rsidR="00037131" w:rsidRPr="00980A89" w:rsidRDefault="00037131" w:rsidP="00037131">
      <w:pPr>
        <w:pStyle w:val="ac"/>
        <w:numPr>
          <w:ilvl w:val="0"/>
          <w:numId w:val="1"/>
        </w:numPr>
        <w:tabs>
          <w:tab w:val="left" w:pos="-4820"/>
          <w:tab w:val="left" w:pos="567"/>
          <w:tab w:val="left" w:pos="851"/>
        </w:tabs>
        <w:overflowPunct w:val="0"/>
        <w:autoSpaceDE w:val="0"/>
        <w:autoSpaceDN w:val="0"/>
        <w:adjustRightInd w:val="0"/>
        <w:spacing w:before="240"/>
        <w:ind w:left="0" w:firstLine="567"/>
        <w:jc w:val="both"/>
        <w:textAlignment w:val="baseline"/>
        <w:rPr>
          <w:rFonts w:ascii="Times New Roman" w:hAnsi="Times New Roman"/>
        </w:rPr>
      </w:pPr>
      <w:r w:rsidRPr="00980A89">
        <w:rPr>
          <w:rFonts w:ascii="Times New Roman" w:hAnsi="Times New Roman"/>
          <w:b/>
        </w:rPr>
        <w:t>В целях защиты прав владельцев в отношении иностранных ценных бумаг вводятся следующие требования</w:t>
      </w:r>
      <w:r w:rsidRPr="00980A89">
        <w:rPr>
          <w:rFonts w:ascii="Times New Roman" w:hAnsi="Times New Roman"/>
        </w:rPr>
        <w:t>:</w:t>
      </w:r>
    </w:p>
    <w:p w:rsidR="00037131" w:rsidRPr="00980A89" w:rsidRDefault="00037131" w:rsidP="00037131">
      <w:pPr>
        <w:tabs>
          <w:tab w:val="left" w:pos="-4820"/>
          <w:tab w:val="left" w:pos="-3686"/>
        </w:tabs>
        <w:overflowPunct w:val="0"/>
        <w:autoSpaceDE w:val="0"/>
        <w:autoSpaceDN w:val="0"/>
        <w:adjustRightInd w:val="0"/>
        <w:ind w:firstLine="567"/>
        <w:jc w:val="both"/>
        <w:textAlignment w:val="baseline"/>
        <w:rPr>
          <w:rFonts w:eastAsia="Calibri"/>
          <w:sz w:val="22"/>
          <w:szCs w:val="22"/>
        </w:rPr>
      </w:pPr>
      <w:proofErr w:type="gramStart"/>
      <w:r w:rsidRPr="00980A89">
        <w:rPr>
          <w:rFonts w:eastAsia="Calibri"/>
          <w:sz w:val="22"/>
          <w:szCs w:val="22"/>
        </w:rPr>
        <w:t>1) вводится право Биржи признать наступление дефолта эмитента иностранных ценных бумаг при наличии сведений/документов о наступлении дефолта, поступивших от эмитента иностранных ценных бумаг (эмитента представляемых ценных бумаг) или раскрытых иностранной биржей, и осуществить в связи с этим процедуры, предусмотренные Правилами (в том числе принять решение об ограничении перечня допустимых режимов торгов в отношении выпуска облигаций, всех или некоторых выпусков</w:t>
      </w:r>
      <w:proofErr w:type="gramEnd"/>
      <w:r w:rsidRPr="00980A89">
        <w:rPr>
          <w:rFonts w:eastAsia="Calibri"/>
          <w:sz w:val="22"/>
          <w:szCs w:val="22"/>
        </w:rPr>
        <w:t xml:space="preserve"> облигаций эмитента);</w:t>
      </w:r>
    </w:p>
    <w:p w:rsidR="00037131" w:rsidRPr="00980A89" w:rsidRDefault="00037131" w:rsidP="00037131">
      <w:pPr>
        <w:tabs>
          <w:tab w:val="left" w:pos="-4820"/>
          <w:tab w:val="left" w:pos="-3686"/>
        </w:tabs>
        <w:overflowPunct w:val="0"/>
        <w:autoSpaceDE w:val="0"/>
        <w:autoSpaceDN w:val="0"/>
        <w:adjustRightInd w:val="0"/>
        <w:ind w:firstLine="567"/>
        <w:jc w:val="both"/>
        <w:textAlignment w:val="baseline"/>
        <w:rPr>
          <w:sz w:val="22"/>
          <w:szCs w:val="22"/>
        </w:rPr>
      </w:pPr>
      <w:r w:rsidRPr="00980A89">
        <w:rPr>
          <w:rFonts w:eastAsia="Calibri"/>
          <w:sz w:val="22"/>
          <w:szCs w:val="22"/>
        </w:rPr>
        <w:t>2) при включении о</w:t>
      </w:r>
      <w:r w:rsidRPr="00980A89">
        <w:rPr>
          <w:sz w:val="22"/>
          <w:szCs w:val="22"/>
        </w:rPr>
        <w:t>блигаций иностранного эмитента и иностранных депозитарных расписок на облигации во Второй или Первый уровень должен отсутствовать дефолт эмитента</w:t>
      </w:r>
      <w:r w:rsidRPr="00980A89">
        <w:rPr>
          <w:bCs/>
          <w:sz w:val="22"/>
          <w:szCs w:val="22"/>
        </w:rPr>
        <w:t xml:space="preserve"> и российского юридического лица, которому передаются доходы от размещения облигаций или российского юридического лица, который </w:t>
      </w:r>
      <w:r w:rsidRPr="00980A89">
        <w:rPr>
          <w:sz w:val="22"/>
          <w:szCs w:val="22"/>
        </w:rPr>
        <w:t xml:space="preserve">несет солидарную ответственность по обязательствам по облигациям, либо с момента прекращения обязательств, в отношении которых </w:t>
      </w:r>
      <w:proofErr w:type="gramStart"/>
      <w:r w:rsidRPr="00980A89">
        <w:rPr>
          <w:sz w:val="22"/>
          <w:szCs w:val="22"/>
        </w:rPr>
        <w:t>эмитентом</w:t>
      </w:r>
      <w:proofErr w:type="gramEnd"/>
      <w:r>
        <w:rPr>
          <w:sz w:val="22"/>
          <w:szCs w:val="22"/>
        </w:rPr>
        <w:t>/</w:t>
      </w:r>
      <w:r w:rsidRPr="00C67B7A">
        <w:rPr>
          <w:sz w:val="22"/>
          <w:szCs w:val="22"/>
        </w:rPr>
        <w:t>предусмотренным юридическим лицом</w:t>
      </w:r>
      <w:r w:rsidRPr="00980A89">
        <w:rPr>
          <w:sz w:val="22"/>
          <w:szCs w:val="22"/>
        </w:rPr>
        <w:t xml:space="preserve"> был допущен дефолт, прошло не менее 2(3) лет соответственно;</w:t>
      </w:r>
    </w:p>
    <w:p w:rsidR="00037131" w:rsidRPr="00980A89" w:rsidRDefault="00037131" w:rsidP="00037131">
      <w:pPr>
        <w:tabs>
          <w:tab w:val="left" w:pos="-4820"/>
          <w:tab w:val="left" w:pos="-3686"/>
        </w:tabs>
        <w:overflowPunct w:val="0"/>
        <w:autoSpaceDE w:val="0"/>
        <w:autoSpaceDN w:val="0"/>
        <w:adjustRightInd w:val="0"/>
        <w:ind w:firstLine="567"/>
        <w:jc w:val="both"/>
        <w:textAlignment w:val="baseline"/>
        <w:rPr>
          <w:sz w:val="22"/>
          <w:szCs w:val="22"/>
        </w:rPr>
      </w:pPr>
      <w:proofErr w:type="gramStart"/>
      <w:r w:rsidRPr="00980A89">
        <w:rPr>
          <w:sz w:val="22"/>
          <w:szCs w:val="22"/>
        </w:rPr>
        <w:t xml:space="preserve">3) при </w:t>
      </w:r>
      <w:r w:rsidRPr="00980A89">
        <w:rPr>
          <w:rFonts w:eastAsia="Calibri"/>
          <w:sz w:val="22"/>
          <w:szCs w:val="22"/>
        </w:rPr>
        <w:t>включении о</w:t>
      </w:r>
      <w:r w:rsidRPr="00980A89">
        <w:rPr>
          <w:sz w:val="22"/>
          <w:szCs w:val="22"/>
        </w:rPr>
        <w:t>блигаций иностранного эмитента и иностранных депозитарных расписок на облигации в Первый уровень дополнительно вводится возможность учитывать кредитный рейтинг, присвоенный российскому юридическому лицу, которому передаются доходы от размещения облигаций или российскому юридическому лицу, который несет солидарную ответственность по обязательствам по облигациям (рейтинг данных российских юридических лиц учитывается в случае, если проспект облигаций иностранного эмитента содержит норму или нормы</w:t>
      </w:r>
      <w:proofErr w:type="gramEnd"/>
      <w:r w:rsidRPr="00980A89">
        <w:rPr>
          <w:sz w:val="22"/>
          <w:szCs w:val="22"/>
        </w:rPr>
        <w:t xml:space="preserve"> о том, что доходы от размещения таких облигаций передаются российскому юридическому лицу и (или) российское юридическое лицо несет солидарную ответственность по обязательствам по таким облигациям).</w:t>
      </w:r>
    </w:p>
    <w:p w:rsidR="00037131" w:rsidRPr="00980A89" w:rsidRDefault="00037131" w:rsidP="00037131">
      <w:pPr>
        <w:pStyle w:val="ac"/>
        <w:numPr>
          <w:ilvl w:val="0"/>
          <w:numId w:val="1"/>
        </w:numPr>
        <w:tabs>
          <w:tab w:val="left" w:pos="-4820"/>
          <w:tab w:val="left" w:pos="-1560"/>
          <w:tab w:val="left" w:pos="851"/>
        </w:tabs>
        <w:overflowPunct w:val="0"/>
        <w:autoSpaceDE w:val="0"/>
        <w:autoSpaceDN w:val="0"/>
        <w:adjustRightInd w:val="0"/>
        <w:spacing w:before="240" w:after="240"/>
        <w:ind w:left="0" w:firstLine="567"/>
        <w:jc w:val="both"/>
        <w:textAlignment w:val="baseline"/>
        <w:rPr>
          <w:rFonts w:ascii="Times New Roman" w:hAnsi="Times New Roman"/>
        </w:rPr>
      </w:pPr>
      <w:proofErr w:type="gramStart"/>
      <w:r w:rsidRPr="00980A89">
        <w:rPr>
          <w:rFonts w:ascii="Times New Roman" w:hAnsi="Times New Roman"/>
          <w:b/>
        </w:rPr>
        <w:t xml:space="preserve">Положения Правил приведены в соответствие с нормами Положения о раскрытии информации эмитентами эмиссионных ценных бумаг, утвержденного Банком России 30.12.2014 № 454-П </w:t>
      </w:r>
      <w:r w:rsidRPr="00980A89">
        <w:rPr>
          <w:rFonts w:ascii="Times New Roman" w:hAnsi="Times New Roman"/>
        </w:rPr>
        <w:t>и вступившего в силу 17.03.2015, в части раскрытия информации на этапах процедуры эмиссии биржевых облигаций, в том числе исключены правила раскрытия эмитентом сообщения о присвоении выпуску (дополнительному выпуску) биржевых облигаций идентификационного номера.</w:t>
      </w:r>
      <w:proofErr w:type="gramEnd"/>
    </w:p>
    <w:p w:rsidR="00037131" w:rsidRPr="00980A89" w:rsidRDefault="00037131" w:rsidP="00037131">
      <w:pPr>
        <w:pStyle w:val="ac"/>
        <w:numPr>
          <w:ilvl w:val="0"/>
          <w:numId w:val="1"/>
        </w:numPr>
        <w:tabs>
          <w:tab w:val="left" w:pos="-4820"/>
          <w:tab w:val="left" w:pos="567"/>
          <w:tab w:val="left" w:pos="851"/>
        </w:tabs>
        <w:overflowPunct w:val="0"/>
        <w:autoSpaceDE w:val="0"/>
        <w:autoSpaceDN w:val="0"/>
        <w:adjustRightInd w:val="0"/>
        <w:spacing w:after="240"/>
        <w:ind w:left="0" w:firstLine="567"/>
        <w:jc w:val="both"/>
        <w:textAlignment w:val="baseline"/>
        <w:rPr>
          <w:rFonts w:ascii="Times New Roman" w:hAnsi="Times New Roman"/>
        </w:rPr>
      </w:pPr>
      <w:proofErr w:type="gramStart"/>
      <w:r w:rsidRPr="00980A89">
        <w:rPr>
          <w:rFonts w:ascii="Times New Roman" w:hAnsi="Times New Roman"/>
        </w:rPr>
        <w:lastRenderedPageBreak/>
        <w:t xml:space="preserve">Положения Правил приведены в соответствие с нормами Положения о порядке включения лиц в список лиц, осуществляющих деятельность представителей владельцев облигаций, и исключения лиц из указанного списка, порядке информирования владельцев облигаций их представителем, порядке представления уведомления, содержащего сведения о представителе владельцев облигаций, и требованиях к его форме и содержанию, утвержденного Банком России 29.10.2014 № 439-П, а именно </w:t>
      </w:r>
      <w:r w:rsidRPr="00295644">
        <w:rPr>
          <w:rFonts w:ascii="Times New Roman" w:hAnsi="Times New Roman"/>
          <w:b/>
        </w:rPr>
        <w:t>предусмотрена процедура утверждения изменений в</w:t>
      </w:r>
      <w:proofErr w:type="gramEnd"/>
      <w:r w:rsidRPr="00295644">
        <w:rPr>
          <w:rFonts w:ascii="Times New Roman" w:hAnsi="Times New Roman"/>
          <w:b/>
        </w:rPr>
        <w:t xml:space="preserve"> решение о выпуске биржевых облигаций в части сведений о представителе владельцев биржевых облигаций, вносимых посредством направления уведомления на Биржу</w:t>
      </w:r>
      <w:r w:rsidRPr="00980A89">
        <w:rPr>
          <w:rFonts w:ascii="Times New Roman" w:hAnsi="Times New Roman"/>
        </w:rPr>
        <w:t>.</w:t>
      </w:r>
    </w:p>
    <w:p w:rsidR="00037131" w:rsidRPr="00980A89" w:rsidRDefault="00037131" w:rsidP="00037131">
      <w:pPr>
        <w:pStyle w:val="ac"/>
        <w:numPr>
          <w:ilvl w:val="0"/>
          <w:numId w:val="1"/>
        </w:numPr>
        <w:tabs>
          <w:tab w:val="left" w:pos="-4820"/>
          <w:tab w:val="left" w:pos="567"/>
          <w:tab w:val="left" w:pos="851"/>
        </w:tabs>
        <w:overflowPunct w:val="0"/>
        <w:autoSpaceDE w:val="0"/>
        <w:autoSpaceDN w:val="0"/>
        <w:adjustRightInd w:val="0"/>
        <w:spacing w:after="240"/>
        <w:ind w:left="0" w:firstLine="567"/>
        <w:jc w:val="both"/>
        <w:textAlignment w:val="baseline"/>
        <w:rPr>
          <w:rFonts w:ascii="Times New Roman" w:hAnsi="Times New Roman"/>
        </w:rPr>
      </w:pPr>
      <w:proofErr w:type="gramStart"/>
      <w:r w:rsidRPr="00980A89">
        <w:rPr>
          <w:rFonts w:ascii="Times New Roman" w:hAnsi="Times New Roman"/>
        </w:rPr>
        <w:t xml:space="preserve">В целях снижения рисков финансовых потерь инвесторов от приобретения на торгах Биржи ценных бумаг с непрогнозируемым уровнем инвестиционного риска Правилами </w:t>
      </w:r>
      <w:r w:rsidRPr="00980A89">
        <w:rPr>
          <w:rFonts w:ascii="Times New Roman" w:hAnsi="Times New Roman"/>
          <w:b/>
        </w:rPr>
        <w:t>предусмотрена возможность</w:t>
      </w:r>
      <w:r w:rsidRPr="00980A89">
        <w:rPr>
          <w:rFonts w:ascii="Times New Roman" w:hAnsi="Times New Roman"/>
        </w:rPr>
        <w:t xml:space="preserve"> </w:t>
      </w:r>
      <w:r w:rsidRPr="00980A89">
        <w:rPr>
          <w:rFonts w:ascii="Times New Roman" w:hAnsi="Times New Roman"/>
          <w:b/>
        </w:rPr>
        <w:t xml:space="preserve">включать в Сектор компаний повышенного инвестиционного риска ценные бумаги в случае наличия </w:t>
      </w:r>
      <w:proofErr w:type="spellStart"/>
      <w:r w:rsidRPr="00980A89">
        <w:rPr>
          <w:rFonts w:ascii="Times New Roman" w:hAnsi="Times New Roman"/>
          <w:b/>
        </w:rPr>
        <w:t>неустраненного</w:t>
      </w:r>
      <w:proofErr w:type="spellEnd"/>
      <w:r w:rsidRPr="00980A89">
        <w:rPr>
          <w:rFonts w:ascii="Times New Roman" w:hAnsi="Times New Roman"/>
          <w:b/>
        </w:rPr>
        <w:t xml:space="preserve"> эмитентом таких ценных бумаг существенного нарушения требований по раскрытию информации</w:t>
      </w:r>
      <w:r w:rsidRPr="00980A89">
        <w:rPr>
          <w:rFonts w:ascii="Times New Roman" w:hAnsi="Times New Roman"/>
        </w:rPr>
        <w:t xml:space="preserve"> и/или принятия Биржей решения об оставлении ценных бумаг в Списке в случаях, предусмотренных Правилами</w:t>
      </w:r>
      <w:proofErr w:type="gramEnd"/>
      <w:r w:rsidRPr="00980A89">
        <w:rPr>
          <w:rFonts w:ascii="Times New Roman" w:hAnsi="Times New Roman"/>
        </w:rPr>
        <w:t>, без получения рекомендаций Комитета по фондовому рынку.</w:t>
      </w:r>
    </w:p>
    <w:p w:rsidR="00037131" w:rsidRPr="00980A89" w:rsidRDefault="00037131" w:rsidP="00037131">
      <w:pPr>
        <w:pStyle w:val="ac"/>
        <w:numPr>
          <w:ilvl w:val="0"/>
          <w:numId w:val="1"/>
        </w:numPr>
        <w:tabs>
          <w:tab w:val="left" w:pos="-4820"/>
          <w:tab w:val="left" w:pos="567"/>
          <w:tab w:val="left" w:pos="851"/>
        </w:tabs>
        <w:overflowPunct w:val="0"/>
        <w:autoSpaceDE w:val="0"/>
        <w:autoSpaceDN w:val="0"/>
        <w:adjustRightInd w:val="0"/>
        <w:spacing w:after="240"/>
        <w:ind w:left="0" w:firstLine="567"/>
        <w:jc w:val="both"/>
        <w:textAlignment w:val="baseline"/>
        <w:rPr>
          <w:rFonts w:ascii="Times New Roman" w:hAnsi="Times New Roman"/>
        </w:rPr>
      </w:pPr>
      <w:r w:rsidRPr="00980A89">
        <w:rPr>
          <w:rFonts w:ascii="Times New Roman" w:hAnsi="Times New Roman"/>
          <w:b/>
        </w:rPr>
        <w:t xml:space="preserve">Внесены корректировки </w:t>
      </w:r>
      <w:proofErr w:type="gramStart"/>
      <w:r w:rsidRPr="00980A89">
        <w:rPr>
          <w:rFonts w:ascii="Times New Roman" w:hAnsi="Times New Roman"/>
          <w:b/>
        </w:rPr>
        <w:t>в части обязанности эмитента по представлению на Биржу информации в письменном виде</w:t>
      </w:r>
      <w:r w:rsidRPr="00980A89">
        <w:rPr>
          <w:rFonts w:ascii="Times New Roman" w:hAnsi="Times New Roman"/>
        </w:rPr>
        <w:t xml:space="preserve"> в следующих случаях</w:t>
      </w:r>
      <w:proofErr w:type="gramEnd"/>
      <w:r w:rsidRPr="00980A89">
        <w:rPr>
          <w:rFonts w:ascii="Times New Roman" w:hAnsi="Times New Roman"/>
        </w:rPr>
        <w:t>:</w:t>
      </w:r>
    </w:p>
    <w:p w:rsidR="00037131" w:rsidRPr="00980A89" w:rsidRDefault="00037131" w:rsidP="00037131">
      <w:pPr>
        <w:pStyle w:val="ac"/>
        <w:numPr>
          <w:ilvl w:val="0"/>
          <w:numId w:val="21"/>
        </w:numPr>
        <w:tabs>
          <w:tab w:val="left" w:pos="-4820"/>
          <w:tab w:val="left" w:pos="567"/>
          <w:tab w:val="left" w:pos="851"/>
        </w:tabs>
        <w:overflowPunct w:val="0"/>
        <w:autoSpaceDE w:val="0"/>
        <w:autoSpaceDN w:val="0"/>
        <w:adjustRightInd w:val="0"/>
        <w:jc w:val="both"/>
        <w:textAlignment w:val="baseline"/>
        <w:rPr>
          <w:rFonts w:ascii="Times New Roman" w:hAnsi="Times New Roman"/>
        </w:rPr>
      </w:pPr>
      <w:r w:rsidRPr="00980A89">
        <w:rPr>
          <w:rFonts w:ascii="Times New Roman" w:hAnsi="Times New Roman"/>
        </w:rPr>
        <w:t xml:space="preserve">внесение изменений в решение о выпуске облигаций (за исключением биржевых облигаций). Информация представляется не позднее 3 рабочих дней </w:t>
      </w:r>
      <w:proofErr w:type="gramStart"/>
      <w:r w:rsidRPr="00980A89">
        <w:rPr>
          <w:rFonts w:ascii="Times New Roman" w:hAnsi="Times New Roman"/>
        </w:rPr>
        <w:t>с даты принятия</w:t>
      </w:r>
      <w:proofErr w:type="gramEnd"/>
      <w:r w:rsidRPr="00980A89">
        <w:rPr>
          <w:rFonts w:ascii="Times New Roman" w:hAnsi="Times New Roman"/>
        </w:rPr>
        <w:t xml:space="preserve"> решения о внесении изменений уполномоченным органом эмитента с указанием планируемой даты подачи документов в регистрирующий орган и планируемой даты регистрации таких изменений;</w:t>
      </w:r>
    </w:p>
    <w:p w:rsidR="00037131" w:rsidRPr="00980A89" w:rsidRDefault="00037131" w:rsidP="00037131">
      <w:pPr>
        <w:pStyle w:val="ac"/>
        <w:numPr>
          <w:ilvl w:val="0"/>
          <w:numId w:val="21"/>
        </w:numPr>
        <w:tabs>
          <w:tab w:val="left" w:pos="-4820"/>
          <w:tab w:val="left" w:pos="567"/>
          <w:tab w:val="left" w:pos="851"/>
        </w:tabs>
        <w:overflowPunct w:val="0"/>
        <w:autoSpaceDE w:val="0"/>
        <w:autoSpaceDN w:val="0"/>
        <w:adjustRightInd w:val="0"/>
        <w:jc w:val="both"/>
        <w:textAlignment w:val="baseline"/>
        <w:rPr>
          <w:rFonts w:ascii="Times New Roman" w:hAnsi="Times New Roman"/>
        </w:rPr>
      </w:pPr>
      <w:r w:rsidRPr="00980A89">
        <w:rPr>
          <w:rFonts w:ascii="Times New Roman" w:hAnsi="Times New Roman"/>
        </w:rPr>
        <w:t>предстоящее направление заявления о завершении реорганизации в регистрирующий орган. Срок представления информации сокращен до 4 дней;</w:t>
      </w:r>
    </w:p>
    <w:p w:rsidR="00037131" w:rsidRPr="00980A89" w:rsidRDefault="00037131" w:rsidP="00037131">
      <w:pPr>
        <w:pStyle w:val="ac"/>
        <w:numPr>
          <w:ilvl w:val="0"/>
          <w:numId w:val="21"/>
        </w:numPr>
        <w:tabs>
          <w:tab w:val="left" w:pos="-4820"/>
          <w:tab w:val="left" w:pos="567"/>
          <w:tab w:val="left" w:pos="851"/>
        </w:tabs>
        <w:overflowPunct w:val="0"/>
        <w:autoSpaceDE w:val="0"/>
        <w:autoSpaceDN w:val="0"/>
        <w:adjustRightInd w:val="0"/>
        <w:jc w:val="both"/>
        <w:textAlignment w:val="baseline"/>
        <w:rPr>
          <w:rFonts w:ascii="Times New Roman" w:hAnsi="Times New Roman"/>
        </w:rPr>
      </w:pPr>
      <w:r w:rsidRPr="00980A89">
        <w:rPr>
          <w:rFonts w:ascii="Times New Roman" w:hAnsi="Times New Roman"/>
        </w:rPr>
        <w:t>предстоящее досрочное погашение ценных бумаг (представляемых ценных бумаг). Срок представления информации сокращен до 2 дней;</w:t>
      </w:r>
    </w:p>
    <w:p w:rsidR="00037131" w:rsidRPr="00980A89" w:rsidRDefault="00037131" w:rsidP="00037131">
      <w:pPr>
        <w:pStyle w:val="ac"/>
        <w:numPr>
          <w:ilvl w:val="0"/>
          <w:numId w:val="21"/>
        </w:numPr>
        <w:tabs>
          <w:tab w:val="left" w:pos="-4820"/>
          <w:tab w:val="left" w:pos="567"/>
          <w:tab w:val="left" w:pos="851"/>
        </w:tabs>
        <w:overflowPunct w:val="0"/>
        <w:autoSpaceDE w:val="0"/>
        <w:autoSpaceDN w:val="0"/>
        <w:adjustRightInd w:val="0"/>
        <w:jc w:val="both"/>
        <w:textAlignment w:val="baseline"/>
        <w:rPr>
          <w:rFonts w:ascii="Times New Roman" w:hAnsi="Times New Roman"/>
        </w:rPr>
      </w:pPr>
      <w:r w:rsidRPr="00980A89">
        <w:rPr>
          <w:rFonts w:ascii="Times New Roman" w:hAnsi="Times New Roman"/>
        </w:rPr>
        <w:t>наступление технического дефолта, в случае полного исполнения обязательств в рамках технического дефолта, а также при наступлении дефолта. Информация должна быть представлена эмитентом в срок - не позднее 11.00 (по московскому времени) рабочего дня, следующего за днем наступления таких событий;</w:t>
      </w:r>
    </w:p>
    <w:p w:rsidR="00037131" w:rsidRPr="00980A89" w:rsidRDefault="00037131" w:rsidP="00037131">
      <w:pPr>
        <w:pStyle w:val="ac"/>
        <w:numPr>
          <w:ilvl w:val="0"/>
          <w:numId w:val="21"/>
        </w:numPr>
        <w:tabs>
          <w:tab w:val="left" w:pos="-4820"/>
          <w:tab w:val="left" w:pos="567"/>
          <w:tab w:val="left" w:pos="851"/>
        </w:tabs>
        <w:overflowPunct w:val="0"/>
        <w:autoSpaceDE w:val="0"/>
        <w:autoSpaceDN w:val="0"/>
        <w:adjustRightInd w:val="0"/>
        <w:spacing w:after="240"/>
        <w:jc w:val="both"/>
        <w:textAlignment w:val="baseline"/>
        <w:rPr>
          <w:rFonts w:ascii="Times New Roman" w:hAnsi="Times New Roman"/>
        </w:rPr>
      </w:pPr>
      <w:r w:rsidRPr="00980A89">
        <w:rPr>
          <w:rFonts w:ascii="Times New Roman" w:hAnsi="Times New Roman"/>
        </w:rPr>
        <w:t xml:space="preserve">определение даты начала размещения ценной бумаги. Анкета ценной бумаги и Уведомление о начале размещения ценных бумаг представляются не позднее  10.00 (по московскому времени) </w:t>
      </w:r>
      <w:r w:rsidRPr="000A7425">
        <w:rPr>
          <w:rFonts w:ascii="Times New Roman" w:hAnsi="Times New Roman"/>
        </w:rPr>
        <w:t xml:space="preserve">2-го рабочего дня </w:t>
      </w:r>
      <w:r w:rsidRPr="00980A89">
        <w:rPr>
          <w:rFonts w:ascii="Times New Roman" w:hAnsi="Times New Roman"/>
        </w:rPr>
        <w:t xml:space="preserve">до даты начала размещения. </w:t>
      </w:r>
    </w:p>
    <w:p w:rsidR="00037131" w:rsidRPr="00980A89" w:rsidRDefault="00037131" w:rsidP="00037131">
      <w:pPr>
        <w:pStyle w:val="ac"/>
        <w:numPr>
          <w:ilvl w:val="0"/>
          <w:numId w:val="1"/>
        </w:numPr>
        <w:tabs>
          <w:tab w:val="left" w:pos="-4820"/>
          <w:tab w:val="left" w:pos="567"/>
          <w:tab w:val="left" w:pos="851"/>
        </w:tabs>
        <w:overflowPunct w:val="0"/>
        <w:autoSpaceDE w:val="0"/>
        <w:autoSpaceDN w:val="0"/>
        <w:adjustRightInd w:val="0"/>
        <w:spacing w:after="240"/>
        <w:ind w:left="0" w:firstLine="567"/>
        <w:jc w:val="both"/>
        <w:textAlignment w:val="baseline"/>
        <w:rPr>
          <w:rFonts w:ascii="Times New Roman" w:hAnsi="Times New Roman"/>
        </w:rPr>
      </w:pPr>
      <w:r w:rsidRPr="00980A89">
        <w:rPr>
          <w:rFonts w:ascii="Times New Roman" w:hAnsi="Times New Roman"/>
          <w:b/>
        </w:rPr>
        <w:t xml:space="preserve"> </w:t>
      </w:r>
      <w:proofErr w:type="gramStart"/>
      <w:r w:rsidRPr="00980A89">
        <w:rPr>
          <w:rFonts w:ascii="Times New Roman" w:hAnsi="Times New Roman"/>
          <w:b/>
        </w:rPr>
        <w:t>Установлен переходный период</w:t>
      </w:r>
      <w:r w:rsidRPr="00980A89">
        <w:rPr>
          <w:rFonts w:ascii="Times New Roman" w:hAnsi="Times New Roman"/>
        </w:rPr>
        <w:t xml:space="preserve"> (2 </w:t>
      </w:r>
      <w:r>
        <w:rPr>
          <w:rFonts w:ascii="Times New Roman" w:hAnsi="Times New Roman"/>
        </w:rPr>
        <w:t>года</w:t>
      </w:r>
      <w:r w:rsidRPr="00980A89">
        <w:rPr>
          <w:rFonts w:ascii="Times New Roman" w:hAnsi="Times New Roman"/>
        </w:rPr>
        <w:t xml:space="preserve"> с даты вступления в силу Правил листинга ЗАО «ФБ ММВБ», утвержденных Советом директоров ЗАО «ФБ ММВБ» 31 декабря 2013 года (Протокол № 17)</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Д</w:t>
      </w:r>
      <w:r w:rsidRPr="00980A89">
        <w:rPr>
          <w:rFonts w:ascii="Times New Roman" w:hAnsi="Times New Roman"/>
        </w:rPr>
        <w:t>ата вступления в силу</w:t>
      </w:r>
      <w:r>
        <w:rPr>
          <w:rFonts w:ascii="Times New Roman" w:hAnsi="Times New Roman"/>
        </w:rPr>
        <w:t xml:space="preserve"> –</w:t>
      </w:r>
      <w:r w:rsidRPr="00980A89">
        <w:rPr>
          <w:rFonts w:ascii="Times New Roman" w:hAnsi="Times New Roman"/>
        </w:rPr>
        <w:t xml:space="preserve"> 09.06.2014г.), </w:t>
      </w:r>
      <w:r w:rsidRPr="00980A89">
        <w:rPr>
          <w:rFonts w:ascii="Times New Roman" w:hAnsi="Times New Roman"/>
          <w:b/>
        </w:rPr>
        <w:t>по истечении которого Управляющие ипотечным покрытием будут обязаны раскрывать на своем сайте в отношении ипотечных сертификатов участия</w:t>
      </w:r>
      <w:r w:rsidRPr="00980A89">
        <w:rPr>
          <w:rFonts w:ascii="Times New Roman" w:hAnsi="Times New Roman"/>
        </w:rPr>
        <w:t xml:space="preserve">, </w:t>
      </w:r>
      <w:r w:rsidRPr="00980A89">
        <w:rPr>
          <w:rFonts w:ascii="Times New Roman" w:hAnsi="Times New Roman"/>
          <w:b/>
        </w:rPr>
        <w:t>включенных в Первый уровень</w:t>
      </w:r>
      <w:r w:rsidRPr="00980A89">
        <w:rPr>
          <w:rFonts w:ascii="Times New Roman" w:hAnsi="Times New Roman"/>
        </w:rPr>
        <w:t xml:space="preserve"> до 15.04.2015г. </w:t>
      </w:r>
      <w:r>
        <w:rPr>
          <w:rFonts w:ascii="Times New Roman" w:hAnsi="Times New Roman"/>
        </w:rPr>
        <w:t xml:space="preserve">(дата </w:t>
      </w:r>
      <w:r w:rsidRPr="00980A89">
        <w:rPr>
          <w:rFonts w:ascii="Times New Roman" w:hAnsi="Times New Roman"/>
        </w:rPr>
        <w:t>вступления в силу Правил листинга ЗАО «ФБ ММВБ», утвержденных Советом директоров ЗАО «ФБ ММВБ» 27.02.2015 г. (Протокол № 13)</w:t>
      </w:r>
      <w:r>
        <w:rPr>
          <w:rFonts w:ascii="Times New Roman" w:hAnsi="Times New Roman"/>
        </w:rPr>
        <w:t>)</w:t>
      </w:r>
      <w:r w:rsidRPr="00980A89">
        <w:rPr>
          <w:rFonts w:ascii="Times New Roman" w:hAnsi="Times New Roman"/>
        </w:rPr>
        <w:t>, следующую информацию:</w:t>
      </w:r>
      <w:proofErr w:type="gramEnd"/>
    </w:p>
    <w:p w:rsidR="00037131" w:rsidRPr="00980A89" w:rsidRDefault="00037131" w:rsidP="00037131">
      <w:pPr>
        <w:pStyle w:val="ac"/>
        <w:widowControl w:val="0"/>
        <w:numPr>
          <w:ilvl w:val="0"/>
          <w:numId w:val="22"/>
        </w:numPr>
        <w:overflowPunct w:val="0"/>
        <w:autoSpaceDE w:val="0"/>
        <w:autoSpaceDN w:val="0"/>
        <w:adjustRightInd w:val="0"/>
        <w:ind w:right="142"/>
        <w:contextualSpacing/>
        <w:jc w:val="both"/>
        <w:rPr>
          <w:rFonts w:ascii="Times New Roman" w:hAnsi="Times New Roman"/>
        </w:rPr>
      </w:pPr>
      <w:r w:rsidRPr="00980A89">
        <w:rPr>
          <w:rFonts w:ascii="Times New Roman" w:hAnsi="Times New Roman"/>
        </w:rPr>
        <w:t>реестр ипотечного покрытия;</w:t>
      </w:r>
    </w:p>
    <w:p w:rsidR="00037131" w:rsidRPr="00980A89" w:rsidRDefault="00037131" w:rsidP="00037131">
      <w:pPr>
        <w:pStyle w:val="ac"/>
        <w:widowControl w:val="0"/>
        <w:numPr>
          <w:ilvl w:val="0"/>
          <w:numId w:val="22"/>
        </w:numPr>
        <w:overflowPunct w:val="0"/>
        <w:autoSpaceDE w:val="0"/>
        <w:autoSpaceDN w:val="0"/>
        <w:adjustRightInd w:val="0"/>
        <w:ind w:right="142"/>
        <w:contextualSpacing/>
        <w:jc w:val="both"/>
        <w:rPr>
          <w:rFonts w:ascii="Times New Roman" w:hAnsi="Times New Roman"/>
        </w:rPr>
      </w:pPr>
      <w:r w:rsidRPr="00980A89">
        <w:rPr>
          <w:rFonts w:ascii="Times New Roman" w:hAnsi="Times New Roman"/>
        </w:rPr>
        <w:t>справку о структуре ипотечного покрытия и о расходах, связанных с доверительным управлением, включая информацию о  вознаграждении сервисным агентам и иных расходах (по форме</w:t>
      </w:r>
      <w:r>
        <w:rPr>
          <w:rFonts w:ascii="Times New Roman" w:hAnsi="Times New Roman"/>
        </w:rPr>
        <w:t>,</w:t>
      </w:r>
      <w:r w:rsidRPr="00980A89">
        <w:rPr>
          <w:rFonts w:ascii="Times New Roman" w:hAnsi="Times New Roman"/>
        </w:rPr>
        <w:t xml:space="preserve"> установленной Биржей);</w:t>
      </w:r>
    </w:p>
    <w:p w:rsidR="00037131" w:rsidRPr="00980A89" w:rsidRDefault="00037131" w:rsidP="00037131">
      <w:pPr>
        <w:pStyle w:val="ac"/>
        <w:numPr>
          <w:ilvl w:val="0"/>
          <w:numId w:val="22"/>
        </w:numPr>
        <w:tabs>
          <w:tab w:val="left" w:pos="-4820"/>
          <w:tab w:val="left" w:pos="-1418"/>
        </w:tabs>
        <w:overflowPunct w:val="0"/>
        <w:autoSpaceDE w:val="0"/>
        <w:autoSpaceDN w:val="0"/>
        <w:adjustRightInd w:val="0"/>
        <w:spacing w:after="240"/>
        <w:jc w:val="both"/>
        <w:textAlignment w:val="baseline"/>
        <w:rPr>
          <w:rFonts w:ascii="Times New Roman" w:hAnsi="Times New Roman"/>
        </w:rPr>
      </w:pPr>
      <w:r w:rsidRPr="00980A89">
        <w:rPr>
          <w:rFonts w:ascii="Times New Roman" w:hAnsi="Times New Roman"/>
        </w:rPr>
        <w:t>справку о прогнозе будущих потоков доходов и расходов (по основной сумме долга, процентам и о выполнении таких прогнозов).</w:t>
      </w:r>
    </w:p>
    <w:p w:rsidR="00037131" w:rsidRPr="00980A89" w:rsidRDefault="00037131" w:rsidP="00037131">
      <w:pPr>
        <w:tabs>
          <w:tab w:val="left" w:pos="-4820"/>
          <w:tab w:val="left" w:pos="-1134"/>
        </w:tabs>
        <w:overflowPunct w:val="0"/>
        <w:autoSpaceDE w:val="0"/>
        <w:autoSpaceDN w:val="0"/>
        <w:adjustRightInd w:val="0"/>
        <w:spacing w:after="240"/>
        <w:ind w:firstLine="567"/>
        <w:jc w:val="both"/>
        <w:textAlignment w:val="baseline"/>
        <w:rPr>
          <w:rFonts w:eastAsia="Calibri"/>
          <w:sz w:val="22"/>
          <w:szCs w:val="22"/>
        </w:rPr>
      </w:pPr>
      <w:r w:rsidRPr="00980A89">
        <w:rPr>
          <w:rFonts w:eastAsia="Calibri"/>
          <w:sz w:val="22"/>
          <w:szCs w:val="22"/>
        </w:rPr>
        <w:t xml:space="preserve">Указанный срок установлен в связи с тем, что вышеперечисленные требования также будут распространяться на ипотечные сертификаты участия, включенные в Первый уровень при его формировании </w:t>
      </w:r>
      <w:r w:rsidRPr="00980A89">
        <w:rPr>
          <w:sz w:val="22"/>
          <w:szCs w:val="22"/>
        </w:rPr>
        <w:t>в соответствии с приказом ФСФР России от 30.07.2013 № 13-62/</w:t>
      </w:r>
      <w:proofErr w:type="spellStart"/>
      <w:r w:rsidRPr="00980A89">
        <w:rPr>
          <w:sz w:val="22"/>
          <w:szCs w:val="22"/>
        </w:rPr>
        <w:t>пз</w:t>
      </w:r>
      <w:proofErr w:type="spellEnd"/>
      <w:r w:rsidRPr="00980A89">
        <w:rPr>
          <w:sz w:val="22"/>
          <w:szCs w:val="22"/>
        </w:rPr>
        <w:t>-н «О порядке допуска ценных бумаг к организованным торгам»</w:t>
      </w:r>
      <w:r>
        <w:rPr>
          <w:sz w:val="22"/>
          <w:szCs w:val="22"/>
        </w:rPr>
        <w:t>.</w:t>
      </w:r>
      <w:r w:rsidRPr="00980A89">
        <w:rPr>
          <w:sz w:val="22"/>
          <w:szCs w:val="22"/>
        </w:rPr>
        <w:t xml:space="preserve"> </w:t>
      </w:r>
    </w:p>
    <w:p w:rsidR="00037131" w:rsidRPr="00980A89" w:rsidRDefault="00037131" w:rsidP="00037131">
      <w:pPr>
        <w:pStyle w:val="ac"/>
        <w:numPr>
          <w:ilvl w:val="0"/>
          <w:numId w:val="1"/>
        </w:numPr>
        <w:tabs>
          <w:tab w:val="left" w:pos="-4820"/>
          <w:tab w:val="left" w:pos="567"/>
          <w:tab w:val="left" w:pos="851"/>
        </w:tabs>
        <w:overflowPunct w:val="0"/>
        <w:autoSpaceDE w:val="0"/>
        <w:autoSpaceDN w:val="0"/>
        <w:adjustRightInd w:val="0"/>
        <w:spacing w:after="240"/>
        <w:ind w:left="0" w:firstLine="567"/>
        <w:jc w:val="both"/>
        <w:textAlignment w:val="baseline"/>
        <w:rPr>
          <w:rFonts w:ascii="Times New Roman" w:hAnsi="Times New Roman"/>
        </w:rPr>
      </w:pPr>
      <w:r w:rsidRPr="00980A89">
        <w:rPr>
          <w:rFonts w:ascii="Times New Roman" w:hAnsi="Times New Roman"/>
        </w:rPr>
        <w:t xml:space="preserve">В рамках работы по оптимизации представления документов эмитентов в электронном виде Биржей </w:t>
      </w:r>
      <w:r w:rsidRPr="00980A89">
        <w:rPr>
          <w:rFonts w:ascii="Times New Roman" w:hAnsi="Times New Roman"/>
          <w:b/>
        </w:rPr>
        <w:t xml:space="preserve">вводится порядок представления Анкет ценных бумаг (Анкет Организаций) и </w:t>
      </w:r>
      <w:r w:rsidRPr="00980A89">
        <w:rPr>
          <w:rFonts w:ascii="Times New Roman" w:hAnsi="Times New Roman"/>
          <w:b/>
        </w:rPr>
        <w:lastRenderedPageBreak/>
        <w:t xml:space="preserve">информации о СЧА </w:t>
      </w:r>
      <w:proofErr w:type="spellStart"/>
      <w:r w:rsidRPr="00980A89">
        <w:rPr>
          <w:rFonts w:ascii="Times New Roman" w:hAnsi="Times New Roman"/>
          <w:b/>
        </w:rPr>
        <w:t>ПИФа</w:t>
      </w:r>
      <w:proofErr w:type="spellEnd"/>
      <w:r w:rsidRPr="00980A89">
        <w:rPr>
          <w:rFonts w:ascii="Times New Roman" w:hAnsi="Times New Roman"/>
          <w:b/>
        </w:rPr>
        <w:t xml:space="preserve"> с использованием раздела «Личный кабинет эмитента»</w:t>
      </w:r>
      <w:r w:rsidRPr="00980A89">
        <w:rPr>
          <w:rFonts w:ascii="Times New Roman" w:hAnsi="Times New Roman"/>
        </w:rPr>
        <w:t xml:space="preserve"> через представительство ЗАО «ФБ ММВБ» в сети Интернет.</w:t>
      </w:r>
    </w:p>
    <w:p w:rsidR="00037131" w:rsidRPr="00980A89" w:rsidRDefault="00037131" w:rsidP="00037131">
      <w:pPr>
        <w:pStyle w:val="ac"/>
        <w:numPr>
          <w:ilvl w:val="0"/>
          <w:numId w:val="1"/>
        </w:numPr>
        <w:tabs>
          <w:tab w:val="left" w:pos="-4820"/>
          <w:tab w:val="left" w:pos="567"/>
          <w:tab w:val="left" w:pos="851"/>
        </w:tabs>
        <w:overflowPunct w:val="0"/>
        <w:autoSpaceDE w:val="0"/>
        <w:autoSpaceDN w:val="0"/>
        <w:adjustRightInd w:val="0"/>
        <w:spacing w:after="240"/>
        <w:ind w:left="0" w:firstLine="567"/>
        <w:jc w:val="both"/>
        <w:textAlignment w:val="baseline"/>
        <w:rPr>
          <w:rFonts w:ascii="Times New Roman" w:hAnsi="Times New Roman"/>
        </w:rPr>
      </w:pPr>
      <w:r w:rsidRPr="00980A89">
        <w:rPr>
          <w:rFonts w:ascii="Times New Roman" w:hAnsi="Times New Roman"/>
        </w:rPr>
        <w:t xml:space="preserve">В целях унификации сроков при проведении процедур листинга, предусмотренных Правилами, </w:t>
      </w:r>
      <w:r w:rsidRPr="00980A89">
        <w:rPr>
          <w:rFonts w:ascii="Times New Roman" w:hAnsi="Times New Roman"/>
          <w:b/>
        </w:rPr>
        <w:t xml:space="preserve">осуществлено объединение сроков рассмотрения соответствующих заявлений (проведения экспертизы ценных бумаг) и сроков принятия соответствующих решений Биржи. </w:t>
      </w:r>
      <w:r w:rsidRPr="00980A89">
        <w:rPr>
          <w:rFonts w:ascii="Times New Roman" w:hAnsi="Times New Roman"/>
        </w:rPr>
        <w:t xml:space="preserve">Установлен единый срок </w:t>
      </w:r>
      <w:proofErr w:type="gramStart"/>
      <w:r w:rsidRPr="00980A89">
        <w:rPr>
          <w:rFonts w:ascii="Times New Roman" w:hAnsi="Times New Roman"/>
        </w:rPr>
        <w:t>с даты получения</w:t>
      </w:r>
      <w:proofErr w:type="gramEnd"/>
      <w:r w:rsidRPr="00980A89">
        <w:rPr>
          <w:rFonts w:ascii="Times New Roman" w:hAnsi="Times New Roman"/>
        </w:rPr>
        <w:t xml:space="preserve"> заявления и до принятия Биржей решения по соответствующей процедуре.</w:t>
      </w:r>
    </w:p>
    <w:p w:rsidR="00037131" w:rsidRPr="00980A89" w:rsidRDefault="00037131" w:rsidP="00037131">
      <w:pPr>
        <w:pStyle w:val="ac"/>
        <w:numPr>
          <w:ilvl w:val="0"/>
          <w:numId w:val="1"/>
        </w:numPr>
        <w:tabs>
          <w:tab w:val="left" w:pos="851"/>
          <w:tab w:val="left" w:pos="993"/>
        </w:tabs>
        <w:overflowPunct w:val="0"/>
        <w:autoSpaceDE w:val="0"/>
        <w:autoSpaceDN w:val="0"/>
        <w:adjustRightInd w:val="0"/>
        <w:spacing w:before="240" w:after="240"/>
        <w:ind w:left="786" w:hanging="219"/>
        <w:jc w:val="both"/>
        <w:textAlignment w:val="baseline"/>
        <w:rPr>
          <w:rFonts w:ascii="Times New Roman" w:eastAsia="Times New Roman" w:hAnsi="Times New Roman"/>
        </w:rPr>
      </w:pPr>
      <w:r w:rsidRPr="00980A89">
        <w:rPr>
          <w:rFonts w:ascii="Times New Roman" w:eastAsia="Times New Roman" w:hAnsi="Times New Roman"/>
        </w:rPr>
        <w:t>В Правила по тексту внесены изменения редакционного характера.</w:t>
      </w:r>
    </w:p>
    <w:p w:rsidR="00C34ECD" w:rsidRPr="00E835CE" w:rsidRDefault="00C34ECD" w:rsidP="00C34ECD">
      <w:pPr>
        <w:tabs>
          <w:tab w:val="left" w:pos="720"/>
        </w:tabs>
        <w:jc w:val="both"/>
        <w:rPr>
          <w:sz w:val="22"/>
          <w:szCs w:val="22"/>
        </w:rPr>
      </w:pPr>
    </w:p>
    <w:sectPr w:rsidR="00C34ECD" w:rsidRPr="00E835CE" w:rsidSect="001736EA">
      <w:footerReference w:type="default" r:id="rId10"/>
      <w:endnotePr>
        <w:numFmt w:val="decimal"/>
      </w:endnotePr>
      <w:pgSz w:w="11907" w:h="16840"/>
      <w:pgMar w:top="567" w:right="992" w:bottom="993"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538" w:rsidRDefault="002C1538" w:rsidP="00281B8B">
      <w:r>
        <w:separator/>
      </w:r>
    </w:p>
  </w:endnote>
  <w:endnote w:type="continuationSeparator" w:id="0">
    <w:p w:rsidR="002C1538" w:rsidRDefault="002C1538" w:rsidP="0028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is">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743257"/>
      <w:docPartObj>
        <w:docPartGallery w:val="Page Numbers (Bottom of Page)"/>
        <w:docPartUnique/>
      </w:docPartObj>
    </w:sdtPr>
    <w:sdtEndPr/>
    <w:sdtContent>
      <w:p w:rsidR="00F203F1" w:rsidRDefault="00F203F1">
        <w:pPr>
          <w:pStyle w:val="af6"/>
          <w:jc w:val="right"/>
        </w:pPr>
        <w:r>
          <w:fldChar w:fldCharType="begin"/>
        </w:r>
        <w:r>
          <w:instrText>PAGE   \* MERGEFORMAT</w:instrText>
        </w:r>
        <w:r>
          <w:fldChar w:fldCharType="separate"/>
        </w:r>
        <w:r w:rsidR="00A22AE7">
          <w:rPr>
            <w:noProof/>
          </w:rPr>
          <w:t>2</w:t>
        </w:r>
        <w:r>
          <w:fldChar w:fldCharType="end"/>
        </w:r>
      </w:p>
    </w:sdtContent>
  </w:sdt>
  <w:p w:rsidR="00F203F1" w:rsidRDefault="00F203F1">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538" w:rsidRDefault="002C1538" w:rsidP="00281B8B">
      <w:r>
        <w:separator/>
      </w:r>
    </w:p>
  </w:footnote>
  <w:footnote w:type="continuationSeparator" w:id="0">
    <w:p w:rsidR="002C1538" w:rsidRDefault="002C1538" w:rsidP="00281B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27C"/>
    <w:multiLevelType w:val="hybridMultilevel"/>
    <w:tmpl w:val="137A831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047A5E61"/>
    <w:multiLevelType w:val="hybridMultilevel"/>
    <w:tmpl w:val="E904068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
    <w:nsid w:val="0712758C"/>
    <w:multiLevelType w:val="hybridMultilevel"/>
    <w:tmpl w:val="880226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705206"/>
    <w:multiLevelType w:val="hybridMultilevel"/>
    <w:tmpl w:val="050266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72635B3"/>
    <w:multiLevelType w:val="hybridMultilevel"/>
    <w:tmpl w:val="BC827ED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173F102C"/>
    <w:multiLevelType w:val="hybridMultilevel"/>
    <w:tmpl w:val="BE2658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B234871"/>
    <w:multiLevelType w:val="multilevel"/>
    <w:tmpl w:val="911A0EEE"/>
    <w:lvl w:ilvl="0">
      <w:start w:val="1"/>
      <w:numFmt w:val="decimal"/>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27686E7B"/>
    <w:multiLevelType w:val="hybridMultilevel"/>
    <w:tmpl w:val="B71407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92E7AB8"/>
    <w:multiLevelType w:val="hybridMultilevel"/>
    <w:tmpl w:val="7764C7CA"/>
    <w:lvl w:ilvl="0" w:tplc="4330F49E">
      <w:start w:val="1"/>
      <w:numFmt w:val="decimal"/>
      <w:lvlText w:val="%1)"/>
      <w:lvlJc w:val="left"/>
      <w:pPr>
        <w:ind w:left="420" w:hanging="360"/>
      </w:pPr>
      <w:rPr>
        <w:rFonts w:hint="default"/>
      </w:rPr>
    </w:lvl>
    <w:lvl w:ilvl="1" w:tplc="0419000F">
      <w:start w:val="1"/>
      <w:numFmt w:val="decimal"/>
      <w:lvlText w:val="%2."/>
      <w:lvlJc w:val="left"/>
      <w:pPr>
        <w:ind w:left="1163" w:hanging="804"/>
      </w:pPr>
      <w:rPr>
        <w:rFonts w:hint="default"/>
        <w:b w:val="0"/>
      </w:r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2CC81F55"/>
    <w:multiLevelType w:val="hybridMultilevel"/>
    <w:tmpl w:val="6AF82A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667F43"/>
    <w:multiLevelType w:val="hybridMultilevel"/>
    <w:tmpl w:val="E66C688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1">
    <w:nsid w:val="419003DD"/>
    <w:multiLevelType w:val="hybridMultilevel"/>
    <w:tmpl w:val="C1CEA8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3F51C7"/>
    <w:multiLevelType w:val="hybridMultilevel"/>
    <w:tmpl w:val="E8DCF4A2"/>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nsid w:val="49D81931"/>
    <w:multiLevelType w:val="hybridMultilevel"/>
    <w:tmpl w:val="611ABB16"/>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4">
    <w:nsid w:val="5B146777"/>
    <w:multiLevelType w:val="hybridMultilevel"/>
    <w:tmpl w:val="34D40940"/>
    <w:lvl w:ilvl="0" w:tplc="6750D3EA">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B1B6DC9"/>
    <w:multiLevelType w:val="hybridMultilevel"/>
    <w:tmpl w:val="FE826E3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13B6301"/>
    <w:multiLevelType w:val="hybridMultilevel"/>
    <w:tmpl w:val="00AAEAB6"/>
    <w:lvl w:ilvl="0" w:tplc="170A2C46">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3390"/>
        </w:tabs>
        <w:ind w:left="3390" w:hanging="360"/>
      </w:pPr>
      <w:rPr>
        <w:rFonts w:ascii="Courier New" w:hAnsi="Courier New" w:cs="Courier New" w:hint="default"/>
      </w:rPr>
    </w:lvl>
    <w:lvl w:ilvl="2" w:tplc="04190005" w:tentative="1">
      <w:start w:val="1"/>
      <w:numFmt w:val="bullet"/>
      <w:lvlText w:val=""/>
      <w:lvlJc w:val="left"/>
      <w:pPr>
        <w:tabs>
          <w:tab w:val="num" w:pos="4110"/>
        </w:tabs>
        <w:ind w:left="4110" w:hanging="360"/>
      </w:pPr>
      <w:rPr>
        <w:rFonts w:ascii="Wingdings" w:hAnsi="Wingdings" w:hint="default"/>
      </w:rPr>
    </w:lvl>
    <w:lvl w:ilvl="3" w:tplc="04190001">
      <w:start w:val="1"/>
      <w:numFmt w:val="bullet"/>
      <w:lvlText w:val=""/>
      <w:lvlJc w:val="left"/>
      <w:pPr>
        <w:tabs>
          <w:tab w:val="num" w:pos="4830"/>
        </w:tabs>
        <w:ind w:left="4830" w:hanging="360"/>
      </w:pPr>
      <w:rPr>
        <w:rFonts w:ascii="Symbol" w:hAnsi="Symbol" w:hint="default"/>
      </w:rPr>
    </w:lvl>
    <w:lvl w:ilvl="4" w:tplc="04190003" w:tentative="1">
      <w:start w:val="1"/>
      <w:numFmt w:val="bullet"/>
      <w:lvlText w:val="o"/>
      <w:lvlJc w:val="left"/>
      <w:pPr>
        <w:tabs>
          <w:tab w:val="num" w:pos="5550"/>
        </w:tabs>
        <w:ind w:left="5550" w:hanging="360"/>
      </w:pPr>
      <w:rPr>
        <w:rFonts w:ascii="Courier New" w:hAnsi="Courier New" w:cs="Courier New" w:hint="default"/>
      </w:rPr>
    </w:lvl>
    <w:lvl w:ilvl="5" w:tplc="04190005" w:tentative="1">
      <w:start w:val="1"/>
      <w:numFmt w:val="bullet"/>
      <w:lvlText w:val=""/>
      <w:lvlJc w:val="left"/>
      <w:pPr>
        <w:tabs>
          <w:tab w:val="num" w:pos="6270"/>
        </w:tabs>
        <w:ind w:left="6270" w:hanging="360"/>
      </w:pPr>
      <w:rPr>
        <w:rFonts w:ascii="Wingdings" w:hAnsi="Wingdings" w:hint="default"/>
      </w:rPr>
    </w:lvl>
    <w:lvl w:ilvl="6" w:tplc="04190001" w:tentative="1">
      <w:start w:val="1"/>
      <w:numFmt w:val="bullet"/>
      <w:lvlText w:val=""/>
      <w:lvlJc w:val="left"/>
      <w:pPr>
        <w:tabs>
          <w:tab w:val="num" w:pos="6990"/>
        </w:tabs>
        <w:ind w:left="6990" w:hanging="360"/>
      </w:pPr>
      <w:rPr>
        <w:rFonts w:ascii="Symbol" w:hAnsi="Symbol" w:hint="default"/>
      </w:rPr>
    </w:lvl>
    <w:lvl w:ilvl="7" w:tplc="04190003" w:tentative="1">
      <w:start w:val="1"/>
      <w:numFmt w:val="bullet"/>
      <w:lvlText w:val="o"/>
      <w:lvlJc w:val="left"/>
      <w:pPr>
        <w:tabs>
          <w:tab w:val="num" w:pos="7710"/>
        </w:tabs>
        <w:ind w:left="7710" w:hanging="360"/>
      </w:pPr>
      <w:rPr>
        <w:rFonts w:ascii="Courier New" w:hAnsi="Courier New" w:cs="Courier New" w:hint="default"/>
      </w:rPr>
    </w:lvl>
    <w:lvl w:ilvl="8" w:tplc="04190005" w:tentative="1">
      <w:start w:val="1"/>
      <w:numFmt w:val="bullet"/>
      <w:lvlText w:val=""/>
      <w:lvlJc w:val="left"/>
      <w:pPr>
        <w:tabs>
          <w:tab w:val="num" w:pos="8430"/>
        </w:tabs>
        <w:ind w:left="8430" w:hanging="360"/>
      </w:pPr>
      <w:rPr>
        <w:rFonts w:ascii="Wingdings" w:hAnsi="Wingdings" w:hint="default"/>
      </w:rPr>
    </w:lvl>
  </w:abstractNum>
  <w:abstractNum w:abstractNumId="17">
    <w:nsid w:val="68BE10FF"/>
    <w:multiLevelType w:val="hybridMultilevel"/>
    <w:tmpl w:val="611ABB16"/>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8">
    <w:nsid w:val="73473B46"/>
    <w:multiLevelType w:val="hybridMultilevel"/>
    <w:tmpl w:val="C09CB258"/>
    <w:lvl w:ilvl="0" w:tplc="04190011">
      <w:start w:val="1"/>
      <w:numFmt w:val="decimal"/>
      <w:lvlText w:val="%1)"/>
      <w:lvlJc w:val="left"/>
      <w:pPr>
        <w:tabs>
          <w:tab w:val="num" w:pos="1287"/>
        </w:tabs>
        <w:ind w:left="1287" w:hanging="360"/>
      </w:pPr>
    </w:lvl>
    <w:lvl w:ilvl="1" w:tplc="04190011">
      <w:start w:val="1"/>
      <w:numFmt w:val="decimal"/>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9">
    <w:nsid w:val="744D0F78"/>
    <w:multiLevelType w:val="hybridMultilevel"/>
    <w:tmpl w:val="5F747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4BE60C7"/>
    <w:multiLevelType w:val="multilevel"/>
    <w:tmpl w:val="1EDE7EF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nsid w:val="7620099C"/>
    <w:multiLevelType w:val="hybridMultilevel"/>
    <w:tmpl w:val="BFF012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14"/>
  </w:num>
  <w:num w:numId="3">
    <w:abstractNumId w:val="17"/>
  </w:num>
  <w:num w:numId="4">
    <w:abstractNumId w:val="0"/>
  </w:num>
  <w:num w:numId="5">
    <w:abstractNumId w:val="4"/>
  </w:num>
  <w:num w:numId="6">
    <w:abstractNumId w:val="19"/>
  </w:num>
  <w:num w:numId="7">
    <w:abstractNumId w:val="3"/>
  </w:num>
  <w:num w:numId="8">
    <w:abstractNumId w:val="18"/>
  </w:num>
  <w:num w:numId="9">
    <w:abstractNumId w:val="13"/>
  </w:num>
  <w:num w:numId="10">
    <w:abstractNumId w:val="8"/>
  </w:num>
  <w:num w:numId="11">
    <w:abstractNumId w:val="10"/>
  </w:num>
  <w:num w:numId="12">
    <w:abstractNumId w:val="16"/>
  </w:num>
  <w:num w:numId="13">
    <w:abstractNumId w:val="12"/>
  </w:num>
  <w:num w:numId="14">
    <w:abstractNumId w:val="9"/>
  </w:num>
  <w:num w:numId="15">
    <w:abstractNumId w:val="21"/>
  </w:num>
  <w:num w:numId="16">
    <w:abstractNumId w:val="1"/>
  </w:num>
  <w:num w:numId="17">
    <w:abstractNumId w:val="2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5"/>
  </w:num>
  <w:num w:numId="21">
    <w:abstractNumId w:val="15"/>
  </w:num>
  <w:num w:numId="2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E6F"/>
    <w:rsid w:val="000007D7"/>
    <w:rsid w:val="0000685F"/>
    <w:rsid w:val="00012572"/>
    <w:rsid w:val="00013361"/>
    <w:rsid w:val="00015696"/>
    <w:rsid w:val="00027422"/>
    <w:rsid w:val="00034B9B"/>
    <w:rsid w:val="00037131"/>
    <w:rsid w:val="00045B46"/>
    <w:rsid w:val="00055ECA"/>
    <w:rsid w:val="00062BF6"/>
    <w:rsid w:val="00063401"/>
    <w:rsid w:val="00071D72"/>
    <w:rsid w:val="00083166"/>
    <w:rsid w:val="000938A7"/>
    <w:rsid w:val="000B4F00"/>
    <w:rsid w:val="000C0F74"/>
    <w:rsid w:val="00100513"/>
    <w:rsid w:val="001168C0"/>
    <w:rsid w:val="00145D40"/>
    <w:rsid w:val="00150C8B"/>
    <w:rsid w:val="001736EA"/>
    <w:rsid w:val="0017418C"/>
    <w:rsid w:val="00177FCD"/>
    <w:rsid w:val="00183F83"/>
    <w:rsid w:val="0018415A"/>
    <w:rsid w:val="00186862"/>
    <w:rsid w:val="0019008B"/>
    <w:rsid w:val="001A1F04"/>
    <w:rsid w:val="001B05DF"/>
    <w:rsid w:val="001B2A3E"/>
    <w:rsid w:val="001B5A2D"/>
    <w:rsid w:val="001C08C7"/>
    <w:rsid w:val="001C2DA6"/>
    <w:rsid w:val="001D7027"/>
    <w:rsid w:val="001E1A1A"/>
    <w:rsid w:val="001E295D"/>
    <w:rsid w:val="001E73B7"/>
    <w:rsid w:val="001F2908"/>
    <w:rsid w:val="002123F6"/>
    <w:rsid w:val="00212F37"/>
    <w:rsid w:val="002171E2"/>
    <w:rsid w:val="00220B64"/>
    <w:rsid w:val="0022148A"/>
    <w:rsid w:val="00225864"/>
    <w:rsid w:val="00225CA5"/>
    <w:rsid w:val="002539B7"/>
    <w:rsid w:val="00254EF1"/>
    <w:rsid w:val="00260DDE"/>
    <w:rsid w:val="00265D5B"/>
    <w:rsid w:val="0027272A"/>
    <w:rsid w:val="00273141"/>
    <w:rsid w:val="00281B8B"/>
    <w:rsid w:val="002847C7"/>
    <w:rsid w:val="00284E99"/>
    <w:rsid w:val="00285C59"/>
    <w:rsid w:val="00287B8A"/>
    <w:rsid w:val="00297B61"/>
    <w:rsid w:val="002A76F8"/>
    <w:rsid w:val="002B6D19"/>
    <w:rsid w:val="002C1538"/>
    <w:rsid w:val="002C18DA"/>
    <w:rsid w:val="002D5477"/>
    <w:rsid w:val="002E053D"/>
    <w:rsid w:val="002E1E16"/>
    <w:rsid w:val="002F0A55"/>
    <w:rsid w:val="002F5AED"/>
    <w:rsid w:val="002F7E23"/>
    <w:rsid w:val="0030042F"/>
    <w:rsid w:val="00300D54"/>
    <w:rsid w:val="003018B1"/>
    <w:rsid w:val="003075B3"/>
    <w:rsid w:val="00307809"/>
    <w:rsid w:val="003375D8"/>
    <w:rsid w:val="00346B98"/>
    <w:rsid w:val="0034788F"/>
    <w:rsid w:val="003512F8"/>
    <w:rsid w:val="003646C1"/>
    <w:rsid w:val="00374368"/>
    <w:rsid w:val="00387B47"/>
    <w:rsid w:val="00387F73"/>
    <w:rsid w:val="003918A6"/>
    <w:rsid w:val="003A561C"/>
    <w:rsid w:val="003C6371"/>
    <w:rsid w:val="003D4E68"/>
    <w:rsid w:val="003D5DFF"/>
    <w:rsid w:val="003E08E9"/>
    <w:rsid w:val="003E13C0"/>
    <w:rsid w:val="003E62E0"/>
    <w:rsid w:val="003F034A"/>
    <w:rsid w:val="003F679B"/>
    <w:rsid w:val="0040780D"/>
    <w:rsid w:val="0041318F"/>
    <w:rsid w:val="00415D69"/>
    <w:rsid w:val="0042524A"/>
    <w:rsid w:val="00427BC8"/>
    <w:rsid w:val="00431F75"/>
    <w:rsid w:val="00440498"/>
    <w:rsid w:val="004409A5"/>
    <w:rsid w:val="00441F16"/>
    <w:rsid w:val="004469DD"/>
    <w:rsid w:val="0046063E"/>
    <w:rsid w:val="0047014F"/>
    <w:rsid w:val="0047745E"/>
    <w:rsid w:val="00477BA2"/>
    <w:rsid w:val="00477E6F"/>
    <w:rsid w:val="004832F5"/>
    <w:rsid w:val="004A6DCA"/>
    <w:rsid w:val="004A764F"/>
    <w:rsid w:val="004B2DA4"/>
    <w:rsid w:val="004B4D17"/>
    <w:rsid w:val="004B7196"/>
    <w:rsid w:val="004C025F"/>
    <w:rsid w:val="004C5B95"/>
    <w:rsid w:val="004E5ABC"/>
    <w:rsid w:val="004F36EB"/>
    <w:rsid w:val="004F6322"/>
    <w:rsid w:val="005057C8"/>
    <w:rsid w:val="0050784F"/>
    <w:rsid w:val="0051397D"/>
    <w:rsid w:val="00516E77"/>
    <w:rsid w:val="00535E55"/>
    <w:rsid w:val="00543059"/>
    <w:rsid w:val="0054350B"/>
    <w:rsid w:val="0055120B"/>
    <w:rsid w:val="00560CD6"/>
    <w:rsid w:val="005724E5"/>
    <w:rsid w:val="005760A9"/>
    <w:rsid w:val="0057715F"/>
    <w:rsid w:val="00581E7E"/>
    <w:rsid w:val="00587953"/>
    <w:rsid w:val="0059588D"/>
    <w:rsid w:val="00597C79"/>
    <w:rsid w:val="005A693A"/>
    <w:rsid w:val="005A6964"/>
    <w:rsid w:val="005A788E"/>
    <w:rsid w:val="005C427C"/>
    <w:rsid w:val="005D0AE0"/>
    <w:rsid w:val="005F296E"/>
    <w:rsid w:val="005F62B4"/>
    <w:rsid w:val="00606003"/>
    <w:rsid w:val="006124A8"/>
    <w:rsid w:val="00615C00"/>
    <w:rsid w:val="00615FBD"/>
    <w:rsid w:val="00623728"/>
    <w:rsid w:val="0062618A"/>
    <w:rsid w:val="0063145D"/>
    <w:rsid w:val="0065747E"/>
    <w:rsid w:val="00660498"/>
    <w:rsid w:val="006618F9"/>
    <w:rsid w:val="00665F7D"/>
    <w:rsid w:val="0068590C"/>
    <w:rsid w:val="00687A14"/>
    <w:rsid w:val="00694EC4"/>
    <w:rsid w:val="00695D52"/>
    <w:rsid w:val="00696177"/>
    <w:rsid w:val="00697ED5"/>
    <w:rsid w:val="006A623A"/>
    <w:rsid w:val="006A7EE1"/>
    <w:rsid w:val="006B5F15"/>
    <w:rsid w:val="006C2581"/>
    <w:rsid w:val="006C7DF1"/>
    <w:rsid w:val="006E4371"/>
    <w:rsid w:val="006F73E3"/>
    <w:rsid w:val="007200EE"/>
    <w:rsid w:val="007203A3"/>
    <w:rsid w:val="00725881"/>
    <w:rsid w:val="00727A85"/>
    <w:rsid w:val="007321CC"/>
    <w:rsid w:val="00736813"/>
    <w:rsid w:val="00746727"/>
    <w:rsid w:val="007527E1"/>
    <w:rsid w:val="00753E77"/>
    <w:rsid w:val="007568CB"/>
    <w:rsid w:val="00764F9D"/>
    <w:rsid w:val="007741DC"/>
    <w:rsid w:val="007778B0"/>
    <w:rsid w:val="0079200F"/>
    <w:rsid w:val="007926B5"/>
    <w:rsid w:val="00792B0D"/>
    <w:rsid w:val="007A0298"/>
    <w:rsid w:val="007A188F"/>
    <w:rsid w:val="007A59B6"/>
    <w:rsid w:val="007B09B3"/>
    <w:rsid w:val="007C2C07"/>
    <w:rsid w:val="007C3C8D"/>
    <w:rsid w:val="007C739B"/>
    <w:rsid w:val="007E5249"/>
    <w:rsid w:val="007F10E8"/>
    <w:rsid w:val="00802EFB"/>
    <w:rsid w:val="00803188"/>
    <w:rsid w:val="00803A6A"/>
    <w:rsid w:val="0081689F"/>
    <w:rsid w:val="00817C05"/>
    <w:rsid w:val="00820F86"/>
    <w:rsid w:val="00823482"/>
    <w:rsid w:val="0083512F"/>
    <w:rsid w:val="00845BC0"/>
    <w:rsid w:val="00847C85"/>
    <w:rsid w:val="008558FC"/>
    <w:rsid w:val="00861169"/>
    <w:rsid w:val="00876D40"/>
    <w:rsid w:val="0088393C"/>
    <w:rsid w:val="0089136A"/>
    <w:rsid w:val="008A5864"/>
    <w:rsid w:val="008A7A11"/>
    <w:rsid w:val="008B1B4A"/>
    <w:rsid w:val="008C3CBD"/>
    <w:rsid w:val="008C4304"/>
    <w:rsid w:val="008D6C22"/>
    <w:rsid w:val="008F1C0B"/>
    <w:rsid w:val="00910858"/>
    <w:rsid w:val="00931420"/>
    <w:rsid w:val="0093398A"/>
    <w:rsid w:val="00973A3F"/>
    <w:rsid w:val="009841EE"/>
    <w:rsid w:val="00985612"/>
    <w:rsid w:val="0099792D"/>
    <w:rsid w:val="00997E11"/>
    <w:rsid w:val="009A0527"/>
    <w:rsid w:val="009A24E6"/>
    <w:rsid w:val="009B0C19"/>
    <w:rsid w:val="009C3364"/>
    <w:rsid w:val="009D12BB"/>
    <w:rsid w:val="009D7469"/>
    <w:rsid w:val="009D7B9E"/>
    <w:rsid w:val="009E1797"/>
    <w:rsid w:val="009E7B91"/>
    <w:rsid w:val="00A0053A"/>
    <w:rsid w:val="00A04B43"/>
    <w:rsid w:val="00A075BD"/>
    <w:rsid w:val="00A14EBF"/>
    <w:rsid w:val="00A21054"/>
    <w:rsid w:val="00A21BF2"/>
    <w:rsid w:val="00A22AE7"/>
    <w:rsid w:val="00A33D39"/>
    <w:rsid w:val="00A45AA4"/>
    <w:rsid w:val="00A52AEB"/>
    <w:rsid w:val="00A644B2"/>
    <w:rsid w:val="00A714BC"/>
    <w:rsid w:val="00A726F6"/>
    <w:rsid w:val="00A73E19"/>
    <w:rsid w:val="00AA0D0D"/>
    <w:rsid w:val="00AA3C75"/>
    <w:rsid w:val="00AB1BCD"/>
    <w:rsid w:val="00AB7153"/>
    <w:rsid w:val="00AC065D"/>
    <w:rsid w:val="00AC0FC6"/>
    <w:rsid w:val="00AE0A1D"/>
    <w:rsid w:val="00AF507D"/>
    <w:rsid w:val="00AF5E06"/>
    <w:rsid w:val="00B00ED4"/>
    <w:rsid w:val="00B01E32"/>
    <w:rsid w:val="00B04B3F"/>
    <w:rsid w:val="00B10B53"/>
    <w:rsid w:val="00B113B7"/>
    <w:rsid w:val="00B27E17"/>
    <w:rsid w:val="00B41D33"/>
    <w:rsid w:val="00B422F8"/>
    <w:rsid w:val="00B47E2E"/>
    <w:rsid w:val="00B5320B"/>
    <w:rsid w:val="00B57228"/>
    <w:rsid w:val="00B61FFE"/>
    <w:rsid w:val="00B90E96"/>
    <w:rsid w:val="00B933FB"/>
    <w:rsid w:val="00B954C8"/>
    <w:rsid w:val="00B96935"/>
    <w:rsid w:val="00BA4C0A"/>
    <w:rsid w:val="00BA727C"/>
    <w:rsid w:val="00BB38B4"/>
    <w:rsid w:val="00BB49C2"/>
    <w:rsid w:val="00BB4FA4"/>
    <w:rsid w:val="00BB63DA"/>
    <w:rsid w:val="00BC1F83"/>
    <w:rsid w:val="00BC6368"/>
    <w:rsid w:val="00BD1B9A"/>
    <w:rsid w:val="00BD5954"/>
    <w:rsid w:val="00BE1FCB"/>
    <w:rsid w:val="00BE336C"/>
    <w:rsid w:val="00BF4D6D"/>
    <w:rsid w:val="00C05E48"/>
    <w:rsid w:val="00C252D6"/>
    <w:rsid w:val="00C270BC"/>
    <w:rsid w:val="00C3157E"/>
    <w:rsid w:val="00C327FA"/>
    <w:rsid w:val="00C34ECD"/>
    <w:rsid w:val="00C37889"/>
    <w:rsid w:val="00C37A61"/>
    <w:rsid w:val="00C42B28"/>
    <w:rsid w:val="00C44220"/>
    <w:rsid w:val="00C5207A"/>
    <w:rsid w:val="00C61338"/>
    <w:rsid w:val="00C61943"/>
    <w:rsid w:val="00C62875"/>
    <w:rsid w:val="00C66AE6"/>
    <w:rsid w:val="00C76A22"/>
    <w:rsid w:val="00C913C7"/>
    <w:rsid w:val="00CC0809"/>
    <w:rsid w:val="00CC10FB"/>
    <w:rsid w:val="00CC1396"/>
    <w:rsid w:val="00CC2D22"/>
    <w:rsid w:val="00CE1600"/>
    <w:rsid w:val="00CE4178"/>
    <w:rsid w:val="00CE463A"/>
    <w:rsid w:val="00CE58B3"/>
    <w:rsid w:val="00CF0CC8"/>
    <w:rsid w:val="00D0653C"/>
    <w:rsid w:val="00D13AC0"/>
    <w:rsid w:val="00D1602D"/>
    <w:rsid w:val="00D20E6A"/>
    <w:rsid w:val="00D3673D"/>
    <w:rsid w:val="00D40962"/>
    <w:rsid w:val="00D46275"/>
    <w:rsid w:val="00D505FB"/>
    <w:rsid w:val="00D543CF"/>
    <w:rsid w:val="00D674E8"/>
    <w:rsid w:val="00D67DCA"/>
    <w:rsid w:val="00D82A6A"/>
    <w:rsid w:val="00D83AF8"/>
    <w:rsid w:val="00D92ABC"/>
    <w:rsid w:val="00D9453B"/>
    <w:rsid w:val="00DB482A"/>
    <w:rsid w:val="00DC199D"/>
    <w:rsid w:val="00DC4328"/>
    <w:rsid w:val="00DD1C8A"/>
    <w:rsid w:val="00DE18A8"/>
    <w:rsid w:val="00DE753E"/>
    <w:rsid w:val="00DF0FE6"/>
    <w:rsid w:val="00DF5867"/>
    <w:rsid w:val="00E1797E"/>
    <w:rsid w:val="00E22011"/>
    <w:rsid w:val="00E24B05"/>
    <w:rsid w:val="00E27F7A"/>
    <w:rsid w:val="00E33B66"/>
    <w:rsid w:val="00E369EB"/>
    <w:rsid w:val="00E6473B"/>
    <w:rsid w:val="00E7263A"/>
    <w:rsid w:val="00E727B6"/>
    <w:rsid w:val="00E73422"/>
    <w:rsid w:val="00E82935"/>
    <w:rsid w:val="00E835CE"/>
    <w:rsid w:val="00E91A49"/>
    <w:rsid w:val="00E96217"/>
    <w:rsid w:val="00E96CB6"/>
    <w:rsid w:val="00EA7B8A"/>
    <w:rsid w:val="00EB0A53"/>
    <w:rsid w:val="00EB5FA4"/>
    <w:rsid w:val="00EC4555"/>
    <w:rsid w:val="00ED22BD"/>
    <w:rsid w:val="00EE0C1A"/>
    <w:rsid w:val="00EF37B2"/>
    <w:rsid w:val="00EF3DD0"/>
    <w:rsid w:val="00F01B47"/>
    <w:rsid w:val="00F060D8"/>
    <w:rsid w:val="00F203F1"/>
    <w:rsid w:val="00F244B4"/>
    <w:rsid w:val="00F323F5"/>
    <w:rsid w:val="00F36D3C"/>
    <w:rsid w:val="00F7627C"/>
    <w:rsid w:val="00F86E68"/>
    <w:rsid w:val="00F86ECD"/>
    <w:rsid w:val="00FA64EF"/>
    <w:rsid w:val="00FB1CA0"/>
    <w:rsid w:val="00FC52E2"/>
    <w:rsid w:val="00FC7ACD"/>
    <w:rsid w:val="00FC7D7B"/>
    <w:rsid w:val="00FD6746"/>
    <w:rsid w:val="00FD69A5"/>
    <w:rsid w:val="00FD6D5A"/>
    <w:rsid w:val="00FE0CDE"/>
    <w:rsid w:val="00FE3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5B95"/>
    <w:pPr>
      <w:widowControl w:val="0"/>
    </w:pPr>
    <w:rPr>
      <w:sz w:val="24"/>
    </w:rPr>
  </w:style>
  <w:style w:type="paragraph" w:styleId="1">
    <w:name w:val="heading 1"/>
    <w:basedOn w:val="a"/>
    <w:next w:val="a"/>
    <w:qFormat/>
    <w:rsid w:val="004A6DCA"/>
    <w:pPr>
      <w:keepNext/>
      <w:widowControl/>
      <w:overflowPunct w:val="0"/>
      <w:autoSpaceDE w:val="0"/>
      <w:autoSpaceDN w:val="0"/>
      <w:adjustRightInd w:val="0"/>
      <w:jc w:val="both"/>
      <w:textAlignment w:val="baseline"/>
      <w:outlineLvl w:val="0"/>
    </w:pPr>
  </w:style>
  <w:style w:type="paragraph" w:styleId="2">
    <w:name w:val="heading 2"/>
    <w:basedOn w:val="a"/>
    <w:next w:val="a"/>
    <w:qFormat/>
    <w:rsid w:val="004A6DCA"/>
    <w:pPr>
      <w:keepNext/>
      <w:overflowPunct w:val="0"/>
      <w:autoSpaceDE w:val="0"/>
      <w:autoSpaceDN w:val="0"/>
      <w:adjustRightInd w:val="0"/>
      <w:jc w:val="center"/>
      <w:textAlignment w:val="baseline"/>
      <w:outlineLvl w:val="1"/>
    </w:pPr>
    <w:rPr>
      <w:b/>
      <w:sz w:val="22"/>
    </w:rPr>
  </w:style>
  <w:style w:type="paragraph" w:styleId="3">
    <w:name w:val="heading 3"/>
    <w:basedOn w:val="a"/>
    <w:next w:val="a"/>
    <w:qFormat/>
    <w:rsid w:val="004A6DCA"/>
    <w:pPr>
      <w:keepNext/>
      <w:tabs>
        <w:tab w:val="left" w:pos="851"/>
      </w:tabs>
      <w:ind w:left="36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шрифт абзаца2"/>
    <w:rsid w:val="004A6DCA"/>
    <w:rPr>
      <w:sz w:val="20"/>
    </w:rPr>
  </w:style>
  <w:style w:type="character" w:customStyle="1" w:styleId="10">
    <w:name w:val="Основной шрифт абзаца1"/>
    <w:rsid w:val="004A6DCA"/>
    <w:rPr>
      <w:sz w:val="20"/>
    </w:rPr>
  </w:style>
  <w:style w:type="paragraph" w:customStyle="1" w:styleId="Iauiue">
    <w:name w:val="Iau?iue"/>
    <w:rsid w:val="004A6DCA"/>
    <w:pPr>
      <w:widowControl w:val="0"/>
    </w:pPr>
  </w:style>
  <w:style w:type="paragraph" w:styleId="a3">
    <w:name w:val="Body Text Indent"/>
    <w:basedOn w:val="a"/>
    <w:rsid w:val="004A6DCA"/>
    <w:pPr>
      <w:spacing w:before="120" w:line="360" w:lineRule="auto"/>
      <w:ind w:firstLine="720"/>
      <w:jc w:val="both"/>
    </w:pPr>
  </w:style>
  <w:style w:type="paragraph" w:styleId="a4">
    <w:name w:val="Body Text"/>
    <w:basedOn w:val="a"/>
    <w:rsid w:val="004A6DCA"/>
    <w:pPr>
      <w:jc w:val="both"/>
    </w:pPr>
  </w:style>
  <w:style w:type="character" w:customStyle="1" w:styleId="a5">
    <w:name w:val="Компания"/>
    <w:rsid w:val="004A6DCA"/>
    <w:rPr>
      <w:rFonts w:ascii="Futuris" w:hAnsi="Futuris"/>
      <w:b/>
      <w:i/>
      <w:sz w:val="22"/>
    </w:rPr>
  </w:style>
  <w:style w:type="paragraph" w:styleId="21">
    <w:name w:val="Body Text 2"/>
    <w:basedOn w:val="a"/>
    <w:rsid w:val="004A6DCA"/>
    <w:pPr>
      <w:spacing w:line="360" w:lineRule="auto"/>
      <w:jc w:val="both"/>
    </w:pPr>
    <w:rPr>
      <w:b/>
    </w:rPr>
  </w:style>
  <w:style w:type="paragraph" w:styleId="30">
    <w:name w:val="Body Text 3"/>
    <w:basedOn w:val="a"/>
    <w:rsid w:val="004A6DCA"/>
    <w:pPr>
      <w:jc w:val="both"/>
    </w:pPr>
    <w:rPr>
      <w:i/>
    </w:rPr>
  </w:style>
  <w:style w:type="paragraph" w:styleId="22">
    <w:name w:val="Body Text Indent 2"/>
    <w:basedOn w:val="a"/>
    <w:rsid w:val="004A6DCA"/>
    <w:pPr>
      <w:ind w:left="426" w:hanging="426"/>
    </w:pPr>
  </w:style>
  <w:style w:type="character" w:customStyle="1" w:styleId="SUBST">
    <w:name w:val="__SUBST"/>
    <w:rsid w:val="004A6DCA"/>
    <w:rPr>
      <w:b/>
      <w:i/>
      <w:sz w:val="22"/>
    </w:rPr>
  </w:style>
  <w:style w:type="paragraph" w:customStyle="1" w:styleId="23">
    <w:name w:val="???????? ????? 2"/>
    <w:basedOn w:val="a"/>
    <w:rsid w:val="004A6DCA"/>
    <w:pPr>
      <w:jc w:val="both"/>
    </w:pPr>
    <w:rPr>
      <w:b/>
    </w:rPr>
  </w:style>
  <w:style w:type="paragraph" w:customStyle="1" w:styleId="11">
    <w:name w:val="Цитата1"/>
    <w:basedOn w:val="a"/>
    <w:rsid w:val="004A6DCA"/>
    <w:pPr>
      <w:widowControl/>
      <w:overflowPunct w:val="0"/>
      <w:autoSpaceDE w:val="0"/>
      <w:autoSpaceDN w:val="0"/>
      <w:adjustRightInd w:val="0"/>
      <w:ind w:left="-142" w:right="-652"/>
      <w:jc w:val="both"/>
      <w:textAlignment w:val="baseline"/>
    </w:pPr>
    <w:rPr>
      <w:rFonts w:ascii="Times New Roman CYR" w:hAnsi="Times New Roman CYR"/>
      <w:b/>
    </w:rPr>
  </w:style>
  <w:style w:type="paragraph" w:styleId="31">
    <w:name w:val="Body Text Indent 3"/>
    <w:basedOn w:val="a"/>
    <w:rsid w:val="004A6DCA"/>
    <w:pPr>
      <w:ind w:left="-142"/>
      <w:jc w:val="both"/>
    </w:pPr>
    <w:rPr>
      <w:i/>
    </w:rPr>
  </w:style>
  <w:style w:type="paragraph" w:customStyle="1" w:styleId="210">
    <w:name w:val="Основной текст 21"/>
    <w:basedOn w:val="a"/>
    <w:rsid w:val="004A6DCA"/>
    <w:pPr>
      <w:widowControl/>
      <w:overflowPunct w:val="0"/>
      <w:autoSpaceDE w:val="0"/>
      <w:autoSpaceDN w:val="0"/>
      <w:adjustRightInd w:val="0"/>
      <w:ind w:firstLine="567"/>
      <w:jc w:val="both"/>
      <w:textAlignment w:val="baseline"/>
    </w:pPr>
    <w:rPr>
      <w:rFonts w:ascii="Arial" w:hAnsi="Arial"/>
      <w:sz w:val="22"/>
    </w:rPr>
  </w:style>
  <w:style w:type="paragraph" w:customStyle="1" w:styleId="a6">
    <w:name w:val="???????"/>
    <w:rsid w:val="004A6DCA"/>
    <w:rPr>
      <w:sz w:val="24"/>
    </w:rPr>
  </w:style>
  <w:style w:type="paragraph" w:styleId="a7">
    <w:name w:val="Block Text"/>
    <w:basedOn w:val="a"/>
    <w:rsid w:val="004A6DCA"/>
    <w:pPr>
      <w:widowControl/>
      <w:ind w:left="-142" w:right="-5"/>
      <w:jc w:val="both"/>
    </w:pPr>
    <w:rPr>
      <w:i/>
      <w:szCs w:val="24"/>
    </w:rPr>
  </w:style>
  <w:style w:type="paragraph" w:customStyle="1" w:styleId="Iniiaiieoaeno">
    <w:name w:val="Iniiaiie oaeno"/>
    <w:basedOn w:val="a"/>
    <w:rsid w:val="004A6DCA"/>
    <w:pPr>
      <w:overflowPunct w:val="0"/>
      <w:autoSpaceDE w:val="0"/>
      <w:autoSpaceDN w:val="0"/>
      <w:adjustRightInd w:val="0"/>
      <w:jc w:val="both"/>
      <w:textAlignment w:val="baseline"/>
    </w:pPr>
  </w:style>
  <w:style w:type="paragraph" w:customStyle="1" w:styleId="Iauiue3">
    <w:name w:val="Iau?iue3"/>
    <w:rsid w:val="004A6DCA"/>
    <w:pPr>
      <w:keepLines/>
      <w:widowControl w:val="0"/>
      <w:ind w:firstLine="720"/>
      <w:jc w:val="both"/>
    </w:pPr>
    <w:rPr>
      <w:rFonts w:ascii="Baltica" w:hAnsi="Baltica"/>
      <w:sz w:val="24"/>
    </w:rPr>
  </w:style>
  <w:style w:type="paragraph" w:styleId="a8">
    <w:name w:val="Balloon Text"/>
    <w:basedOn w:val="a"/>
    <w:semiHidden/>
    <w:rsid w:val="004A6DCA"/>
    <w:rPr>
      <w:rFonts w:ascii="Tahoma" w:hAnsi="Tahoma" w:cs="Tahoma"/>
      <w:sz w:val="16"/>
      <w:szCs w:val="16"/>
    </w:rPr>
  </w:style>
  <w:style w:type="paragraph" w:customStyle="1" w:styleId="OoaiiAoia">
    <w:name w:val="OoaiiAoia"/>
    <w:basedOn w:val="a"/>
    <w:rsid w:val="004A6DCA"/>
    <w:pPr>
      <w:widowControl/>
      <w:tabs>
        <w:tab w:val="right" w:leader="underscore" w:pos="3289"/>
      </w:tabs>
      <w:overflowPunct w:val="0"/>
      <w:autoSpaceDE w:val="0"/>
      <w:autoSpaceDN w:val="0"/>
      <w:adjustRightInd w:val="0"/>
      <w:spacing w:line="260" w:lineRule="exact"/>
      <w:ind w:left="425" w:right="17"/>
      <w:textAlignment w:val="baseline"/>
    </w:pPr>
    <w:rPr>
      <w:rFonts w:ascii="Arial Narrow" w:hAnsi="Arial Narrow"/>
      <w:b/>
      <w:sz w:val="20"/>
    </w:rPr>
  </w:style>
  <w:style w:type="paragraph" w:customStyle="1" w:styleId="ConsNormal">
    <w:name w:val="ConsNormal"/>
    <w:rsid w:val="004A6DCA"/>
    <w:pPr>
      <w:widowControl w:val="0"/>
      <w:overflowPunct w:val="0"/>
      <w:autoSpaceDE w:val="0"/>
      <w:autoSpaceDN w:val="0"/>
      <w:adjustRightInd w:val="0"/>
      <w:ind w:right="19772" w:firstLine="720"/>
      <w:textAlignment w:val="baseline"/>
    </w:pPr>
    <w:rPr>
      <w:rFonts w:ascii="Arial" w:hAnsi="Arial"/>
    </w:rPr>
  </w:style>
  <w:style w:type="paragraph" w:customStyle="1" w:styleId="caaieiaie6">
    <w:name w:val="caaieiaie 6"/>
    <w:basedOn w:val="a"/>
    <w:next w:val="a"/>
    <w:rsid w:val="004A6DCA"/>
    <w:pPr>
      <w:keepNext/>
      <w:widowControl/>
      <w:overflowPunct w:val="0"/>
      <w:autoSpaceDE w:val="0"/>
      <w:autoSpaceDN w:val="0"/>
      <w:adjustRightInd w:val="0"/>
      <w:textAlignment w:val="baseline"/>
    </w:pPr>
    <w:rPr>
      <w:rFonts w:ascii="AvantGardeC" w:hAnsi="AvantGardeC"/>
    </w:rPr>
  </w:style>
  <w:style w:type="paragraph" w:customStyle="1" w:styleId="211">
    <w:name w:val="Основной текст с отступом 21"/>
    <w:basedOn w:val="a"/>
    <w:rsid w:val="004A6DCA"/>
    <w:pPr>
      <w:widowControl/>
      <w:overflowPunct w:val="0"/>
      <w:autoSpaceDE w:val="0"/>
      <w:autoSpaceDN w:val="0"/>
      <w:adjustRightInd w:val="0"/>
      <w:ind w:right="312" w:firstLine="284"/>
      <w:jc w:val="both"/>
      <w:textAlignment w:val="baseline"/>
    </w:pPr>
    <w:rPr>
      <w:b/>
    </w:rPr>
  </w:style>
  <w:style w:type="character" w:styleId="a9">
    <w:name w:val="Hyperlink"/>
    <w:rsid w:val="00A714BC"/>
    <w:rPr>
      <w:color w:val="0000FF"/>
      <w:sz w:val="20"/>
      <w:u w:val="single"/>
    </w:rPr>
  </w:style>
  <w:style w:type="paragraph" w:styleId="aa">
    <w:name w:val="Document Map"/>
    <w:basedOn w:val="a"/>
    <w:semiHidden/>
    <w:rsid w:val="00E82935"/>
    <w:pPr>
      <w:shd w:val="clear" w:color="auto" w:fill="000080"/>
    </w:pPr>
    <w:rPr>
      <w:rFonts w:ascii="Tahoma" w:hAnsi="Tahoma" w:cs="Tahoma"/>
      <w:sz w:val="20"/>
    </w:rPr>
  </w:style>
  <w:style w:type="paragraph" w:styleId="ab">
    <w:name w:val="Normal (Web)"/>
    <w:basedOn w:val="a"/>
    <w:uiPriority w:val="99"/>
    <w:unhideWhenUsed/>
    <w:rsid w:val="00803188"/>
    <w:pPr>
      <w:widowControl/>
      <w:spacing w:before="100" w:beforeAutospacing="1" w:after="100" w:afterAutospacing="1"/>
    </w:pPr>
    <w:rPr>
      <w:rFonts w:eastAsia="Calibri"/>
      <w:szCs w:val="24"/>
    </w:rPr>
  </w:style>
  <w:style w:type="paragraph" w:styleId="ac">
    <w:name w:val="List Paragraph"/>
    <w:basedOn w:val="a"/>
    <w:uiPriority w:val="34"/>
    <w:qFormat/>
    <w:rsid w:val="00803188"/>
    <w:pPr>
      <w:widowControl/>
      <w:ind w:left="720"/>
    </w:pPr>
    <w:rPr>
      <w:rFonts w:ascii="Calibri" w:eastAsia="Calibri" w:hAnsi="Calibri"/>
      <w:sz w:val="22"/>
      <w:szCs w:val="22"/>
    </w:rPr>
  </w:style>
  <w:style w:type="paragraph" w:styleId="ad">
    <w:name w:val="annotation text"/>
    <w:basedOn w:val="a"/>
    <w:link w:val="ae"/>
    <w:uiPriority w:val="99"/>
    <w:rsid w:val="003018B1"/>
    <w:pPr>
      <w:widowControl/>
    </w:pPr>
    <w:rPr>
      <w:sz w:val="20"/>
    </w:rPr>
  </w:style>
  <w:style w:type="character" w:customStyle="1" w:styleId="ae">
    <w:name w:val="Текст примечания Знак"/>
    <w:basedOn w:val="a0"/>
    <w:link w:val="ad"/>
    <w:uiPriority w:val="99"/>
    <w:rsid w:val="003018B1"/>
  </w:style>
  <w:style w:type="character" w:styleId="af">
    <w:name w:val="annotation reference"/>
    <w:uiPriority w:val="99"/>
    <w:rsid w:val="003018B1"/>
    <w:rPr>
      <w:sz w:val="16"/>
      <w:szCs w:val="16"/>
    </w:rPr>
  </w:style>
  <w:style w:type="character" w:styleId="af0">
    <w:name w:val="Strong"/>
    <w:basedOn w:val="a0"/>
    <w:uiPriority w:val="22"/>
    <w:qFormat/>
    <w:rsid w:val="00FA64EF"/>
    <w:rPr>
      <w:b/>
      <w:bCs/>
    </w:rPr>
  </w:style>
  <w:style w:type="character" w:customStyle="1" w:styleId="apple-converted-space">
    <w:name w:val="apple-converted-space"/>
    <w:basedOn w:val="a0"/>
    <w:rsid w:val="00FA64EF"/>
  </w:style>
  <w:style w:type="paragraph" w:customStyle="1" w:styleId="Nienieiiaaaeaiee">
    <w:name w:val="Nienie ii?aaaeaiee"/>
    <w:basedOn w:val="a"/>
    <w:next w:val="a"/>
    <w:uiPriority w:val="99"/>
    <w:rsid w:val="002171E2"/>
    <w:pPr>
      <w:overflowPunct w:val="0"/>
      <w:autoSpaceDE w:val="0"/>
      <w:autoSpaceDN w:val="0"/>
      <w:adjustRightInd w:val="0"/>
      <w:ind w:left="360"/>
      <w:textAlignment w:val="baseline"/>
    </w:pPr>
    <w:rPr>
      <w:lang w:eastAsia="en-US"/>
    </w:rPr>
  </w:style>
  <w:style w:type="paragraph" w:customStyle="1" w:styleId="Default">
    <w:name w:val="Default"/>
    <w:rsid w:val="00281B8B"/>
    <w:pPr>
      <w:autoSpaceDE w:val="0"/>
      <w:autoSpaceDN w:val="0"/>
      <w:adjustRightInd w:val="0"/>
    </w:pPr>
    <w:rPr>
      <w:rFonts w:ascii="Verdana" w:eastAsiaTheme="minorHAnsi" w:hAnsi="Verdana" w:cs="Verdana"/>
      <w:color w:val="000000"/>
      <w:sz w:val="24"/>
      <w:szCs w:val="24"/>
      <w:lang w:eastAsia="en-US"/>
    </w:rPr>
  </w:style>
  <w:style w:type="paragraph" w:styleId="af1">
    <w:name w:val="footnote text"/>
    <w:basedOn w:val="a"/>
    <w:link w:val="af2"/>
    <w:uiPriority w:val="99"/>
    <w:unhideWhenUsed/>
    <w:rsid w:val="00281B8B"/>
    <w:pPr>
      <w:widowControl/>
    </w:pPr>
    <w:rPr>
      <w:rFonts w:asciiTheme="minorHAnsi" w:eastAsiaTheme="minorHAnsi" w:hAnsiTheme="minorHAnsi" w:cstheme="minorBidi"/>
      <w:sz w:val="20"/>
      <w:lang w:eastAsia="en-US"/>
    </w:rPr>
  </w:style>
  <w:style w:type="character" w:customStyle="1" w:styleId="af2">
    <w:name w:val="Текст сноски Знак"/>
    <w:basedOn w:val="a0"/>
    <w:link w:val="af1"/>
    <w:uiPriority w:val="99"/>
    <w:rsid w:val="00281B8B"/>
    <w:rPr>
      <w:rFonts w:asciiTheme="minorHAnsi" w:eastAsiaTheme="minorHAnsi" w:hAnsiTheme="minorHAnsi" w:cstheme="minorBidi"/>
      <w:lang w:eastAsia="en-US"/>
    </w:rPr>
  </w:style>
  <w:style w:type="character" w:styleId="af3">
    <w:name w:val="footnote reference"/>
    <w:basedOn w:val="a0"/>
    <w:uiPriority w:val="99"/>
    <w:unhideWhenUsed/>
    <w:rsid w:val="00281B8B"/>
    <w:rPr>
      <w:vertAlign w:val="superscript"/>
    </w:rPr>
  </w:style>
  <w:style w:type="paragraph" w:styleId="af4">
    <w:name w:val="header"/>
    <w:basedOn w:val="a"/>
    <w:link w:val="af5"/>
    <w:rsid w:val="00F203F1"/>
    <w:pPr>
      <w:tabs>
        <w:tab w:val="center" w:pos="4677"/>
        <w:tab w:val="right" w:pos="9355"/>
      </w:tabs>
    </w:pPr>
  </w:style>
  <w:style w:type="character" w:customStyle="1" w:styleId="af5">
    <w:name w:val="Верхний колонтитул Знак"/>
    <w:basedOn w:val="a0"/>
    <w:link w:val="af4"/>
    <w:rsid w:val="00F203F1"/>
    <w:rPr>
      <w:sz w:val="24"/>
    </w:rPr>
  </w:style>
  <w:style w:type="paragraph" w:styleId="af6">
    <w:name w:val="footer"/>
    <w:basedOn w:val="a"/>
    <w:link w:val="af7"/>
    <w:uiPriority w:val="99"/>
    <w:rsid w:val="00F203F1"/>
    <w:pPr>
      <w:tabs>
        <w:tab w:val="center" w:pos="4677"/>
        <w:tab w:val="right" w:pos="9355"/>
      </w:tabs>
    </w:pPr>
  </w:style>
  <w:style w:type="character" w:customStyle="1" w:styleId="af7">
    <w:name w:val="Нижний колонтитул Знак"/>
    <w:basedOn w:val="a0"/>
    <w:link w:val="af6"/>
    <w:uiPriority w:val="99"/>
    <w:rsid w:val="00F203F1"/>
    <w:rPr>
      <w:sz w:val="24"/>
    </w:rPr>
  </w:style>
  <w:style w:type="paragraph" w:customStyle="1" w:styleId="ConsPlusNormal">
    <w:name w:val="ConsPlusNormal"/>
    <w:link w:val="ConsPlusNormal0"/>
    <w:rsid w:val="00BE336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BE336C"/>
    <w:rPr>
      <w:rFonts w:ascii="Arial" w:hAnsi="Arial" w:cs="Arial"/>
    </w:rPr>
  </w:style>
  <w:style w:type="paragraph" w:customStyle="1" w:styleId="default0">
    <w:name w:val="default"/>
    <w:basedOn w:val="a"/>
    <w:uiPriority w:val="99"/>
    <w:rsid w:val="00145D40"/>
    <w:pPr>
      <w:widowControl/>
      <w:spacing w:before="100" w:beforeAutospacing="1" w:after="100" w:afterAutospacing="1"/>
    </w:pPr>
    <w:rPr>
      <w:rFonts w:eastAsia="Calibri"/>
      <w:szCs w:val="24"/>
    </w:rPr>
  </w:style>
  <w:style w:type="paragraph" w:styleId="af8">
    <w:name w:val="annotation subject"/>
    <w:basedOn w:val="ad"/>
    <w:next w:val="ad"/>
    <w:link w:val="af9"/>
    <w:rsid w:val="00A644B2"/>
    <w:pPr>
      <w:widowControl w:val="0"/>
    </w:pPr>
    <w:rPr>
      <w:b/>
      <w:bCs/>
    </w:rPr>
  </w:style>
  <w:style w:type="character" w:customStyle="1" w:styleId="af9">
    <w:name w:val="Тема примечания Знак"/>
    <w:basedOn w:val="ae"/>
    <w:link w:val="af8"/>
    <w:rsid w:val="00A644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5B95"/>
    <w:pPr>
      <w:widowControl w:val="0"/>
    </w:pPr>
    <w:rPr>
      <w:sz w:val="24"/>
    </w:rPr>
  </w:style>
  <w:style w:type="paragraph" w:styleId="1">
    <w:name w:val="heading 1"/>
    <w:basedOn w:val="a"/>
    <w:next w:val="a"/>
    <w:qFormat/>
    <w:rsid w:val="004A6DCA"/>
    <w:pPr>
      <w:keepNext/>
      <w:widowControl/>
      <w:overflowPunct w:val="0"/>
      <w:autoSpaceDE w:val="0"/>
      <w:autoSpaceDN w:val="0"/>
      <w:adjustRightInd w:val="0"/>
      <w:jc w:val="both"/>
      <w:textAlignment w:val="baseline"/>
      <w:outlineLvl w:val="0"/>
    </w:pPr>
  </w:style>
  <w:style w:type="paragraph" w:styleId="2">
    <w:name w:val="heading 2"/>
    <w:basedOn w:val="a"/>
    <w:next w:val="a"/>
    <w:qFormat/>
    <w:rsid w:val="004A6DCA"/>
    <w:pPr>
      <w:keepNext/>
      <w:overflowPunct w:val="0"/>
      <w:autoSpaceDE w:val="0"/>
      <w:autoSpaceDN w:val="0"/>
      <w:adjustRightInd w:val="0"/>
      <w:jc w:val="center"/>
      <w:textAlignment w:val="baseline"/>
      <w:outlineLvl w:val="1"/>
    </w:pPr>
    <w:rPr>
      <w:b/>
      <w:sz w:val="22"/>
    </w:rPr>
  </w:style>
  <w:style w:type="paragraph" w:styleId="3">
    <w:name w:val="heading 3"/>
    <w:basedOn w:val="a"/>
    <w:next w:val="a"/>
    <w:qFormat/>
    <w:rsid w:val="004A6DCA"/>
    <w:pPr>
      <w:keepNext/>
      <w:tabs>
        <w:tab w:val="left" w:pos="851"/>
      </w:tabs>
      <w:ind w:left="36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шрифт абзаца2"/>
    <w:rsid w:val="004A6DCA"/>
    <w:rPr>
      <w:sz w:val="20"/>
    </w:rPr>
  </w:style>
  <w:style w:type="character" w:customStyle="1" w:styleId="10">
    <w:name w:val="Основной шрифт абзаца1"/>
    <w:rsid w:val="004A6DCA"/>
    <w:rPr>
      <w:sz w:val="20"/>
    </w:rPr>
  </w:style>
  <w:style w:type="paragraph" w:customStyle="1" w:styleId="Iauiue">
    <w:name w:val="Iau?iue"/>
    <w:rsid w:val="004A6DCA"/>
    <w:pPr>
      <w:widowControl w:val="0"/>
    </w:pPr>
  </w:style>
  <w:style w:type="paragraph" w:styleId="a3">
    <w:name w:val="Body Text Indent"/>
    <w:basedOn w:val="a"/>
    <w:rsid w:val="004A6DCA"/>
    <w:pPr>
      <w:spacing w:before="120" w:line="360" w:lineRule="auto"/>
      <w:ind w:firstLine="720"/>
      <w:jc w:val="both"/>
    </w:pPr>
  </w:style>
  <w:style w:type="paragraph" w:styleId="a4">
    <w:name w:val="Body Text"/>
    <w:basedOn w:val="a"/>
    <w:rsid w:val="004A6DCA"/>
    <w:pPr>
      <w:jc w:val="both"/>
    </w:pPr>
  </w:style>
  <w:style w:type="character" w:customStyle="1" w:styleId="a5">
    <w:name w:val="Компания"/>
    <w:rsid w:val="004A6DCA"/>
    <w:rPr>
      <w:rFonts w:ascii="Futuris" w:hAnsi="Futuris"/>
      <w:b/>
      <w:i/>
      <w:sz w:val="22"/>
    </w:rPr>
  </w:style>
  <w:style w:type="paragraph" w:styleId="21">
    <w:name w:val="Body Text 2"/>
    <w:basedOn w:val="a"/>
    <w:rsid w:val="004A6DCA"/>
    <w:pPr>
      <w:spacing w:line="360" w:lineRule="auto"/>
      <w:jc w:val="both"/>
    </w:pPr>
    <w:rPr>
      <w:b/>
    </w:rPr>
  </w:style>
  <w:style w:type="paragraph" w:styleId="30">
    <w:name w:val="Body Text 3"/>
    <w:basedOn w:val="a"/>
    <w:rsid w:val="004A6DCA"/>
    <w:pPr>
      <w:jc w:val="both"/>
    </w:pPr>
    <w:rPr>
      <w:i/>
    </w:rPr>
  </w:style>
  <w:style w:type="paragraph" w:styleId="22">
    <w:name w:val="Body Text Indent 2"/>
    <w:basedOn w:val="a"/>
    <w:rsid w:val="004A6DCA"/>
    <w:pPr>
      <w:ind w:left="426" w:hanging="426"/>
    </w:pPr>
  </w:style>
  <w:style w:type="character" w:customStyle="1" w:styleId="SUBST">
    <w:name w:val="__SUBST"/>
    <w:rsid w:val="004A6DCA"/>
    <w:rPr>
      <w:b/>
      <w:i/>
      <w:sz w:val="22"/>
    </w:rPr>
  </w:style>
  <w:style w:type="paragraph" w:customStyle="1" w:styleId="23">
    <w:name w:val="???????? ????? 2"/>
    <w:basedOn w:val="a"/>
    <w:rsid w:val="004A6DCA"/>
    <w:pPr>
      <w:jc w:val="both"/>
    </w:pPr>
    <w:rPr>
      <w:b/>
    </w:rPr>
  </w:style>
  <w:style w:type="paragraph" w:customStyle="1" w:styleId="11">
    <w:name w:val="Цитата1"/>
    <w:basedOn w:val="a"/>
    <w:rsid w:val="004A6DCA"/>
    <w:pPr>
      <w:widowControl/>
      <w:overflowPunct w:val="0"/>
      <w:autoSpaceDE w:val="0"/>
      <w:autoSpaceDN w:val="0"/>
      <w:adjustRightInd w:val="0"/>
      <w:ind w:left="-142" w:right="-652"/>
      <w:jc w:val="both"/>
      <w:textAlignment w:val="baseline"/>
    </w:pPr>
    <w:rPr>
      <w:rFonts w:ascii="Times New Roman CYR" w:hAnsi="Times New Roman CYR"/>
      <w:b/>
    </w:rPr>
  </w:style>
  <w:style w:type="paragraph" w:styleId="31">
    <w:name w:val="Body Text Indent 3"/>
    <w:basedOn w:val="a"/>
    <w:rsid w:val="004A6DCA"/>
    <w:pPr>
      <w:ind w:left="-142"/>
      <w:jc w:val="both"/>
    </w:pPr>
    <w:rPr>
      <w:i/>
    </w:rPr>
  </w:style>
  <w:style w:type="paragraph" w:customStyle="1" w:styleId="210">
    <w:name w:val="Основной текст 21"/>
    <w:basedOn w:val="a"/>
    <w:rsid w:val="004A6DCA"/>
    <w:pPr>
      <w:widowControl/>
      <w:overflowPunct w:val="0"/>
      <w:autoSpaceDE w:val="0"/>
      <w:autoSpaceDN w:val="0"/>
      <w:adjustRightInd w:val="0"/>
      <w:ind w:firstLine="567"/>
      <w:jc w:val="both"/>
      <w:textAlignment w:val="baseline"/>
    </w:pPr>
    <w:rPr>
      <w:rFonts w:ascii="Arial" w:hAnsi="Arial"/>
      <w:sz w:val="22"/>
    </w:rPr>
  </w:style>
  <w:style w:type="paragraph" w:customStyle="1" w:styleId="a6">
    <w:name w:val="???????"/>
    <w:rsid w:val="004A6DCA"/>
    <w:rPr>
      <w:sz w:val="24"/>
    </w:rPr>
  </w:style>
  <w:style w:type="paragraph" w:styleId="a7">
    <w:name w:val="Block Text"/>
    <w:basedOn w:val="a"/>
    <w:rsid w:val="004A6DCA"/>
    <w:pPr>
      <w:widowControl/>
      <w:ind w:left="-142" w:right="-5"/>
      <w:jc w:val="both"/>
    </w:pPr>
    <w:rPr>
      <w:i/>
      <w:szCs w:val="24"/>
    </w:rPr>
  </w:style>
  <w:style w:type="paragraph" w:customStyle="1" w:styleId="Iniiaiieoaeno">
    <w:name w:val="Iniiaiie oaeno"/>
    <w:basedOn w:val="a"/>
    <w:rsid w:val="004A6DCA"/>
    <w:pPr>
      <w:overflowPunct w:val="0"/>
      <w:autoSpaceDE w:val="0"/>
      <w:autoSpaceDN w:val="0"/>
      <w:adjustRightInd w:val="0"/>
      <w:jc w:val="both"/>
      <w:textAlignment w:val="baseline"/>
    </w:pPr>
  </w:style>
  <w:style w:type="paragraph" w:customStyle="1" w:styleId="Iauiue3">
    <w:name w:val="Iau?iue3"/>
    <w:rsid w:val="004A6DCA"/>
    <w:pPr>
      <w:keepLines/>
      <w:widowControl w:val="0"/>
      <w:ind w:firstLine="720"/>
      <w:jc w:val="both"/>
    </w:pPr>
    <w:rPr>
      <w:rFonts w:ascii="Baltica" w:hAnsi="Baltica"/>
      <w:sz w:val="24"/>
    </w:rPr>
  </w:style>
  <w:style w:type="paragraph" w:styleId="a8">
    <w:name w:val="Balloon Text"/>
    <w:basedOn w:val="a"/>
    <w:semiHidden/>
    <w:rsid w:val="004A6DCA"/>
    <w:rPr>
      <w:rFonts w:ascii="Tahoma" w:hAnsi="Tahoma" w:cs="Tahoma"/>
      <w:sz w:val="16"/>
      <w:szCs w:val="16"/>
    </w:rPr>
  </w:style>
  <w:style w:type="paragraph" w:customStyle="1" w:styleId="OoaiiAoia">
    <w:name w:val="OoaiiAoia"/>
    <w:basedOn w:val="a"/>
    <w:rsid w:val="004A6DCA"/>
    <w:pPr>
      <w:widowControl/>
      <w:tabs>
        <w:tab w:val="right" w:leader="underscore" w:pos="3289"/>
      </w:tabs>
      <w:overflowPunct w:val="0"/>
      <w:autoSpaceDE w:val="0"/>
      <w:autoSpaceDN w:val="0"/>
      <w:adjustRightInd w:val="0"/>
      <w:spacing w:line="260" w:lineRule="exact"/>
      <w:ind w:left="425" w:right="17"/>
      <w:textAlignment w:val="baseline"/>
    </w:pPr>
    <w:rPr>
      <w:rFonts w:ascii="Arial Narrow" w:hAnsi="Arial Narrow"/>
      <w:b/>
      <w:sz w:val="20"/>
    </w:rPr>
  </w:style>
  <w:style w:type="paragraph" w:customStyle="1" w:styleId="ConsNormal">
    <w:name w:val="ConsNormal"/>
    <w:rsid w:val="004A6DCA"/>
    <w:pPr>
      <w:widowControl w:val="0"/>
      <w:overflowPunct w:val="0"/>
      <w:autoSpaceDE w:val="0"/>
      <w:autoSpaceDN w:val="0"/>
      <w:adjustRightInd w:val="0"/>
      <w:ind w:right="19772" w:firstLine="720"/>
      <w:textAlignment w:val="baseline"/>
    </w:pPr>
    <w:rPr>
      <w:rFonts w:ascii="Arial" w:hAnsi="Arial"/>
    </w:rPr>
  </w:style>
  <w:style w:type="paragraph" w:customStyle="1" w:styleId="caaieiaie6">
    <w:name w:val="caaieiaie 6"/>
    <w:basedOn w:val="a"/>
    <w:next w:val="a"/>
    <w:rsid w:val="004A6DCA"/>
    <w:pPr>
      <w:keepNext/>
      <w:widowControl/>
      <w:overflowPunct w:val="0"/>
      <w:autoSpaceDE w:val="0"/>
      <w:autoSpaceDN w:val="0"/>
      <w:adjustRightInd w:val="0"/>
      <w:textAlignment w:val="baseline"/>
    </w:pPr>
    <w:rPr>
      <w:rFonts w:ascii="AvantGardeC" w:hAnsi="AvantGardeC"/>
    </w:rPr>
  </w:style>
  <w:style w:type="paragraph" w:customStyle="1" w:styleId="211">
    <w:name w:val="Основной текст с отступом 21"/>
    <w:basedOn w:val="a"/>
    <w:rsid w:val="004A6DCA"/>
    <w:pPr>
      <w:widowControl/>
      <w:overflowPunct w:val="0"/>
      <w:autoSpaceDE w:val="0"/>
      <w:autoSpaceDN w:val="0"/>
      <w:adjustRightInd w:val="0"/>
      <w:ind w:right="312" w:firstLine="284"/>
      <w:jc w:val="both"/>
      <w:textAlignment w:val="baseline"/>
    </w:pPr>
    <w:rPr>
      <w:b/>
    </w:rPr>
  </w:style>
  <w:style w:type="character" w:styleId="a9">
    <w:name w:val="Hyperlink"/>
    <w:rsid w:val="00A714BC"/>
    <w:rPr>
      <w:color w:val="0000FF"/>
      <w:sz w:val="20"/>
      <w:u w:val="single"/>
    </w:rPr>
  </w:style>
  <w:style w:type="paragraph" w:styleId="aa">
    <w:name w:val="Document Map"/>
    <w:basedOn w:val="a"/>
    <w:semiHidden/>
    <w:rsid w:val="00E82935"/>
    <w:pPr>
      <w:shd w:val="clear" w:color="auto" w:fill="000080"/>
    </w:pPr>
    <w:rPr>
      <w:rFonts w:ascii="Tahoma" w:hAnsi="Tahoma" w:cs="Tahoma"/>
      <w:sz w:val="20"/>
    </w:rPr>
  </w:style>
  <w:style w:type="paragraph" w:styleId="ab">
    <w:name w:val="Normal (Web)"/>
    <w:basedOn w:val="a"/>
    <w:uiPriority w:val="99"/>
    <w:unhideWhenUsed/>
    <w:rsid w:val="00803188"/>
    <w:pPr>
      <w:widowControl/>
      <w:spacing w:before="100" w:beforeAutospacing="1" w:after="100" w:afterAutospacing="1"/>
    </w:pPr>
    <w:rPr>
      <w:rFonts w:eastAsia="Calibri"/>
      <w:szCs w:val="24"/>
    </w:rPr>
  </w:style>
  <w:style w:type="paragraph" w:styleId="ac">
    <w:name w:val="List Paragraph"/>
    <w:basedOn w:val="a"/>
    <w:uiPriority w:val="34"/>
    <w:qFormat/>
    <w:rsid w:val="00803188"/>
    <w:pPr>
      <w:widowControl/>
      <w:ind w:left="720"/>
    </w:pPr>
    <w:rPr>
      <w:rFonts w:ascii="Calibri" w:eastAsia="Calibri" w:hAnsi="Calibri"/>
      <w:sz w:val="22"/>
      <w:szCs w:val="22"/>
    </w:rPr>
  </w:style>
  <w:style w:type="paragraph" w:styleId="ad">
    <w:name w:val="annotation text"/>
    <w:basedOn w:val="a"/>
    <w:link w:val="ae"/>
    <w:uiPriority w:val="99"/>
    <w:rsid w:val="003018B1"/>
    <w:pPr>
      <w:widowControl/>
    </w:pPr>
    <w:rPr>
      <w:sz w:val="20"/>
    </w:rPr>
  </w:style>
  <w:style w:type="character" w:customStyle="1" w:styleId="ae">
    <w:name w:val="Текст примечания Знак"/>
    <w:basedOn w:val="a0"/>
    <w:link w:val="ad"/>
    <w:uiPriority w:val="99"/>
    <w:rsid w:val="003018B1"/>
  </w:style>
  <w:style w:type="character" w:styleId="af">
    <w:name w:val="annotation reference"/>
    <w:uiPriority w:val="99"/>
    <w:rsid w:val="003018B1"/>
    <w:rPr>
      <w:sz w:val="16"/>
      <w:szCs w:val="16"/>
    </w:rPr>
  </w:style>
  <w:style w:type="character" w:styleId="af0">
    <w:name w:val="Strong"/>
    <w:basedOn w:val="a0"/>
    <w:uiPriority w:val="22"/>
    <w:qFormat/>
    <w:rsid w:val="00FA64EF"/>
    <w:rPr>
      <w:b/>
      <w:bCs/>
    </w:rPr>
  </w:style>
  <w:style w:type="character" w:customStyle="1" w:styleId="apple-converted-space">
    <w:name w:val="apple-converted-space"/>
    <w:basedOn w:val="a0"/>
    <w:rsid w:val="00FA64EF"/>
  </w:style>
  <w:style w:type="paragraph" w:customStyle="1" w:styleId="Nienieiiaaaeaiee">
    <w:name w:val="Nienie ii?aaaeaiee"/>
    <w:basedOn w:val="a"/>
    <w:next w:val="a"/>
    <w:uiPriority w:val="99"/>
    <w:rsid w:val="002171E2"/>
    <w:pPr>
      <w:overflowPunct w:val="0"/>
      <w:autoSpaceDE w:val="0"/>
      <w:autoSpaceDN w:val="0"/>
      <w:adjustRightInd w:val="0"/>
      <w:ind w:left="360"/>
      <w:textAlignment w:val="baseline"/>
    </w:pPr>
    <w:rPr>
      <w:lang w:eastAsia="en-US"/>
    </w:rPr>
  </w:style>
  <w:style w:type="paragraph" w:customStyle="1" w:styleId="Default">
    <w:name w:val="Default"/>
    <w:rsid w:val="00281B8B"/>
    <w:pPr>
      <w:autoSpaceDE w:val="0"/>
      <w:autoSpaceDN w:val="0"/>
      <w:adjustRightInd w:val="0"/>
    </w:pPr>
    <w:rPr>
      <w:rFonts w:ascii="Verdana" w:eastAsiaTheme="minorHAnsi" w:hAnsi="Verdana" w:cs="Verdana"/>
      <w:color w:val="000000"/>
      <w:sz w:val="24"/>
      <w:szCs w:val="24"/>
      <w:lang w:eastAsia="en-US"/>
    </w:rPr>
  </w:style>
  <w:style w:type="paragraph" w:styleId="af1">
    <w:name w:val="footnote text"/>
    <w:basedOn w:val="a"/>
    <w:link w:val="af2"/>
    <w:uiPriority w:val="99"/>
    <w:unhideWhenUsed/>
    <w:rsid w:val="00281B8B"/>
    <w:pPr>
      <w:widowControl/>
    </w:pPr>
    <w:rPr>
      <w:rFonts w:asciiTheme="minorHAnsi" w:eastAsiaTheme="minorHAnsi" w:hAnsiTheme="minorHAnsi" w:cstheme="minorBidi"/>
      <w:sz w:val="20"/>
      <w:lang w:eastAsia="en-US"/>
    </w:rPr>
  </w:style>
  <w:style w:type="character" w:customStyle="1" w:styleId="af2">
    <w:name w:val="Текст сноски Знак"/>
    <w:basedOn w:val="a0"/>
    <w:link w:val="af1"/>
    <w:uiPriority w:val="99"/>
    <w:rsid w:val="00281B8B"/>
    <w:rPr>
      <w:rFonts w:asciiTheme="minorHAnsi" w:eastAsiaTheme="minorHAnsi" w:hAnsiTheme="minorHAnsi" w:cstheme="minorBidi"/>
      <w:lang w:eastAsia="en-US"/>
    </w:rPr>
  </w:style>
  <w:style w:type="character" w:styleId="af3">
    <w:name w:val="footnote reference"/>
    <w:basedOn w:val="a0"/>
    <w:uiPriority w:val="99"/>
    <w:unhideWhenUsed/>
    <w:rsid w:val="00281B8B"/>
    <w:rPr>
      <w:vertAlign w:val="superscript"/>
    </w:rPr>
  </w:style>
  <w:style w:type="paragraph" w:styleId="af4">
    <w:name w:val="header"/>
    <w:basedOn w:val="a"/>
    <w:link w:val="af5"/>
    <w:rsid w:val="00F203F1"/>
    <w:pPr>
      <w:tabs>
        <w:tab w:val="center" w:pos="4677"/>
        <w:tab w:val="right" w:pos="9355"/>
      </w:tabs>
    </w:pPr>
  </w:style>
  <w:style w:type="character" w:customStyle="1" w:styleId="af5">
    <w:name w:val="Верхний колонтитул Знак"/>
    <w:basedOn w:val="a0"/>
    <w:link w:val="af4"/>
    <w:rsid w:val="00F203F1"/>
    <w:rPr>
      <w:sz w:val="24"/>
    </w:rPr>
  </w:style>
  <w:style w:type="paragraph" w:styleId="af6">
    <w:name w:val="footer"/>
    <w:basedOn w:val="a"/>
    <w:link w:val="af7"/>
    <w:uiPriority w:val="99"/>
    <w:rsid w:val="00F203F1"/>
    <w:pPr>
      <w:tabs>
        <w:tab w:val="center" w:pos="4677"/>
        <w:tab w:val="right" w:pos="9355"/>
      </w:tabs>
    </w:pPr>
  </w:style>
  <w:style w:type="character" w:customStyle="1" w:styleId="af7">
    <w:name w:val="Нижний колонтитул Знак"/>
    <w:basedOn w:val="a0"/>
    <w:link w:val="af6"/>
    <w:uiPriority w:val="99"/>
    <w:rsid w:val="00F203F1"/>
    <w:rPr>
      <w:sz w:val="24"/>
    </w:rPr>
  </w:style>
  <w:style w:type="paragraph" w:customStyle="1" w:styleId="ConsPlusNormal">
    <w:name w:val="ConsPlusNormal"/>
    <w:link w:val="ConsPlusNormal0"/>
    <w:rsid w:val="00BE336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BE336C"/>
    <w:rPr>
      <w:rFonts w:ascii="Arial" w:hAnsi="Arial" w:cs="Arial"/>
    </w:rPr>
  </w:style>
  <w:style w:type="paragraph" w:customStyle="1" w:styleId="default0">
    <w:name w:val="default"/>
    <w:basedOn w:val="a"/>
    <w:uiPriority w:val="99"/>
    <w:rsid w:val="00145D40"/>
    <w:pPr>
      <w:widowControl/>
      <w:spacing w:before="100" w:beforeAutospacing="1" w:after="100" w:afterAutospacing="1"/>
    </w:pPr>
    <w:rPr>
      <w:rFonts w:eastAsia="Calibri"/>
      <w:szCs w:val="24"/>
    </w:rPr>
  </w:style>
  <w:style w:type="paragraph" w:styleId="af8">
    <w:name w:val="annotation subject"/>
    <w:basedOn w:val="ad"/>
    <w:next w:val="ad"/>
    <w:link w:val="af9"/>
    <w:rsid w:val="00A644B2"/>
    <w:pPr>
      <w:widowControl w:val="0"/>
    </w:pPr>
    <w:rPr>
      <w:b/>
      <w:bCs/>
    </w:rPr>
  </w:style>
  <w:style w:type="character" w:customStyle="1" w:styleId="af9">
    <w:name w:val="Тема примечания Знак"/>
    <w:basedOn w:val="ae"/>
    <w:link w:val="af8"/>
    <w:rsid w:val="00A644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14509">
      <w:bodyDiv w:val="1"/>
      <w:marLeft w:val="0"/>
      <w:marRight w:val="0"/>
      <w:marTop w:val="0"/>
      <w:marBottom w:val="0"/>
      <w:divBdr>
        <w:top w:val="none" w:sz="0" w:space="0" w:color="auto"/>
        <w:left w:val="none" w:sz="0" w:space="0" w:color="auto"/>
        <w:bottom w:val="none" w:sz="0" w:space="0" w:color="auto"/>
        <w:right w:val="none" w:sz="0" w:space="0" w:color="auto"/>
      </w:divBdr>
    </w:div>
    <w:div w:id="538081693">
      <w:bodyDiv w:val="1"/>
      <w:marLeft w:val="0"/>
      <w:marRight w:val="0"/>
      <w:marTop w:val="0"/>
      <w:marBottom w:val="0"/>
      <w:divBdr>
        <w:top w:val="none" w:sz="0" w:space="0" w:color="auto"/>
        <w:left w:val="none" w:sz="0" w:space="0" w:color="auto"/>
        <w:bottom w:val="none" w:sz="0" w:space="0" w:color="auto"/>
        <w:right w:val="none" w:sz="0" w:space="0" w:color="auto"/>
      </w:divBdr>
      <w:divsChild>
        <w:div w:id="1972442648">
          <w:marLeft w:val="446"/>
          <w:marRight w:val="0"/>
          <w:marTop w:val="100"/>
          <w:marBottom w:val="100"/>
          <w:divBdr>
            <w:top w:val="none" w:sz="0" w:space="0" w:color="auto"/>
            <w:left w:val="none" w:sz="0" w:space="0" w:color="auto"/>
            <w:bottom w:val="none" w:sz="0" w:space="0" w:color="auto"/>
            <w:right w:val="none" w:sz="0" w:space="0" w:color="auto"/>
          </w:divBdr>
        </w:div>
      </w:divsChild>
    </w:div>
    <w:div w:id="633870140">
      <w:bodyDiv w:val="1"/>
      <w:marLeft w:val="0"/>
      <w:marRight w:val="0"/>
      <w:marTop w:val="0"/>
      <w:marBottom w:val="0"/>
      <w:divBdr>
        <w:top w:val="none" w:sz="0" w:space="0" w:color="auto"/>
        <w:left w:val="none" w:sz="0" w:space="0" w:color="auto"/>
        <w:bottom w:val="none" w:sz="0" w:space="0" w:color="auto"/>
        <w:right w:val="none" w:sz="0" w:space="0" w:color="auto"/>
      </w:divBdr>
      <w:divsChild>
        <w:div w:id="994723846">
          <w:marLeft w:val="446"/>
          <w:marRight w:val="0"/>
          <w:marTop w:val="100"/>
          <w:marBottom w:val="100"/>
          <w:divBdr>
            <w:top w:val="none" w:sz="0" w:space="0" w:color="auto"/>
            <w:left w:val="none" w:sz="0" w:space="0" w:color="auto"/>
            <w:bottom w:val="none" w:sz="0" w:space="0" w:color="auto"/>
            <w:right w:val="none" w:sz="0" w:space="0" w:color="auto"/>
          </w:divBdr>
        </w:div>
      </w:divsChild>
    </w:div>
    <w:div w:id="648051835">
      <w:bodyDiv w:val="1"/>
      <w:marLeft w:val="0"/>
      <w:marRight w:val="0"/>
      <w:marTop w:val="0"/>
      <w:marBottom w:val="0"/>
      <w:divBdr>
        <w:top w:val="none" w:sz="0" w:space="0" w:color="auto"/>
        <w:left w:val="none" w:sz="0" w:space="0" w:color="auto"/>
        <w:bottom w:val="none" w:sz="0" w:space="0" w:color="auto"/>
        <w:right w:val="none" w:sz="0" w:space="0" w:color="auto"/>
      </w:divBdr>
    </w:div>
    <w:div w:id="835153132">
      <w:bodyDiv w:val="1"/>
      <w:marLeft w:val="0"/>
      <w:marRight w:val="0"/>
      <w:marTop w:val="0"/>
      <w:marBottom w:val="0"/>
      <w:divBdr>
        <w:top w:val="none" w:sz="0" w:space="0" w:color="auto"/>
        <w:left w:val="none" w:sz="0" w:space="0" w:color="auto"/>
        <w:bottom w:val="none" w:sz="0" w:space="0" w:color="auto"/>
        <w:right w:val="none" w:sz="0" w:space="0" w:color="auto"/>
      </w:divBdr>
    </w:div>
    <w:div w:id="1017345973">
      <w:bodyDiv w:val="1"/>
      <w:marLeft w:val="0"/>
      <w:marRight w:val="0"/>
      <w:marTop w:val="0"/>
      <w:marBottom w:val="0"/>
      <w:divBdr>
        <w:top w:val="none" w:sz="0" w:space="0" w:color="auto"/>
        <w:left w:val="none" w:sz="0" w:space="0" w:color="auto"/>
        <w:bottom w:val="none" w:sz="0" w:space="0" w:color="auto"/>
        <w:right w:val="none" w:sz="0" w:space="0" w:color="auto"/>
      </w:divBdr>
    </w:div>
    <w:div w:id="1018190392">
      <w:bodyDiv w:val="1"/>
      <w:marLeft w:val="0"/>
      <w:marRight w:val="0"/>
      <w:marTop w:val="0"/>
      <w:marBottom w:val="0"/>
      <w:divBdr>
        <w:top w:val="none" w:sz="0" w:space="0" w:color="auto"/>
        <w:left w:val="none" w:sz="0" w:space="0" w:color="auto"/>
        <w:bottom w:val="none" w:sz="0" w:space="0" w:color="auto"/>
        <w:right w:val="none" w:sz="0" w:space="0" w:color="auto"/>
      </w:divBdr>
    </w:div>
    <w:div w:id="1191186120">
      <w:bodyDiv w:val="1"/>
      <w:marLeft w:val="0"/>
      <w:marRight w:val="0"/>
      <w:marTop w:val="0"/>
      <w:marBottom w:val="0"/>
      <w:divBdr>
        <w:top w:val="none" w:sz="0" w:space="0" w:color="auto"/>
        <w:left w:val="none" w:sz="0" w:space="0" w:color="auto"/>
        <w:bottom w:val="none" w:sz="0" w:space="0" w:color="auto"/>
        <w:right w:val="none" w:sz="0" w:space="0" w:color="auto"/>
      </w:divBdr>
    </w:div>
    <w:div w:id="1367874479">
      <w:bodyDiv w:val="1"/>
      <w:marLeft w:val="0"/>
      <w:marRight w:val="0"/>
      <w:marTop w:val="0"/>
      <w:marBottom w:val="0"/>
      <w:divBdr>
        <w:top w:val="none" w:sz="0" w:space="0" w:color="auto"/>
        <w:left w:val="none" w:sz="0" w:space="0" w:color="auto"/>
        <w:bottom w:val="none" w:sz="0" w:space="0" w:color="auto"/>
        <w:right w:val="none" w:sz="0" w:space="0" w:color="auto"/>
      </w:divBdr>
    </w:div>
    <w:div w:id="1721132197">
      <w:bodyDiv w:val="1"/>
      <w:marLeft w:val="0"/>
      <w:marRight w:val="0"/>
      <w:marTop w:val="0"/>
      <w:marBottom w:val="0"/>
      <w:divBdr>
        <w:top w:val="none" w:sz="0" w:space="0" w:color="auto"/>
        <w:left w:val="none" w:sz="0" w:space="0" w:color="auto"/>
        <w:bottom w:val="none" w:sz="0" w:space="0" w:color="auto"/>
        <w:right w:val="none" w:sz="0" w:space="0" w:color="auto"/>
      </w:divBdr>
    </w:div>
    <w:div w:id="1724986119">
      <w:bodyDiv w:val="1"/>
      <w:marLeft w:val="0"/>
      <w:marRight w:val="0"/>
      <w:marTop w:val="0"/>
      <w:marBottom w:val="0"/>
      <w:divBdr>
        <w:top w:val="none" w:sz="0" w:space="0" w:color="auto"/>
        <w:left w:val="none" w:sz="0" w:space="0" w:color="auto"/>
        <w:bottom w:val="none" w:sz="0" w:space="0" w:color="auto"/>
        <w:right w:val="none" w:sz="0" w:space="0" w:color="auto"/>
      </w:divBdr>
      <w:divsChild>
        <w:div w:id="725032554">
          <w:marLeft w:val="446"/>
          <w:marRight w:val="0"/>
          <w:marTop w:val="100"/>
          <w:marBottom w:val="100"/>
          <w:divBdr>
            <w:top w:val="none" w:sz="0" w:space="0" w:color="auto"/>
            <w:left w:val="none" w:sz="0" w:space="0" w:color="auto"/>
            <w:bottom w:val="none" w:sz="0" w:space="0" w:color="auto"/>
            <w:right w:val="none" w:sz="0" w:space="0" w:color="auto"/>
          </w:divBdr>
        </w:div>
      </w:divsChild>
    </w:div>
    <w:div w:id="1729455952">
      <w:bodyDiv w:val="1"/>
      <w:marLeft w:val="0"/>
      <w:marRight w:val="0"/>
      <w:marTop w:val="0"/>
      <w:marBottom w:val="0"/>
      <w:divBdr>
        <w:top w:val="none" w:sz="0" w:space="0" w:color="auto"/>
        <w:left w:val="none" w:sz="0" w:space="0" w:color="auto"/>
        <w:bottom w:val="none" w:sz="0" w:space="0" w:color="auto"/>
        <w:right w:val="none" w:sz="0" w:space="0" w:color="auto"/>
      </w:divBdr>
      <w:divsChild>
        <w:div w:id="495389730">
          <w:marLeft w:val="274"/>
          <w:marRight w:val="0"/>
          <w:marTop w:val="100"/>
          <w:marBottom w:val="100"/>
          <w:divBdr>
            <w:top w:val="none" w:sz="0" w:space="0" w:color="auto"/>
            <w:left w:val="none" w:sz="0" w:space="0" w:color="auto"/>
            <w:bottom w:val="none" w:sz="0" w:space="0" w:color="auto"/>
            <w:right w:val="none" w:sz="0" w:space="0" w:color="auto"/>
          </w:divBdr>
        </w:div>
        <w:div w:id="455299484">
          <w:marLeft w:val="274"/>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3290523FA27B9B1FC04B0ED05A0BFD599A15CAD54A1ECA69FC85288703DC2B3A5A65DB9A5A389DiF15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97C205E0F71E5DB71D81FDC388D438002FC715008ECC85F2C08FFF6449D61EB4C90F54D70478E3978e3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2039</Words>
  <Characters>14632</Characters>
  <Application>Microsoft Office Word</Application>
  <DocSecurity>0</DocSecurity>
  <Lines>365</Lines>
  <Paragraphs>173</Paragraphs>
  <ScaleCrop>false</ScaleCrop>
  <HeadingPairs>
    <vt:vector size="2" baseType="variant">
      <vt:variant>
        <vt:lpstr>Название</vt:lpstr>
      </vt:variant>
      <vt:variant>
        <vt:i4>1</vt:i4>
      </vt:variant>
    </vt:vector>
  </HeadingPairs>
  <TitlesOfParts>
    <vt:vector size="1" baseType="lpstr">
      <vt:lpstr>К  вопросу  № ______</vt:lpstr>
    </vt:vector>
  </TitlesOfParts>
  <Company>micex</Company>
  <LinksUpToDate>false</LinksUpToDate>
  <CharactersWithSpaces>16498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 ______</dc:title>
  <dc:creator>User</dc:creator>
  <cp:lastModifiedBy>Минакова Евгения Николаевна</cp:lastModifiedBy>
  <cp:revision>4</cp:revision>
  <cp:lastPrinted>2015-02-27T09:32:00Z</cp:lastPrinted>
  <dcterms:created xsi:type="dcterms:W3CDTF">2015-10-08T09:51:00Z</dcterms:created>
  <dcterms:modified xsi:type="dcterms:W3CDTF">2015-10-08T14:40:00Z</dcterms:modified>
</cp:coreProperties>
</file>