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4" w:rsidRPr="006F5319" w:rsidRDefault="00D22D74" w:rsidP="00C76A22">
      <w:pPr>
        <w:jc w:val="center"/>
        <w:rPr>
          <w:b/>
          <w:sz w:val="22"/>
          <w:szCs w:val="22"/>
        </w:rPr>
      </w:pPr>
    </w:p>
    <w:p w:rsidR="0026255E" w:rsidRDefault="0054350B" w:rsidP="00C76A22">
      <w:pPr>
        <w:jc w:val="center"/>
        <w:rPr>
          <w:b/>
          <w:sz w:val="22"/>
          <w:szCs w:val="22"/>
          <w:lang w:val="en-US"/>
        </w:rPr>
      </w:pPr>
      <w:r w:rsidRPr="00AB5BC7">
        <w:rPr>
          <w:b/>
          <w:sz w:val="22"/>
          <w:szCs w:val="22"/>
        </w:rPr>
        <w:t>Перечень</w:t>
      </w:r>
      <w:r w:rsidR="00DC199D" w:rsidRPr="00AB5BC7">
        <w:rPr>
          <w:b/>
          <w:sz w:val="22"/>
          <w:szCs w:val="22"/>
        </w:rPr>
        <w:t xml:space="preserve"> изменений</w:t>
      </w:r>
      <w:r w:rsidRPr="00AB5BC7">
        <w:rPr>
          <w:b/>
          <w:sz w:val="22"/>
          <w:szCs w:val="22"/>
        </w:rPr>
        <w:t xml:space="preserve">, внесенных </w:t>
      </w:r>
      <w:r w:rsidR="00DC199D" w:rsidRPr="00AB5BC7">
        <w:rPr>
          <w:b/>
          <w:sz w:val="22"/>
          <w:szCs w:val="22"/>
        </w:rPr>
        <w:t xml:space="preserve">в Правила листинга </w:t>
      </w:r>
    </w:p>
    <w:p w:rsidR="00C76A22" w:rsidRPr="0026255E" w:rsidRDefault="00DC199D" w:rsidP="00C76A22">
      <w:pPr>
        <w:jc w:val="center"/>
        <w:rPr>
          <w:b/>
          <w:sz w:val="22"/>
          <w:szCs w:val="22"/>
        </w:rPr>
      </w:pPr>
      <w:r w:rsidRPr="00AB5BC7">
        <w:rPr>
          <w:b/>
          <w:sz w:val="22"/>
          <w:szCs w:val="22"/>
        </w:rPr>
        <w:t>Закрытого акционерного общества «Фондовая биржа ММВБ»</w:t>
      </w:r>
    </w:p>
    <w:p w:rsidR="00BA727C" w:rsidRPr="00AB5BC7" w:rsidRDefault="00BA727C" w:rsidP="00BA727C">
      <w:pPr>
        <w:tabs>
          <w:tab w:val="left" w:pos="851"/>
        </w:tabs>
        <w:ind w:firstLine="567"/>
        <w:jc w:val="both"/>
        <w:rPr>
          <w:sz w:val="22"/>
          <w:szCs w:val="22"/>
        </w:rPr>
      </w:pP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>Правила</w:t>
      </w:r>
      <w:r w:rsidR="00632F09">
        <w:rPr>
          <w:rFonts w:ascii="Times New Roman" w:hAnsi="Times New Roman"/>
          <w:color w:val="000000"/>
        </w:rPr>
        <w:t xml:space="preserve"> листинга </w:t>
      </w:r>
      <w:r w:rsidR="00632F09" w:rsidRPr="00632F09">
        <w:rPr>
          <w:rFonts w:ascii="Times New Roman" w:hAnsi="Times New Roman"/>
          <w:color w:val="000000"/>
        </w:rPr>
        <w:t>Закрытого акционерного общества «Фондовая биржа ММВБ»</w:t>
      </w:r>
      <w:r w:rsidR="00632F09">
        <w:rPr>
          <w:rFonts w:ascii="Times New Roman" w:hAnsi="Times New Roman"/>
          <w:color w:val="000000"/>
        </w:rPr>
        <w:t xml:space="preserve"> (далее – Правила) </w:t>
      </w:r>
      <w:r w:rsidRPr="00AB5BC7">
        <w:rPr>
          <w:rFonts w:ascii="Times New Roman" w:hAnsi="Times New Roman"/>
          <w:color w:val="000000"/>
        </w:rPr>
        <w:t xml:space="preserve">приведены в соответствие с нормами Положения «О допуске ценных бумаг к организованным торгам» № 534-П, утвержденного Банком России 24.02.2016 </w:t>
      </w:r>
      <w:bookmarkStart w:id="0" w:name="_GoBack"/>
      <w:bookmarkEnd w:id="0"/>
      <w:r w:rsidRPr="00AB5BC7">
        <w:rPr>
          <w:rFonts w:ascii="Times New Roman" w:hAnsi="Times New Roman"/>
          <w:color w:val="000000"/>
        </w:rPr>
        <w:t>(далее – Положение о допуске).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</w:rPr>
        <w:t>В целях повышения качества ценных бумаг</w:t>
      </w:r>
      <w:r w:rsidR="00632F09">
        <w:rPr>
          <w:rFonts w:ascii="Times New Roman" w:hAnsi="Times New Roman"/>
        </w:rPr>
        <w:t>,</w:t>
      </w:r>
      <w:r w:rsidRPr="00AB5BC7">
        <w:rPr>
          <w:rFonts w:ascii="Times New Roman" w:hAnsi="Times New Roman"/>
        </w:rPr>
        <w:t xml:space="preserve"> включаемых в Список </w:t>
      </w:r>
      <w:r w:rsidR="00632F09" w:rsidRPr="00632F09">
        <w:rPr>
          <w:rFonts w:ascii="Times New Roman" w:hAnsi="Times New Roman"/>
        </w:rPr>
        <w:t>ценных бумаг, допущенных к торгам Биржи (далее – Список)</w:t>
      </w:r>
      <w:r w:rsidR="00632F09" w:rsidRPr="00AB5BC7">
        <w:rPr>
          <w:rFonts w:ascii="Times New Roman" w:hAnsi="Times New Roman"/>
        </w:rPr>
        <w:t xml:space="preserve"> </w:t>
      </w:r>
      <w:r w:rsidRPr="00AB5BC7">
        <w:rPr>
          <w:rFonts w:ascii="Times New Roman" w:hAnsi="Times New Roman"/>
        </w:rPr>
        <w:t>(котировальные списки)</w:t>
      </w:r>
      <w:r w:rsidR="00632F09">
        <w:rPr>
          <w:rFonts w:ascii="Times New Roman" w:hAnsi="Times New Roman"/>
        </w:rPr>
        <w:t>,</w:t>
      </w:r>
      <w:r w:rsidRPr="00AB5BC7">
        <w:rPr>
          <w:rFonts w:ascii="Times New Roman" w:hAnsi="Times New Roman"/>
        </w:rPr>
        <w:t xml:space="preserve"> в</w:t>
      </w:r>
      <w:r w:rsidRPr="00AB5BC7">
        <w:rPr>
          <w:rFonts w:ascii="Times New Roman" w:hAnsi="Times New Roman"/>
          <w:b/>
        </w:rPr>
        <w:t xml:space="preserve"> Правила внесены изменения, устанавливающие дополнительные требования к ценным бумагам:</w:t>
      </w:r>
    </w:p>
    <w:p w:rsidR="009E2510" w:rsidRPr="00AB5BC7" w:rsidRDefault="009E2510" w:rsidP="009E2510">
      <w:pPr>
        <w:pStyle w:val="ac"/>
        <w:numPr>
          <w:ilvl w:val="1"/>
          <w:numId w:val="23"/>
        </w:numPr>
        <w:tabs>
          <w:tab w:val="left" w:pos="709"/>
        </w:tabs>
        <w:spacing w:before="120" w:after="120"/>
        <w:ind w:left="1134" w:hanging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b/>
          <w:color w:val="000000"/>
        </w:rPr>
        <w:t xml:space="preserve">в отношении корпоративных облигаций (в </w:t>
      </w:r>
      <w:proofErr w:type="spellStart"/>
      <w:r w:rsidRPr="00AB5BC7">
        <w:rPr>
          <w:rFonts w:ascii="Times New Roman" w:hAnsi="Times New Roman"/>
          <w:b/>
          <w:color w:val="000000"/>
        </w:rPr>
        <w:t>т.ч</w:t>
      </w:r>
      <w:proofErr w:type="spellEnd"/>
      <w:r w:rsidRPr="00AB5BC7">
        <w:rPr>
          <w:rFonts w:ascii="Times New Roman" w:hAnsi="Times New Roman"/>
          <w:b/>
          <w:color w:val="000000"/>
        </w:rPr>
        <w:t>. биржевых облигаций)</w:t>
      </w:r>
      <w:r w:rsidRPr="00AB5BC7">
        <w:rPr>
          <w:rFonts w:ascii="Times New Roman" w:hAnsi="Times New Roman"/>
          <w:color w:val="000000"/>
        </w:rPr>
        <w:t xml:space="preserve"> </w:t>
      </w:r>
      <w:proofErr w:type="gramStart"/>
      <w:r w:rsidRPr="00AB5BC7">
        <w:rPr>
          <w:rFonts w:ascii="Times New Roman" w:hAnsi="Times New Roman"/>
          <w:color w:val="000000"/>
        </w:rPr>
        <w:t>устанавливается условие</w:t>
      </w:r>
      <w:proofErr w:type="gramEnd"/>
      <w:r w:rsidRPr="00AB5BC7">
        <w:rPr>
          <w:rFonts w:ascii="Times New Roman" w:hAnsi="Times New Roman"/>
          <w:color w:val="000000"/>
        </w:rPr>
        <w:t>, что в случае, если решением о выпуске облигаций предусмотрена возможность приобретения облигаций эмитентом по соглашению с их владельцами и (или) по требованию владельцев облигаций, то решением о выпуске облигаций должно быть предусмотрено, что такое приобретение осуществляется  на торгах Биржи. При этом указанное условие не применяется в следующих случаях:</w:t>
      </w:r>
    </w:p>
    <w:p w:rsidR="009E2510" w:rsidRPr="00AB5BC7" w:rsidRDefault="009E2510" w:rsidP="009E2510">
      <w:pPr>
        <w:tabs>
          <w:tab w:val="left" w:pos="-993"/>
          <w:tab w:val="left" w:pos="-851"/>
        </w:tabs>
        <w:ind w:left="567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 xml:space="preserve">1) выпуск облигаций эмитента включен в Список до момента вступления в силу соответствующих пунктов Правил; </w:t>
      </w:r>
    </w:p>
    <w:p w:rsidR="009E2510" w:rsidRPr="00AB5BC7" w:rsidRDefault="009E2510" w:rsidP="009E2510">
      <w:pPr>
        <w:spacing w:before="240" w:after="240"/>
        <w:ind w:left="567"/>
        <w:jc w:val="both"/>
        <w:rPr>
          <w:rFonts w:eastAsia="Calibri"/>
          <w:sz w:val="22"/>
          <w:szCs w:val="22"/>
        </w:rPr>
      </w:pPr>
      <w:r w:rsidRPr="00AB5BC7">
        <w:rPr>
          <w:rFonts w:eastAsia="Calibri"/>
          <w:sz w:val="22"/>
          <w:szCs w:val="22"/>
        </w:rPr>
        <w:t>2) эмитентом принято решение об утверждении решения о выпуске облигаций (биржевых облигаций) и/или об утверждении программы облигаций (программы биржевых облигаций), в рамках которой размещается (размещен) включаемый выпуск облигаций (биржевых облигаций)</w:t>
      </w:r>
      <w:r w:rsidR="00632F09">
        <w:rPr>
          <w:rFonts w:eastAsia="Calibri"/>
          <w:sz w:val="22"/>
          <w:szCs w:val="22"/>
        </w:rPr>
        <w:t>,</w:t>
      </w:r>
      <w:r w:rsidRPr="00AB5BC7">
        <w:rPr>
          <w:rFonts w:eastAsia="Calibri"/>
          <w:sz w:val="22"/>
          <w:szCs w:val="22"/>
        </w:rPr>
        <w:t xml:space="preserve"> и/или условий выпуска облигаций (биржевых облигаций) в рамках программы облигаций до момента вступления в силу указанных пунктов.</w:t>
      </w:r>
    </w:p>
    <w:p w:rsidR="009E2510" w:rsidRPr="00AB5BC7" w:rsidRDefault="009E2510" w:rsidP="009E2510">
      <w:pPr>
        <w:spacing w:after="120"/>
        <w:ind w:firstLine="567"/>
        <w:jc w:val="both"/>
        <w:rPr>
          <w:b/>
          <w:sz w:val="22"/>
          <w:szCs w:val="22"/>
        </w:rPr>
      </w:pPr>
      <w:r w:rsidRPr="00AB5BC7">
        <w:rPr>
          <w:color w:val="000000"/>
          <w:sz w:val="22"/>
          <w:szCs w:val="22"/>
        </w:rPr>
        <w:t>Решение о вступлени</w:t>
      </w:r>
      <w:r w:rsidR="00632F09">
        <w:rPr>
          <w:color w:val="000000"/>
          <w:sz w:val="22"/>
          <w:szCs w:val="22"/>
        </w:rPr>
        <w:t>и</w:t>
      </w:r>
      <w:r w:rsidRPr="00AB5BC7">
        <w:rPr>
          <w:color w:val="000000"/>
          <w:sz w:val="22"/>
          <w:szCs w:val="22"/>
        </w:rPr>
        <w:t xml:space="preserve"> в силу вышеуказанного условия планируется принять отдельно.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240" w:after="240"/>
        <w:ind w:left="993" w:hanging="426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  <w:b/>
          <w:color w:val="000000"/>
        </w:rPr>
        <w:t>в отношении инвестиционных паев</w:t>
      </w:r>
      <w:r w:rsidRPr="00AB5BC7">
        <w:rPr>
          <w:rFonts w:ascii="Times New Roman" w:hAnsi="Times New Roman"/>
          <w:color w:val="000000"/>
        </w:rPr>
        <w:t xml:space="preserve"> увеличивается требование к стоимости чистых активов паевого инвестиционного фонда (за исключением биржевого паевого инвестиционного фонда), которая должна будет составлять не менее 250 млн. руб. для включения и поддержания в Списк</w:t>
      </w:r>
      <w:r w:rsidR="00632F09">
        <w:rPr>
          <w:rFonts w:ascii="Times New Roman" w:hAnsi="Times New Roman"/>
          <w:color w:val="000000"/>
        </w:rPr>
        <w:t>е</w:t>
      </w:r>
      <w:r w:rsidRPr="00AB5BC7">
        <w:rPr>
          <w:rFonts w:ascii="Times New Roman" w:hAnsi="Times New Roman"/>
          <w:color w:val="000000"/>
        </w:rPr>
        <w:t xml:space="preserve">. </w:t>
      </w:r>
    </w:p>
    <w:p w:rsidR="006F5319" w:rsidRPr="00AB5BC7" w:rsidRDefault="006F5319" w:rsidP="006F5319">
      <w:pPr>
        <w:tabs>
          <w:tab w:val="left" w:pos="709"/>
          <w:tab w:val="left" w:pos="1134"/>
        </w:tabs>
        <w:autoSpaceDE w:val="0"/>
        <w:autoSpaceDN w:val="0"/>
        <w:adjustRightInd w:val="0"/>
        <w:spacing w:before="240" w:after="240"/>
        <w:ind w:left="567"/>
        <w:jc w:val="both"/>
        <w:rPr>
          <w:rFonts w:eastAsia="Calibri"/>
          <w:sz w:val="22"/>
          <w:szCs w:val="22"/>
        </w:rPr>
      </w:pPr>
      <w:r w:rsidRPr="00AB5BC7">
        <w:rPr>
          <w:color w:val="000000"/>
          <w:sz w:val="22"/>
          <w:szCs w:val="22"/>
        </w:rPr>
        <w:t>При поддержании указанное требование не применяется до 1 октября 2017г.</w:t>
      </w:r>
      <w:r w:rsidRPr="00AB5BC7">
        <w:rPr>
          <w:rFonts w:eastAsia="Calibri"/>
          <w:sz w:val="22"/>
          <w:szCs w:val="22"/>
        </w:rPr>
        <w:t xml:space="preserve"> в отношении паевых инвестиционных фондов (за исключением закрытых паевых инвестиционных фондов, относящихся к категории фондов недвижимости</w:t>
      </w:r>
      <w:r w:rsidR="00632F09">
        <w:rPr>
          <w:rFonts w:eastAsia="Calibri"/>
          <w:sz w:val="22"/>
          <w:szCs w:val="22"/>
        </w:rPr>
        <w:t>,</w:t>
      </w:r>
      <w:r w:rsidRPr="00AB5BC7">
        <w:rPr>
          <w:rFonts w:eastAsia="Calibri"/>
          <w:sz w:val="22"/>
          <w:szCs w:val="22"/>
        </w:rPr>
        <w:t xml:space="preserve"> или </w:t>
      </w:r>
      <w:r w:rsidRPr="00AB5BC7">
        <w:rPr>
          <w:sz w:val="22"/>
          <w:szCs w:val="22"/>
        </w:rPr>
        <w:t>биржев</w:t>
      </w:r>
      <w:r w:rsidR="00632F09">
        <w:rPr>
          <w:sz w:val="22"/>
          <w:szCs w:val="22"/>
        </w:rPr>
        <w:t>ых</w:t>
      </w:r>
      <w:r w:rsidRPr="00AB5BC7">
        <w:rPr>
          <w:sz w:val="22"/>
          <w:szCs w:val="22"/>
        </w:rPr>
        <w:t xml:space="preserve"> паев</w:t>
      </w:r>
      <w:r w:rsidR="00632F09">
        <w:rPr>
          <w:sz w:val="22"/>
          <w:szCs w:val="22"/>
        </w:rPr>
        <w:t>ых</w:t>
      </w:r>
      <w:r w:rsidRPr="00AB5BC7">
        <w:rPr>
          <w:sz w:val="22"/>
          <w:szCs w:val="22"/>
        </w:rPr>
        <w:t xml:space="preserve"> инвестиционн</w:t>
      </w:r>
      <w:r w:rsidR="00632F09">
        <w:rPr>
          <w:sz w:val="22"/>
          <w:szCs w:val="22"/>
        </w:rPr>
        <w:t>ых</w:t>
      </w:r>
      <w:r w:rsidRPr="00AB5BC7">
        <w:rPr>
          <w:sz w:val="22"/>
          <w:szCs w:val="22"/>
        </w:rPr>
        <w:t xml:space="preserve"> фонд</w:t>
      </w:r>
      <w:r w:rsidR="00632F09">
        <w:rPr>
          <w:sz w:val="22"/>
          <w:szCs w:val="22"/>
        </w:rPr>
        <w:t>ов</w:t>
      </w:r>
      <w:r w:rsidRPr="00AB5BC7">
        <w:rPr>
          <w:rFonts w:eastAsia="Calibri"/>
          <w:sz w:val="22"/>
          <w:szCs w:val="22"/>
        </w:rPr>
        <w:t>), включенных в Список до вступления в силу Правил.</w:t>
      </w:r>
    </w:p>
    <w:p w:rsidR="006F5319" w:rsidRPr="00AB5BC7" w:rsidRDefault="006F5319" w:rsidP="006F5319">
      <w:pPr>
        <w:tabs>
          <w:tab w:val="left" w:pos="709"/>
          <w:tab w:val="left" w:pos="1134"/>
        </w:tabs>
        <w:autoSpaceDE w:val="0"/>
        <w:autoSpaceDN w:val="0"/>
        <w:adjustRightInd w:val="0"/>
        <w:spacing w:before="240" w:after="240"/>
        <w:ind w:left="567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>До 1 октября 2017г. при поддержании паевых инвестиционных фондов, включенных в Список до вступления в силу Правил, будет применяться следующее основание для исключения: стоимость чистых активов паевого инвестиционного фонда (за исключением закрытого паевого инвестиционного фонда, относящегося к категории фондов недвижимости</w:t>
      </w:r>
      <w:r w:rsidR="00632F09">
        <w:rPr>
          <w:color w:val="000000"/>
          <w:sz w:val="22"/>
          <w:szCs w:val="22"/>
        </w:rPr>
        <w:t>,</w:t>
      </w:r>
      <w:r w:rsidRPr="00AB5BC7">
        <w:rPr>
          <w:color w:val="000000"/>
          <w:sz w:val="22"/>
          <w:szCs w:val="22"/>
        </w:rPr>
        <w:t xml:space="preserve"> или биржевого паевого инвестиционного фонда) составляет менее 150 млн. руб.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709"/>
        </w:tabs>
        <w:spacing w:before="120" w:after="120"/>
        <w:ind w:left="1134" w:hanging="567"/>
        <w:jc w:val="both"/>
        <w:rPr>
          <w:rFonts w:ascii="Times New Roman" w:hAnsi="Times New Roman"/>
          <w:color w:val="000000"/>
        </w:rPr>
      </w:pPr>
      <w:proofErr w:type="gramStart"/>
      <w:r w:rsidRPr="00AB5BC7">
        <w:rPr>
          <w:rFonts w:ascii="Times New Roman" w:hAnsi="Times New Roman"/>
          <w:b/>
          <w:color w:val="000000"/>
        </w:rPr>
        <w:t>в отношении ипотечных сертификатов участия</w:t>
      </w:r>
      <w:r w:rsidRPr="00AB5BC7">
        <w:rPr>
          <w:rFonts w:ascii="Times New Roman" w:hAnsi="Times New Roman"/>
          <w:color w:val="000000"/>
        </w:rPr>
        <w:t xml:space="preserve"> предусмотрено право Биржи отдельным решением, в том числе после обращения в Совещательный орган для получения рекомендации, установить перечень саморегулируемых организаций оценщиков (в которых имеют статус эксперта оценщики, выполнившие</w:t>
      </w:r>
      <w:r w:rsidRPr="00AB5BC7">
        <w:rPr>
          <w:rFonts w:ascii="Times New Roman" w:hAnsi="Times New Roman"/>
        </w:rPr>
        <w:t xml:space="preserve"> и подписавшие отчет об оценке объектов нежилой недвижимости), членство оценщиков в которых не является соблюдением установленного требования к оценке.</w:t>
      </w:r>
      <w:proofErr w:type="gramEnd"/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b/>
          <w:color w:val="000000"/>
        </w:rPr>
        <w:t>Вводятся дополнительные случаи, при наступлении которых могут быть сняты ограничения на допустимые режимы торгов по облигациям эмитента, допустившего дефолт</w:t>
      </w:r>
      <w:r w:rsidR="00632F09">
        <w:rPr>
          <w:rFonts w:ascii="Times New Roman" w:hAnsi="Times New Roman"/>
          <w:color w:val="000000"/>
        </w:rPr>
        <w:t>, в том числе в случае признания</w:t>
      </w:r>
      <w:r w:rsidRPr="00AB5BC7">
        <w:rPr>
          <w:rFonts w:ascii="Times New Roman" w:hAnsi="Times New Roman"/>
          <w:color w:val="000000"/>
        </w:rPr>
        <w:t xml:space="preserve"> Биржей наступления дефолта в соответствии с Правилами:</w:t>
      </w:r>
    </w:p>
    <w:p w:rsidR="006F5319" w:rsidRPr="00AB5BC7" w:rsidRDefault="006F5319" w:rsidP="006F5319">
      <w:pPr>
        <w:tabs>
          <w:tab w:val="left" w:pos="-709"/>
          <w:tab w:val="left" w:pos="1021"/>
        </w:tabs>
        <w:spacing w:before="120"/>
        <w:ind w:left="567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>- в случае принятия общим собранием владельцев ценных бумаг выпуска, по которому эмитентом был допущен дефолт, решения об одобрении внесения изменений в эмиссионные документы, в том числе изменения срока обращения  ценных бумаг, количества купонных периодов, процентных ставок и иных условий;</w:t>
      </w:r>
    </w:p>
    <w:p w:rsidR="006F5319" w:rsidRPr="00AB5BC7" w:rsidRDefault="006F5319" w:rsidP="006F5319">
      <w:pPr>
        <w:tabs>
          <w:tab w:val="left" w:pos="-709"/>
          <w:tab w:val="left" w:pos="1021"/>
        </w:tabs>
        <w:spacing w:before="120"/>
        <w:ind w:left="567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lastRenderedPageBreak/>
        <w:t>- заключение эмитентом с владельцами облигаций или с представителем владельцев облигаций выпуска, по которому эмитентом был допущен дефолт, соглашения, предусматривающего возможность реструктуризации долга.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b/>
          <w:color w:val="000000"/>
        </w:rPr>
        <w:t>Изменены условия для включения в Третий и Второй уровни облигаций, выпускаемых без обеспечения, в части требования об определении эмитентом представителя владельцев облигаций</w:t>
      </w:r>
      <w:r w:rsidRPr="00AB5BC7">
        <w:rPr>
          <w:rFonts w:ascii="Times New Roman" w:hAnsi="Times New Roman"/>
          <w:color w:val="000000"/>
        </w:rPr>
        <w:t>. Так, не требуется определять представителя владельцев облигаций, в отношении:</w:t>
      </w:r>
    </w:p>
    <w:p w:rsidR="006F5319" w:rsidRPr="00AB5BC7" w:rsidRDefault="006F5319" w:rsidP="006F5319">
      <w:pPr>
        <w:pStyle w:val="ac"/>
        <w:numPr>
          <w:ilvl w:val="4"/>
          <w:numId w:val="24"/>
        </w:numPr>
        <w:tabs>
          <w:tab w:val="left" w:pos="851"/>
        </w:tabs>
        <w:autoSpaceDE w:val="0"/>
        <w:autoSpaceDN w:val="0"/>
        <w:adjustRightInd w:val="0"/>
        <w:ind w:left="567" w:right="142" w:firstLine="0"/>
        <w:contextualSpacing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>эмитентов – кредитных организаций, входящих в перечень кредитных организаций, удовлетворяющих требованиям, предусмотренным подпунктами 2.1.1, 2.1.2 и 2.1.4 пункта 2.1 Положения Банка России от 25 декабря 2014 года № 451-П</w:t>
      </w:r>
      <w:r w:rsidRPr="00AB5BC7">
        <w:rPr>
          <w:rFonts w:ascii="Times New Roman" w:hAnsi="Times New Roman"/>
          <w:color w:val="000000"/>
          <w:vertAlign w:val="superscript"/>
        </w:rPr>
        <w:footnoteReference w:id="1"/>
      </w:r>
      <w:r w:rsidRPr="00AB5BC7">
        <w:rPr>
          <w:rFonts w:ascii="Times New Roman" w:hAnsi="Times New Roman"/>
          <w:color w:val="000000"/>
        </w:rPr>
        <w:t>;</w:t>
      </w:r>
    </w:p>
    <w:p w:rsidR="006F5319" w:rsidRPr="00AB5BC7" w:rsidRDefault="006F5319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>эмитент</w:t>
      </w:r>
      <w:r w:rsidR="00247C64">
        <w:rPr>
          <w:rFonts w:ascii="Times New Roman" w:hAnsi="Times New Roman"/>
          <w:color w:val="000000"/>
        </w:rPr>
        <w:t>ов</w:t>
      </w:r>
      <w:r w:rsidRPr="00AB5BC7">
        <w:rPr>
          <w:rFonts w:ascii="Times New Roman" w:hAnsi="Times New Roman"/>
          <w:color w:val="000000"/>
        </w:rPr>
        <w:t>, акции которых включены в Первый уровень;</w:t>
      </w:r>
    </w:p>
    <w:p w:rsidR="006F5319" w:rsidRPr="00AB5BC7" w:rsidRDefault="00247C64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эмитентов</w:t>
      </w:r>
      <w:r w:rsidR="006F5319" w:rsidRPr="00AB5BC7">
        <w:rPr>
          <w:rFonts w:ascii="Times New Roman" w:hAnsi="Times New Roman"/>
          <w:color w:val="000000"/>
        </w:rPr>
        <w:t>, находящи</w:t>
      </w:r>
      <w:r>
        <w:rPr>
          <w:rFonts w:ascii="Times New Roman" w:hAnsi="Times New Roman"/>
          <w:color w:val="000000"/>
        </w:rPr>
        <w:t>х</w:t>
      </w:r>
      <w:r w:rsidR="006F5319" w:rsidRPr="00AB5BC7">
        <w:rPr>
          <w:rFonts w:ascii="Times New Roman" w:hAnsi="Times New Roman"/>
          <w:color w:val="000000"/>
        </w:rPr>
        <w:t>ся под прямым или косвенным контролем обществ, указанных в подпункте 2 данного пункта;</w:t>
      </w:r>
    </w:p>
    <w:p w:rsidR="006F5319" w:rsidRPr="00AB5BC7" w:rsidRDefault="00247C64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эмитентов и (или) облигаций, имеющих</w:t>
      </w:r>
      <w:r w:rsidR="006F5319" w:rsidRPr="00AB5BC7">
        <w:rPr>
          <w:rFonts w:ascii="Times New Roman" w:hAnsi="Times New Roman"/>
          <w:color w:val="000000"/>
        </w:rPr>
        <w:t xml:space="preserve"> кредитный рейтинг выше уровня, установленного Советом директоров Банка России по классификации рейтинговых агентств, включенных в установленный Советом директоров Банка России перечень рейтинговых агентств в целях использования кредитных рейтингов, необходимых для включения облигаций в Первый уровень;</w:t>
      </w:r>
      <w:proofErr w:type="gramEnd"/>
    </w:p>
    <w:p w:rsidR="006F5319" w:rsidRPr="00AB5BC7" w:rsidRDefault="00247C64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эмитентов</w:t>
      </w:r>
      <w:r w:rsidR="006F5319" w:rsidRPr="00AB5BC7">
        <w:rPr>
          <w:rFonts w:ascii="Times New Roman" w:hAnsi="Times New Roman"/>
          <w:color w:val="000000"/>
        </w:rPr>
        <w:t xml:space="preserve"> - государственны</w:t>
      </w:r>
      <w:r>
        <w:rPr>
          <w:rFonts w:ascii="Times New Roman" w:hAnsi="Times New Roman"/>
          <w:color w:val="000000"/>
        </w:rPr>
        <w:t>х</w:t>
      </w:r>
      <w:r w:rsidR="006F5319" w:rsidRPr="00AB5BC7">
        <w:rPr>
          <w:rFonts w:ascii="Times New Roman" w:hAnsi="Times New Roman"/>
          <w:color w:val="000000"/>
        </w:rPr>
        <w:t xml:space="preserve"> </w:t>
      </w:r>
      <w:hyperlink r:id="rId9" w:history="1">
        <w:r w:rsidR="006F5319" w:rsidRPr="00AB5BC7">
          <w:rPr>
            <w:rFonts w:ascii="Times New Roman" w:hAnsi="Times New Roman"/>
            <w:color w:val="000000"/>
          </w:rPr>
          <w:t>корпораци</w:t>
        </w:r>
        <w:r>
          <w:rPr>
            <w:rFonts w:ascii="Times New Roman" w:hAnsi="Times New Roman"/>
            <w:color w:val="000000"/>
          </w:rPr>
          <w:t>й</w:t>
        </w:r>
      </w:hyperlink>
      <w:r w:rsidR="006F5319" w:rsidRPr="00AB5BC7">
        <w:rPr>
          <w:rFonts w:ascii="Times New Roman" w:hAnsi="Times New Roman"/>
          <w:color w:val="000000"/>
        </w:rPr>
        <w:t xml:space="preserve"> или государственны</w:t>
      </w:r>
      <w:r>
        <w:rPr>
          <w:rFonts w:ascii="Times New Roman" w:hAnsi="Times New Roman"/>
          <w:color w:val="000000"/>
        </w:rPr>
        <w:t>х компаний</w:t>
      </w:r>
      <w:r w:rsidR="006F5319" w:rsidRPr="00AB5BC7">
        <w:rPr>
          <w:rFonts w:ascii="Times New Roman" w:hAnsi="Times New Roman"/>
          <w:color w:val="000000"/>
        </w:rPr>
        <w:t>, а также эмитент</w:t>
      </w:r>
      <w:r>
        <w:rPr>
          <w:rFonts w:ascii="Times New Roman" w:hAnsi="Times New Roman"/>
          <w:color w:val="000000"/>
        </w:rPr>
        <w:t>ов</w:t>
      </w:r>
      <w:r w:rsidR="006F5319" w:rsidRPr="00AB5BC7">
        <w:rPr>
          <w:rFonts w:ascii="Times New Roman" w:hAnsi="Times New Roman"/>
          <w:color w:val="000000"/>
        </w:rPr>
        <w:t>, находящи</w:t>
      </w:r>
      <w:r>
        <w:rPr>
          <w:rFonts w:ascii="Times New Roman" w:hAnsi="Times New Roman"/>
          <w:color w:val="000000"/>
        </w:rPr>
        <w:t>хся</w:t>
      </w:r>
      <w:r w:rsidR="006F5319" w:rsidRPr="00AB5BC7">
        <w:rPr>
          <w:rFonts w:ascii="Times New Roman" w:hAnsi="Times New Roman"/>
          <w:color w:val="000000"/>
        </w:rPr>
        <w:t xml:space="preserve"> под прямым или косвенным контролем указанных эмитентов;</w:t>
      </w:r>
    </w:p>
    <w:p w:rsidR="006F5319" w:rsidRPr="00AB5BC7" w:rsidRDefault="00247C64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эмитентов</w:t>
      </w:r>
      <w:r w:rsidR="006F5319" w:rsidRPr="00AB5BC7">
        <w:rPr>
          <w:rFonts w:ascii="Times New Roman" w:hAnsi="Times New Roman"/>
          <w:color w:val="000000"/>
        </w:rPr>
        <w:t xml:space="preserve"> – хозяйственны</w:t>
      </w:r>
      <w:r>
        <w:rPr>
          <w:rFonts w:ascii="Times New Roman" w:hAnsi="Times New Roman"/>
          <w:color w:val="000000"/>
        </w:rPr>
        <w:t>х обществ</w:t>
      </w:r>
      <w:r w:rsidR="006F5319" w:rsidRPr="00AB5BC7">
        <w:rPr>
          <w:rFonts w:ascii="Times New Roman" w:hAnsi="Times New Roman"/>
          <w:color w:val="000000"/>
        </w:rPr>
        <w:t>, в которых под прямым контролем Российской Федерации находится более 50 процентов уставного капитала или голосующих акций эмитента;</w:t>
      </w:r>
    </w:p>
    <w:p w:rsidR="006F5319" w:rsidRPr="00AB5BC7" w:rsidRDefault="006F5319" w:rsidP="006F5319">
      <w:pPr>
        <w:pStyle w:val="ac"/>
        <w:numPr>
          <w:ilvl w:val="4"/>
          <w:numId w:val="24"/>
        </w:numPr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>иностранны</w:t>
      </w:r>
      <w:r w:rsidR="00247C64">
        <w:rPr>
          <w:rFonts w:ascii="Times New Roman" w:hAnsi="Times New Roman"/>
          <w:color w:val="000000"/>
        </w:rPr>
        <w:t>х</w:t>
      </w:r>
      <w:r w:rsidRPr="00AB5BC7">
        <w:rPr>
          <w:rFonts w:ascii="Times New Roman" w:hAnsi="Times New Roman"/>
          <w:color w:val="000000"/>
        </w:rPr>
        <w:t xml:space="preserve"> эмитент</w:t>
      </w:r>
      <w:r w:rsidR="00247C64">
        <w:rPr>
          <w:rFonts w:ascii="Times New Roman" w:hAnsi="Times New Roman"/>
          <w:color w:val="000000"/>
        </w:rPr>
        <w:t>ов</w:t>
      </w:r>
      <w:r w:rsidRPr="00AB5BC7">
        <w:rPr>
          <w:rFonts w:ascii="Times New Roman" w:hAnsi="Times New Roman"/>
          <w:color w:val="000000"/>
        </w:rPr>
        <w:t>;</w:t>
      </w:r>
    </w:p>
    <w:p w:rsidR="006F5319" w:rsidRPr="00AB5BC7" w:rsidRDefault="006F5319" w:rsidP="006F5319">
      <w:pPr>
        <w:pStyle w:val="ac"/>
        <w:numPr>
          <w:ilvl w:val="4"/>
          <w:numId w:val="24"/>
        </w:numPr>
        <w:tabs>
          <w:tab w:val="left" w:pos="1134"/>
        </w:tabs>
        <w:autoSpaceDE w:val="0"/>
        <w:autoSpaceDN w:val="0"/>
        <w:adjustRightInd w:val="0"/>
        <w:ind w:left="851" w:right="142" w:hanging="284"/>
        <w:contextualSpacing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>облигаци</w:t>
      </w:r>
      <w:r w:rsidR="00247C64">
        <w:rPr>
          <w:rFonts w:ascii="Times New Roman" w:hAnsi="Times New Roman"/>
          <w:color w:val="000000"/>
        </w:rPr>
        <w:t>й,</w:t>
      </w:r>
      <w:r w:rsidRPr="00AB5BC7">
        <w:rPr>
          <w:rFonts w:ascii="Times New Roman" w:hAnsi="Times New Roman"/>
          <w:color w:val="000000"/>
        </w:rPr>
        <w:t xml:space="preserve"> размещаемы</w:t>
      </w:r>
      <w:r w:rsidR="00247C64">
        <w:rPr>
          <w:rFonts w:ascii="Times New Roman" w:hAnsi="Times New Roman"/>
          <w:color w:val="000000"/>
        </w:rPr>
        <w:t>х</w:t>
      </w:r>
      <w:r w:rsidRPr="00AB5BC7">
        <w:rPr>
          <w:rFonts w:ascii="Times New Roman" w:hAnsi="Times New Roman"/>
          <w:color w:val="000000"/>
        </w:rPr>
        <w:t xml:space="preserve"> путем закрытой подписки среди лиц, число которых без учета лиц, являющихся квалифицированными инвесторами, не превышает 500;</w:t>
      </w:r>
    </w:p>
    <w:p w:rsidR="006F5319" w:rsidRPr="00AB5BC7" w:rsidRDefault="006F5319" w:rsidP="006F5319">
      <w:pPr>
        <w:pStyle w:val="ac"/>
        <w:numPr>
          <w:ilvl w:val="4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240"/>
        <w:ind w:left="567" w:right="142" w:firstLine="0"/>
        <w:contextualSpacing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color w:val="000000"/>
        </w:rPr>
        <w:t xml:space="preserve"> случа</w:t>
      </w:r>
      <w:r w:rsidR="00247C64">
        <w:rPr>
          <w:rFonts w:ascii="Times New Roman" w:hAnsi="Times New Roman"/>
          <w:color w:val="000000"/>
        </w:rPr>
        <w:t>ев</w:t>
      </w:r>
      <w:r w:rsidRPr="00AB5BC7">
        <w:rPr>
          <w:rFonts w:ascii="Times New Roman" w:hAnsi="Times New Roman"/>
          <w:color w:val="000000"/>
        </w:rPr>
        <w:t xml:space="preserve"> понижения уровня листинга, предусмотренных пунктом 7 статьи 22 Правил.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24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b/>
          <w:color w:val="000000"/>
        </w:rPr>
        <w:t>В отношении биржевых облигаций при их включении в Список и (или) присвоени</w:t>
      </w:r>
      <w:r w:rsidR="00247C64">
        <w:rPr>
          <w:rFonts w:ascii="Times New Roman" w:hAnsi="Times New Roman"/>
          <w:b/>
          <w:color w:val="000000"/>
        </w:rPr>
        <w:t>и</w:t>
      </w:r>
      <w:r w:rsidRPr="00AB5BC7">
        <w:rPr>
          <w:rFonts w:ascii="Times New Roman" w:hAnsi="Times New Roman"/>
          <w:b/>
          <w:color w:val="000000"/>
        </w:rPr>
        <w:t xml:space="preserve"> им идентификационного номера Правилами внесены следующие изменения</w:t>
      </w:r>
      <w:r w:rsidRPr="00AB5BC7">
        <w:rPr>
          <w:rFonts w:ascii="Times New Roman" w:hAnsi="Times New Roman"/>
          <w:color w:val="000000"/>
        </w:rPr>
        <w:t>: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993"/>
        </w:tabs>
        <w:spacing w:before="240" w:after="120"/>
        <w:ind w:left="993" w:hanging="426"/>
        <w:jc w:val="both"/>
        <w:rPr>
          <w:rFonts w:ascii="Times New Roman" w:hAnsi="Times New Roman"/>
          <w:color w:val="000000"/>
        </w:rPr>
      </w:pPr>
      <w:proofErr w:type="gramStart"/>
      <w:r w:rsidRPr="00AB5BC7">
        <w:rPr>
          <w:rFonts w:ascii="Times New Roman" w:hAnsi="Times New Roman"/>
          <w:color w:val="000000"/>
        </w:rPr>
        <w:t>предусмотрена возможность, что в решении о выпуске (дополнительном выпуске) биржевых облигаций и в программе биржевых облигаций может быть установлено, что номинальная стоимость каждой биржевой облигации (в том числе размещаемой в рамках программы биржевых облигаций) индексируется в зависимости от показателей, значения которых не могут изменяться в зависимости от усмотрения эмитента (курс определенной иностранной валюты, темп роста инфляции, темп роста определенного индекса</w:t>
      </w:r>
      <w:proofErr w:type="gramEnd"/>
      <w:r w:rsidRPr="00AB5BC7">
        <w:rPr>
          <w:rFonts w:ascii="Times New Roman" w:hAnsi="Times New Roman"/>
          <w:color w:val="000000"/>
        </w:rPr>
        <w:t xml:space="preserve"> и другие).</w:t>
      </w:r>
    </w:p>
    <w:p w:rsidR="006F5319" w:rsidRPr="00AB5BC7" w:rsidRDefault="006F5319" w:rsidP="009E2510">
      <w:pPr>
        <w:ind w:left="993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 xml:space="preserve">Порядок индексации номинальной стоимости каждой биржевой облигации должен содержаться в решении о выпуске (дополнительном выпуске) биржевых облигаций (программе биржевых облигаций) и </w:t>
      </w:r>
      <w:r w:rsidR="00247C64">
        <w:rPr>
          <w:color w:val="000000"/>
          <w:sz w:val="22"/>
          <w:szCs w:val="22"/>
        </w:rPr>
        <w:t>предусматривать</w:t>
      </w:r>
      <w:r w:rsidRPr="00AB5BC7">
        <w:rPr>
          <w:color w:val="000000"/>
          <w:sz w:val="22"/>
          <w:szCs w:val="22"/>
        </w:rPr>
        <w:t>:</w:t>
      </w:r>
    </w:p>
    <w:p w:rsidR="006F5319" w:rsidRPr="00AB5BC7" w:rsidRDefault="006F5319" w:rsidP="006F5319">
      <w:pPr>
        <w:widowControl/>
        <w:numPr>
          <w:ilvl w:val="1"/>
          <w:numId w:val="25"/>
        </w:numPr>
        <w:ind w:left="1276" w:hanging="283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>периодичность осуществления индексации номинальной стоимости каждой биржевой облигации и срок (порядок определения срока), в течение которого осуществляется такая индексация;</w:t>
      </w:r>
    </w:p>
    <w:p w:rsidR="006F5319" w:rsidRPr="00AB5BC7" w:rsidRDefault="006F5319" w:rsidP="006F5319">
      <w:pPr>
        <w:widowControl/>
        <w:numPr>
          <w:ilvl w:val="1"/>
          <w:numId w:val="25"/>
        </w:numPr>
        <w:ind w:left="1276" w:hanging="283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>схему индексации номинальной стоимости облигации в виде формулы с переменными, значения которых не могут изменяться в зависимости от усмотрения эмитента (курс определенной иностранной валюты, темп роста инфляции, темп роста определенного индекса и другие)</w:t>
      </w:r>
      <w:r w:rsidRPr="00AB5BC7">
        <w:rPr>
          <w:rFonts w:eastAsiaTheme="minorHAnsi"/>
          <w:sz w:val="22"/>
          <w:szCs w:val="22"/>
        </w:rPr>
        <w:t xml:space="preserve"> и содержащую, в том числе указание на то, что номинальная стоимость </w:t>
      </w:r>
      <w:r w:rsidRPr="00AB5BC7">
        <w:rPr>
          <w:rFonts w:eastAsiaTheme="minorHAnsi"/>
          <w:sz w:val="22"/>
          <w:szCs w:val="22"/>
        </w:rPr>
        <w:lastRenderedPageBreak/>
        <w:t>каждой облигации не может быть меньше ее номинальной стоимости в дату начала размещения облигаций выпуска (дополнительного выпуска)</w:t>
      </w:r>
      <w:r w:rsidRPr="00AB5BC7">
        <w:rPr>
          <w:color w:val="000000"/>
          <w:sz w:val="22"/>
          <w:szCs w:val="22"/>
        </w:rPr>
        <w:t>;</w:t>
      </w:r>
    </w:p>
    <w:p w:rsidR="006F5319" w:rsidRPr="00AB5BC7" w:rsidRDefault="006F5319" w:rsidP="006F5319">
      <w:pPr>
        <w:widowControl/>
        <w:numPr>
          <w:ilvl w:val="1"/>
          <w:numId w:val="25"/>
        </w:numPr>
        <w:ind w:left="1276" w:hanging="283"/>
        <w:jc w:val="both"/>
        <w:rPr>
          <w:color w:val="000000"/>
          <w:sz w:val="22"/>
          <w:szCs w:val="22"/>
        </w:rPr>
      </w:pPr>
      <w:r w:rsidRPr="00AB5BC7">
        <w:rPr>
          <w:color w:val="000000"/>
          <w:sz w:val="22"/>
          <w:szCs w:val="22"/>
        </w:rPr>
        <w:t>порядок раскрытия (предоставления) эмитентом информации об индексации номинальной стоимости каждой биржевой облигации.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-1701"/>
        </w:tabs>
        <w:spacing w:before="240" w:after="120"/>
        <w:ind w:left="1134" w:hanging="567"/>
        <w:jc w:val="both"/>
        <w:rPr>
          <w:rFonts w:ascii="Times New Roman" w:eastAsiaTheme="minorHAnsi" w:hAnsi="Times New Roman"/>
        </w:rPr>
      </w:pPr>
      <w:r w:rsidRPr="00AB5BC7">
        <w:rPr>
          <w:rFonts w:ascii="Times New Roman" w:hAnsi="Times New Roman"/>
          <w:color w:val="000000"/>
        </w:rPr>
        <w:t xml:space="preserve">вводится возможность для эмитента или Консультанта </w:t>
      </w:r>
      <w:r w:rsidRPr="00AB5BC7">
        <w:rPr>
          <w:rFonts w:ascii="Times New Roman" w:eastAsiaTheme="minorHAnsi" w:hAnsi="Times New Roman"/>
        </w:rPr>
        <w:t>обращения на Биржу за оказанием услуги по предварительному рассмотрению документов, необходимых для присвоения идентификационного номера программе биржевых облигаций эмитента (при этом требование об обязательном согласовании проекта программы биржевых облигаций с Биржей отменено). В случае предварительного рассмотрения указанных документов срок принятия Биржей решения о присвоении идентификационного номера программе биржевых облигаций эмитента сокращен до 5 рабочих дней;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-1843"/>
          <w:tab w:val="left" w:pos="-1701"/>
        </w:tabs>
        <w:spacing w:before="240" w:after="120"/>
        <w:ind w:left="1134" w:hanging="567"/>
        <w:jc w:val="both"/>
        <w:rPr>
          <w:rFonts w:ascii="Times New Roman" w:eastAsiaTheme="minorHAnsi" w:hAnsi="Times New Roman"/>
        </w:rPr>
      </w:pPr>
      <w:r w:rsidRPr="00AB5BC7">
        <w:rPr>
          <w:rFonts w:ascii="Times New Roman" w:eastAsiaTheme="minorHAnsi" w:hAnsi="Times New Roman"/>
        </w:rPr>
        <w:t xml:space="preserve">устанавливается требование к содержанию мультивалютной программы биржевых облигаций. Так, если установленная программой биржевых облигаций максимальная сумма номинальных стоимостей биржевых облигаций, которые могут быть размещены в рамках этой программы, выражена одним из следующих способов: </w:t>
      </w:r>
    </w:p>
    <w:p w:rsidR="006F5319" w:rsidRPr="00AB5BC7" w:rsidRDefault="006F5319" w:rsidP="006F5319">
      <w:pPr>
        <w:widowControl/>
        <w:numPr>
          <w:ilvl w:val="0"/>
          <w:numId w:val="26"/>
        </w:numPr>
        <w:tabs>
          <w:tab w:val="left" w:pos="851"/>
        </w:tabs>
        <w:ind w:left="1134" w:firstLine="0"/>
        <w:contextualSpacing/>
        <w:jc w:val="both"/>
        <w:rPr>
          <w:rFonts w:eastAsiaTheme="minorHAnsi"/>
          <w:sz w:val="22"/>
          <w:szCs w:val="22"/>
        </w:rPr>
      </w:pPr>
      <w:r w:rsidRPr="00AB5BC7">
        <w:rPr>
          <w:rFonts w:eastAsiaTheme="minorHAnsi"/>
          <w:sz w:val="22"/>
          <w:szCs w:val="22"/>
        </w:rPr>
        <w:t>в цифровом выражении в российских рублях или представляет собой эквивалент этой суммы в иностранной валюте;</w:t>
      </w:r>
    </w:p>
    <w:p w:rsidR="006F5319" w:rsidRPr="00AB5BC7" w:rsidRDefault="006F5319" w:rsidP="006F5319">
      <w:pPr>
        <w:widowControl/>
        <w:numPr>
          <w:ilvl w:val="0"/>
          <w:numId w:val="26"/>
        </w:numPr>
        <w:tabs>
          <w:tab w:val="left" w:pos="851"/>
        </w:tabs>
        <w:ind w:left="1134" w:firstLine="0"/>
        <w:contextualSpacing/>
        <w:jc w:val="both"/>
        <w:rPr>
          <w:rFonts w:eastAsiaTheme="minorHAnsi"/>
          <w:sz w:val="22"/>
          <w:szCs w:val="22"/>
        </w:rPr>
      </w:pPr>
      <w:r w:rsidRPr="00AB5BC7">
        <w:rPr>
          <w:rFonts w:eastAsiaTheme="minorHAnsi"/>
          <w:sz w:val="22"/>
          <w:szCs w:val="22"/>
        </w:rPr>
        <w:t xml:space="preserve">в цифровом выражении в иностранной валюте или представляет собой эквивалент этой суммы в российских рублях, </w:t>
      </w:r>
    </w:p>
    <w:p w:rsidR="006F5319" w:rsidRPr="00AB5BC7" w:rsidRDefault="006F5319" w:rsidP="006F5319">
      <w:pPr>
        <w:pStyle w:val="ac"/>
        <w:tabs>
          <w:tab w:val="left" w:pos="993"/>
        </w:tabs>
        <w:spacing w:before="240" w:after="120"/>
        <w:ind w:left="1134"/>
        <w:jc w:val="both"/>
        <w:rPr>
          <w:rFonts w:ascii="Times New Roman" w:eastAsiaTheme="minorHAnsi" w:hAnsi="Times New Roman"/>
        </w:rPr>
      </w:pPr>
      <w:r w:rsidRPr="00AB5BC7">
        <w:rPr>
          <w:rFonts w:ascii="Times New Roman" w:eastAsiaTheme="minorHAnsi" w:hAnsi="Times New Roman"/>
        </w:rPr>
        <w:t>то расчет эквивалента такой суммы номинальной стоимости каждого выпуска (дополнительного выпуска) биржевых облигаций, номинированного в иностранной валюте (или в российских рублях), должен осуществляться по курсу Банка России на дату принятия эмитентом решения об утверждении соответствующих условий выпуска (дополнительного выпуска) биржевых облигаций в рамках программы биржевых облигаций.</w:t>
      </w:r>
    </w:p>
    <w:p w:rsidR="006F5319" w:rsidRPr="00AB5BC7" w:rsidRDefault="006F5319" w:rsidP="006F5319">
      <w:pPr>
        <w:pStyle w:val="ac"/>
        <w:numPr>
          <w:ilvl w:val="1"/>
          <w:numId w:val="23"/>
        </w:numPr>
        <w:tabs>
          <w:tab w:val="left" w:pos="-1843"/>
          <w:tab w:val="left" w:pos="-1701"/>
        </w:tabs>
        <w:spacing w:before="240" w:after="120"/>
        <w:ind w:left="1134" w:hanging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eastAsiaTheme="minorHAnsi" w:hAnsi="Times New Roman"/>
        </w:rPr>
        <w:t>процедура утверждения изменений в решение о выпуске (дополнительном выпуске) биржевых облигаций и (или) проспект биржевых облигаций дополняется возможностью утверждения изменений в программу биржевых облигаций, в условия выпуска (дополнительного выпуска) биржевых облигаций в рамках программы биржевых облигаций и (или) в проспект биржевых облигаций, размещаемых в рамках программы биржевых облигаций.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240" w:after="120"/>
        <w:ind w:left="0" w:firstLine="567"/>
        <w:jc w:val="both"/>
        <w:rPr>
          <w:rFonts w:ascii="Times New Roman" w:hAnsi="Times New Roman"/>
          <w:color w:val="000000"/>
        </w:rPr>
      </w:pPr>
      <w:r w:rsidRPr="00AB5BC7">
        <w:rPr>
          <w:rFonts w:ascii="Times New Roman" w:hAnsi="Times New Roman"/>
          <w:b/>
          <w:color w:val="000000"/>
        </w:rPr>
        <w:t>В отношении иностранных облигаций предусмотрены дополнительные основания, при наступлении которых Биржа вправе исключить указанные облигации из Списка:</w:t>
      </w:r>
    </w:p>
    <w:p w:rsidR="006F5319" w:rsidRPr="00AB5BC7" w:rsidRDefault="006F5319" w:rsidP="006F5319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567"/>
        <w:jc w:val="both"/>
        <w:textAlignment w:val="baseline"/>
        <w:rPr>
          <w:bCs/>
          <w:sz w:val="22"/>
          <w:szCs w:val="22"/>
        </w:rPr>
      </w:pPr>
      <w:r w:rsidRPr="00AB5BC7">
        <w:rPr>
          <w:sz w:val="22"/>
          <w:szCs w:val="22"/>
        </w:rPr>
        <w:t xml:space="preserve">- введение </w:t>
      </w:r>
      <w:r w:rsidRPr="00AB5BC7">
        <w:rPr>
          <w:bCs/>
          <w:sz w:val="22"/>
          <w:szCs w:val="22"/>
        </w:rPr>
        <w:t xml:space="preserve">в отношении юридического лица, которому передаются доходы от размещения иностранных облигаций (юридического лица, </w:t>
      </w:r>
      <w:proofErr w:type="gramStart"/>
      <w:r w:rsidRPr="00AB5BC7">
        <w:rPr>
          <w:bCs/>
          <w:sz w:val="22"/>
          <w:szCs w:val="22"/>
        </w:rPr>
        <w:t>который</w:t>
      </w:r>
      <w:proofErr w:type="gramEnd"/>
      <w:r w:rsidRPr="00AB5BC7">
        <w:rPr>
          <w:bCs/>
          <w:sz w:val="22"/>
          <w:szCs w:val="22"/>
        </w:rPr>
        <w:t xml:space="preserve"> </w:t>
      </w:r>
      <w:r w:rsidRPr="00AB5BC7">
        <w:rPr>
          <w:sz w:val="22"/>
          <w:szCs w:val="22"/>
        </w:rPr>
        <w:t xml:space="preserve">несет солидарную ответственность по обязательствам по иностранным облигациям) </w:t>
      </w:r>
      <w:r w:rsidRPr="00AB5BC7">
        <w:rPr>
          <w:bCs/>
          <w:sz w:val="22"/>
          <w:szCs w:val="22"/>
        </w:rPr>
        <w:t>процедуры, применяемой в деле о банкротстве (за исключением процедуры конкурсного производства);</w:t>
      </w:r>
    </w:p>
    <w:p w:rsidR="006F5319" w:rsidRPr="00AB5BC7" w:rsidRDefault="006F5319" w:rsidP="006F5319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567"/>
        <w:jc w:val="both"/>
        <w:textAlignment w:val="baseline"/>
        <w:rPr>
          <w:color w:val="000000"/>
          <w:sz w:val="22"/>
          <w:szCs w:val="22"/>
        </w:rPr>
      </w:pPr>
      <w:r w:rsidRPr="00AB5BC7">
        <w:rPr>
          <w:sz w:val="22"/>
          <w:szCs w:val="22"/>
        </w:rPr>
        <w:t xml:space="preserve">- признание </w:t>
      </w:r>
      <w:r w:rsidRPr="00AB5BC7">
        <w:rPr>
          <w:bCs/>
          <w:sz w:val="22"/>
          <w:szCs w:val="22"/>
        </w:rPr>
        <w:t xml:space="preserve">юридического лица, которому передаются доходы от размещения иностранных облигаций (юридического лица, </w:t>
      </w:r>
      <w:proofErr w:type="gramStart"/>
      <w:r w:rsidRPr="00AB5BC7">
        <w:rPr>
          <w:bCs/>
          <w:sz w:val="22"/>
          <w:szCs w:val="22"/>
        </w:rPr>
        <w:t>который</w:t>
      </w:r>
      <w:proofErr w:type="gramEnd"/>
      <w:r w:rsidRPr="00AB5BC7">
        <w:rPr>
          <w:bCs/>
          <w:sz w:val="22"/>
          <w:szCs w:val="22"/>
        </w:rPr>
        <w:t xml:space="preserve"> </w:t>
      </w:r>
      <w:r w:rsidRPr="00AB5BC7">
        <w:rPr>
          <w:sz w:val="22"/>
          <w:szCs w:val="22"/>
        </w:rPr>
        <w:t>несет солидарную ответственность по обязательствам по иностранным облигациям) банкротом;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240" w:after="120"/>
        <w:ind w:left="0" w:firstLine="567"/>
        <w:jc w:val="both"/>
        <w:rPr>
          <w:rFonts w:ascii="Times New Roman" w:hAnsi="Times New Roman"/>
          <w:b/>
          <w:bCs/>
        </w:rPr>
      </w:pPr>
      <w:r w:rsidRPr="00AB5BC7">
        <w:rPr>
          <w:rFonts w:ascii="Times New Roman" w:hAnsi="Times New Roman"/>
          <w:b/>
          <w:color w:val="000000"/>
        </w:rPr>
        <w:t>Изменены требования Правил по корпоративному управлению в части условий признания эмитентом члена совета директоров (кандидата в члены совета директоров) независимым:</w:t>
      </w:r>
      <w:r w:rsidRPr="00AB5BC7">
        <w:rPr>
          <w:rFonts w:ascii="Times New Roman" w:hAnsi="Times New Roman"/>
          <w:color w:val="000000"/>
        </w:rPr>
        <w:t xml:space="preserve"> </w:t>
      </w:r>
    </w:p>
    <w:p w:rsidR="006F5319" w:rsidRPr="00AB5BC7" w:rsidRDefault="006F5319" w:rsidP="006F5319">
      <w:pPr>
        <w:tabs>
          <w:tab w:val="left" w:pos="993"/>
        </w:tabs>
        <w:spacing w:before="240" w:after="120"/>
        <w:ind w:firstLine="567"/>
        <w:jc w:val="both"/>
        <w:rPr>
          <w:sz w:val="22"/>
          <w:szCs w:val="22"/>
        </w:rPr>
      </w:pPr>
      <w:r w:rsidRPr="00AB5BC7">
        <w:rPr>
          <w:bCs/>
          <w:sz w:val="22"/>
          <w:szCs w:val="22"/>
        </w:rPr>
        <w:t xml:space="preserve">вводится возможность </w:t>
      </w:r>
      <w:r w:rsidRPr="00AB5BC7">
        <w:rPr>
          <w:sz w:val="22"/>
          <w:szCs w:val="22"/>
        </w:rPr>
        <w:t xml:space="preserve">признания эмитентом члена совета директоров (кандидата в члены совета директоров) независимым </w:t>
      </w:r>
      <w:proofErr w:type="gramStart"/>
      <w:r w:rsidRPr="00AB5BC7">
        <w:rPr>
          <w:sz w:val="22"/>
          <w:szCs w:val="22"/>
        </w:rPr>
        <w:t>с даты вступления</w:t>
      </w:r>
      <w:proofErr w:type="gramEnd"/>
      <w:r w:rsidRPr="00AB5BC7">
        <w:rPr>
          <w:sz w:val="22"/>
          <w:szCs w:val="22"/>
        </w:rPr>
        <w:t xml:space="preserve"> в силу Правил при соблюдении следующих условий:</w:t>
      </w:r>
    </w:p>
    <w:p w:rsidR="006F5319" w:rsidRPr="00AB5BC7" w:rsidRDefault="006F5319" w:rsidP="006F5319">
      <w:pPr>
        <w:tabs>
          <w:tab w:val="left" w:pos="993"/>
        </w:tabs>
        <w:spacing w:before="240" w:after="240"/>
        <w:ind w:firstLine="567"/>
        <w:jc w:val="both"/>
        <w:rPr>
          <w:sz w:val="22"/>
          <w:szCs w:val="22"/>
        </w:rPr>
      </w:pPr>
      <w:proofErr w:type="gramStart"/>
      <w:r w:rsidRPr="00AB5BC7">
        <w:rPr>
          <w:sz w:val="22"/>
          <w:szCs w:val="22"/>
        </w:rPr>
        <w:t xml:space="preserve">- на странице эмитента в сети Интернет раскрыто принятое советом директоров (наблюдательным советом) эмитента решение о признании независимым члена совета директоров (кандидата в члены совета директоров), несмотря на наличие у него формальных критериев связанности с эмитентом, существенным акционером эмитента, существенным контрагентом и/или конкурентом эмитента, государством (Российской Федерацией, субъектом Российской Федерации) </w:t>
      </w:r>
      <w:r w:rsidRPr="00AB5BC7">
        <w:rPr>
          <w:sz w:val="22"/>
          <w:szCs w:val="22"/>
        </w:rPr>
        <w:lastRenderedPageBreak/>
        <w:t>и/или муниципальным образованием (далее - решение о признании независимым члена</w:t>
      </w:r>
      <w:proofErr w:type="gramEnd"/>
      <w:r w:rsidRPr="00AB5BC7">
        <w:rPr>
          <w:sz w:val="22"/>
          <w:szCs w:val="22"/>
        </w:rPr>
        <w:t xml:space="preserve"> совета директоров), с указанием:</w:t>
      </w:r>
    </w:p>
    <w:p w:rsidR="006F5319" w:rsidRPr="00AB5BC7" w:rsidRDefault="006F5319" w:rsidP="006F5319">
      <w:pPr>
        <w:widowControl/>
        <w:numPr>
          <w:ilvl w:val="0"/>
          <w:numId w:val="27"/>
        </w:numPr>
        <w:tabs>
          <w:tab w:val="left" w:pos="993"/>
        </w:tabs>
        <w:spacing w:before="240" w:after="240" w:line="259" w:lineRule="auto"/>
        <w:contextualSpacing/>
        <w:jc w:val="both"/>
        <w:rPr>
          <w:sz w:val="22"/>
          <w:szCs w:val="22"/>
        </w:rPr>
      </w:pPr>
      <w:r w:rsidRPr="00AB5BC7">
        <w:rPr>
          <w:sz w:val="22"/>
          <w:szCs w:val="22"/>
        </w:rPr>
        <w:t>кворума заседания совета директоров (наблюдательного совета) эмитента и результатов голосования по указанному вопросу с указанием ФИО и вариантов голосования (</w:t>
      </w:r>
      <w:r w:rsidR="00247C64">
        <w:rPr>
          <w:sz w:val="22"/>
          <w:szCs w:val="22"/>
        </w:rPr>
        <w:t>за</w:t>
      </w:r>
      <w:r w:rsidRPr="00AB5BC7">
        <w:rPr>
          <w:sz w:val="22"/>
          <w:szCs w:val="22"/>
        </w:rPr>
        <w:t xml:space="preserve">, </w:t>
      </w:r>
      <w:r w:rsidR="00247C64">
        <w:rPr>
          <w:sz w:val="22"/>
          <w:szCs w:val="22"/>
        </w:rPr>
        <w:t>против</w:t>
      </w:r>
      <w:r w:rsidRPr="00AB5BC7">
        <w:rPr>
          <w:sz w:val="22"/>
          <w:szCs w:val="22"/>
        </w:rPr>
        <w:t xml:space="preserve">, </w:t>
      </w:r>
      <w:r w:rsidR="00247C64">
        <w:rPr>
          <w:sz w:val="22"/>
          <w:szCs w:val="22"/>
        </w:rPr>
        <w:t>воздержался</w:t>
      </w:r>
      <w:r w:rsidRPr="00AB5BC7">
        <w:rPr>
          <w:sz w:val="22"/>
          <w:szCs w:val="22"/>
        </w:rPr>
        <w:t>) по каждому члену совета директоров (наблюдательного совета), голосовавшему по вопросу о принятии решения о признании независимым члена совета директоров (кандидата в члены совета директоров) или воздержавшемуся от голосования;</w:t>
      </w:r>
    </w:p>
    <w:p w:rsidR="006F5319" w:rsidRPr="00AB5BC7" w:rsidRDefault="006F5319" w:rsidP="006F5319">
      <w:pPr>
        <w:widowControl/>
        <w:numPr>
          <w:ilvl w:val="0"/>
          <w:numId w:val="27"/>
        </w:numPr>
        <w:tabs>
          <w:tab w:val="left" w:pos="993"/>
        </w:tabs>
        <w:spacing w:before="240" w:after="240" w:line="259" w:lineRule="auto"/>
        <w:contextualSpacing/>
        <w:jc w:val="both"/>
        <w:rPr>
          <w:sz w:val="22"/>
          <w:szCs w:val="22"/>
        </w:rPr>
      </w:pPr>
      <w:r w:rsidRPr="00AB5BC7">
        <w:rPr>
          <w:sz w:val="22"/>
          <w:szCs w:val="22"/>
        </w:rPr>
        <w:t xml:space="preserve">содержания решения, включая мотивированное обоснование признания </w:t>
      </w:r>
      <w:proofErr w:type="gramStart"/>
      <w:r w:rsidRPr="00AB5BC7">
        <w:rPr>
          <w:sz w:val="22"/>
          <w:szCs w:val="22"/>
        </w:rPr>
        <w:t>независимым</w:t>
      </w:r>
      <w:proofErr w:type="gramEnd"/>
      <w:r w:rsidRPr="00AB5BC7">
        <w:rPr>
          <w:sz w:val="22"/>
          <w:szCs w:val="22"/>
        </w:rPr>
        <w:t xml:space="preserve"> члена совета директоров (кандидата в члены совета директоров);</w:t>
      </w:r>
    </w:p>
    <w:p w:rsidR="006F5319" w:rsidRPr="00AB5BC7" w:rsidRDefault="006F5319" w:rsidP="006F5319">
      <w:pPr>
        <w:widowControl/>
        <w:numPr>
          <w:ilvl w:val="0"/>
          <w:numId w:val="27"/>
        </w:numPr>
        <w:tabs>
          <w:tab w:val="left" w:pos="993"/>
        </w:tabs>
        <w:spacing w:before="240" w:after="240" w:line="259" w:lineRule="auto"/>
        <w:contextualSpacing/>
        <w:jc w:val="both"/>
        <w:rPr>
          <w:sz w:val="22"/>
          <w:szCs w:val="22"/>
        </w:rPr>
      </w:pPr>
      <w:r w:rsidRPr="00AB5BC7">
        <w:rPr>
          <w:sz w:val="22"/>
          <w:szCs w:val="22"/>
        </w:rPr>
        <w:t>даты проведения заседания совета директоров (наблюдательного совета) эмитента, на котором принято соответствующее решение;</w:t>
      </w:r>
    </w:p>
    <w:p w:rsidR="006F5319" w:rsidRPr="00AB5BC7" w:rsidRDefault="006F5319" w:rsidP="006F5319">
      <w:pPr>
        <w:widowControl/>
        <w:numPr>
          <w:ilvl w:val="0"/>
          <w:numId w:val="27"/>
        </w:numPr>
        <w:tabs>
          <w:tab w:val="left" w:pos="993"/>
        </w:tabs>
        <w:spacing w:before="240" w:after="240" w:line="259" w:lineRule="auto"/>
        <w:contextualSpacing/>
        <w:jc w:val="both"/>
        <w:rPr>
          <w:sz w:val="22"/>
          <w:szCs w:val="22"/>
        </w:rPr>
      </w:pPr>
      <w:r w:rsidRPr="00AB5BC7">
        <w:rPr>
          <w:sz w:val="22"/>
          <w:szCs w:val="22"/>
        </w:rPr>
        <w:t>даты составления и номер</w:t>
      </w:r>
      <w:r w:rsidR="00247C64">
        <w:rPr>
          <w:sz w:val="22"/>
          <w:szCs w:val="22"/>
        </w:rPr>
        <w:t>а</w:t>
      </w:r>
      <w:r w:rsidRPr="00AB5BC7">
        <w:rPr>
          <w:sz w:val="22"/>
          <w:szCs w:val="22"/>
        </w:rPr>
        <w:t xml:space="preserve"> протокола заседания совета директоров (наблюдательного совета) эмитента, на котором принято соответствующее решение.</w:t>
      </w:r>
    </w:p>
    <w:p w:rsidR="006F5319" w:rsidRPr="00AB5BC7" w:rsidRDefault="006F5319" w:rsidP="006F5319">
      <w:pPr>
        <w:tabs>
          <w:tab w:val="left" w:pos="993"/>
        </w:tabs>
        <w:spacing w:before="240" w:after="120"/>
        <w:ind w:left="207" w:firstLine="567"/>
        <w:jc w:val="both"/>
        <w:rPr>
          <w:sz w:val="22"/>
          <w:szCs w:val="22"/>
        </w:rPr>
      </w:pPr>
      <w:r w:rsidRPr="00AB5BC7">
        <w:rPr>
          <w:sz w:val="22"/>
          <w:szCs w:val="22"/>
        </w:rPr>
        <w:t>- указанное решение совета директоров (наблюдательного совета) должно быть доступно на сайте эмитента в сети Интернет до даты проведения следующего общего собрания акционеров, на котором избирается новый состав совета директоров (наблюдательного совета) эмитента.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/>
          <w:b/>
          <w:color w:val="000000"/>
        </w:rPr>
      </w:pPr>
      <w:r w:rsidRPr="00AB5BC7">
        <w:rPr>
          <w:rFonts w:ascii="Times New Roman" w:hAnsi="Times New Roman"/>
          <w:b/>
          <w:color w:val="000000"/>
        </w:rPr>
        <w:t>Во исполнение требований Положение о допуске:</w:t>
      </w:r>
    </w:p>
    <w:p w:rsidR="00F2132A" w:rsidRPr="00AB5BC7" w:rsidRDefault="00F2132A" w:rsidP="00F2132A">
      <w:pPr>
        <w:pStyle w:val="ac"/>
        <w:numPr>
          <w:ilvl w:val="1"/>
          <w:numId w:val="23"/>
        </w:numPr>
        <w:spacing w:before="120" w:after="120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в Правила внесены переходные положения устанавливающие, в </w:t>
      </w:r>
      <w:proofErr w:type="spellStart"/>
      <w:r w:rsidRPr="00AB5BC7">
        <w:rPr>
          <w:rFonts w:ascii="Times New Roman" w:hAnsi="Times New Roman"/>
        </w:rPr>
        <w:t>т.ч</w:t>
      </w:r>
      <w:proofErr w:type="spellEnd"/>
      <w:r w:rsidRPr="00AB5BC7">
        <w:rPr>
          <w:rFonts w:ascii="Times New Roman" w:hAnsi="Times New Roman"/>
        </w:rPr>
        <w:t xml:space="preserve">. следующие </w:t>
      </w:r>
      <w:r w:rsidR="00247C64">
        <w:rPr>
          <w:rFonts w:ascii="Times New Roman" w:hAnsi="Times New Roman"/>
        </w:rPr>
        <w:t>нормы приведения эмитентами своей деятельности в соответствие с Правилами</w:t>
      </w:r>
      <w:r w:rsidRPr="00AB5BC7">
        <w:rPr>
          <w:rFonts w:ascii="Times New Roman" w:hAnsi="Times New Roman"/>
        </w:rPr>
        <w:t>:</w:t>
      </w:r>
    </w:p>
    <w:p w:rsidR="00787E2A" w:rsidRPr="00AB5BC7" w:rsidRDefault="00F14570" w:rsidP="00F2132A">
      <w:pPr>
        <w:pStyle w:val="ac"/>
        <w:numPr>
          <w:ilvl w:val="0"/>
          <w:numId w:val="30"/>
        </w:numPr>
        <w:spacing w:before="120" w:after="120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продлен </w:t>
      </w:r>
      <w:r w:rsidR="00F2132A" w:rsidRPr="00AB5BC7">
        <w:rPr>
          <w:rFonts w:ascii="Times New Roman" w:hAnsi="Times New Roman"/>
        </w:rPr>
        <w:t xml:space="preserve">срок окончания реформы листинга с 09.06.2016г. </w:t>
      </w:r>
      <w:r w:rsidR="00767DF4" w:rsidRPr="00AB5BC7">
        <w:rPr>
          <w:rFonts w:ascii="Times New Roman" w:hAnsi="Times New Roman"/>
        </w:rPr>
        <w:t xml:space="preserve">до </w:t>
      </w:r>
      <w:r w:rsidR="00F2132A" w:rsidRPr="00AB5BC7">
        <w:rPr>
          <w:rFonts w:ascii="Times New Roman" w:hAnsi="Times New Roman"/>
        </w:rPr>
        <w:t xml:space="preserve">03.10.2016г., по окончании которого </w:t>
      </w:r>
      <w:r w:rsidRPr="00AB5BC7">
        <w:rPr>
          <w:rFonts w:ascii="Times New Roman" w:hAnsi="Times New Roman"/>
        </w:rPr>
        <w:t xml:space="preserve">новые требования </w:t>
      </w:r>
      <w:r w:rsidR="00F2132A" w:rsidRPr="00AB5BC7">
        <w:rPr>
          <w:rFonts w:ascii="Times New Roman" w:hAnsi="Times New Roman"/>
        </w:rPr>
        <w:t xml:space="preserve">Правил </w:t>
      </w:r>
      <w:r w:rsidRPr="00AB5BC7">
        <w:rPr>
          <w:rFonts w:ascii="Times New Roman" w:hAnsi="Times New Roman"/>
        </w:rPr>
        <w:t xml:space="preserve">будут применяться в полном объеме за исключением </w:t>
      </w:r>
      <w:r w:rsidR="00787E2A" w:rsidRPr="00AB5BC7">
        <w:rPr>
          <w:rFonts w:ascii="Times New Roman" w:hAnsi="Times New Roman"/>
        </w:rPr>
        <w:t>следующих случаев:</w:t>
      </w:r>
    </w:p>
    <w:p w:rsidR="00F2132A" w:rsidRPr="00AB5BC7" w:rsidRDefault="00F14570" w:rsidP="00787E2A">
      <w:pPr>
        <w:pStyle w:val="ac"/>
        <w:numPr>
          <w:ilvl w:val="0"/>
          <w:numId w:val="31"/>
        </w:numPr>
        <w:spacing w:before="120" w:after="120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>требовани</w:t>
      </w:r>
      <w:r w:rsidR="00787E2A" w:rsidRPr="00AB5BC7">
        <w:rPr>
          <w:rFonts w:ascii="Times New Roman" w:hAnsi="Times New Roman"/>
        </w:rPr>
        <w:t>я</w:t>
      </w:r>
      <w:r w:rsidRPr="00AB5BC7">
        <w:rPr>
          <w:rFonts w:ascii="Times New Roman" w:hAnsi="Times New Roman"/>
        </w:rPr>
        <w:t xml:space="preserve"> в части критериев независим</w:t>
      </w:r>
      <w:r w:rsidR="00247C64">
        <w:rPr>
          <w:rFonts w:ascii="Times New Roman" w:hAnsi="Times New Roman"/>
        </w:rPr>
        <w:t>ости</w:t>
      </w:r>
      <w:r w:rsidRPr="00AB5BC7">
        <w:rPr>
          <w:rFonts w:ascii="Times New Roman" w:hAnsi="Times New Roman"/>
        </w:rPr>
        <w:t xml:space="preserve"> директоров</w:t>
      </w:r>
      <w:r w:rsidR="00247C64">
        <w:rPr>
          <w:rFonts w:ascii="Times New Roman" w:hAnsi="Times New Roman"/>
        </w:rPr>
        <w:t xml:space="preserve"> -</w:t>
      </w:r>
      <w:r w:rsidRPr="00AB5BC7">
        <w:rPr>
          <w:rFonts w:ascii="Times New Roman" w:hAnsi="Times New Roman"/>
        </w:rPr>
        <w:t xml:space="preserve"> </w:t>
      </w:r>
      <w:r w:rsidR="00787E2A" w:rsidRPr="00AB5BC7">
        <w:rPr>
          <w:rFonts w:ascii="Times New Roman" w:hAnsi="Times New Roman"/>
        </w:rPr>
        <w:t>членов совета директоров и критерии их связанности, с учетом положений Кодекса корпоративного управления, рекомендованного к применению Банком России</w:t>
      </w:r>
      <w:r w:rsidR="00247C64">
        <w:rPr>
          <w:rFonts w:ascii="Times New Roman" w:hAnsi="Times New Roman"/>
        </w:rPr>
        <w:t>,</w:t>
      </w:r>
      <w:r w:rsidR="00787E2A" w:rsidRPr="00AB5BC7">
        <w:rPr>
          <w:rFonts w:ascii="Times New Roman" w:hAnsi="Times New Roman"/>
        </w:rPr>
        <w:t xml:space="preserve"> вступают в силу с 1 октября 2017 г.</w:t>
      </w:r>
      <w:r w:rsidR="00247C64">
        <w:rPr>
          <w:rFonts w:ascii="Times New Roman" w:hAnsi="Times New Roman"/>
        </w:rPr>
        <w:t>;</w:t>
      </w:r>
    </w:p>
    <w:p w:rsidR="00787E2A" w:rsidRPr="00AB5BC7" w:rsidRDefault="00787E2A" w:rsidP="00787E2A">
      <w:pPr>
        <w:pStyle w:val="ac"/>
        <w:numPr>
          <w:ilvl w:val="0"/>
          <w:numId w:val="31"/>
        </w:numPr>
        <w:spacing w:before="120" w:after="120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новые положения в части функций корпоративного секретаря либо специального структурного подразделения (структурных подразделений), осуществляющего (осуществляющих) функции корпоративного секретаря (далее </w:t>
      </w:r>
      <w:r w:rsidR="00247C64">
        <w:rPr>
          <w:rFonts w:ascii="Times New Roman" w:hAnsi="Times New Roman"/>
        </w:rPr>
        <w:t xml:space="preserve">- </w:t>
      </w:r>
      <w:r w:rsidRPr="00AB5BC7">
        <w:rPr>
          <w:rFonts w:ascii="Times New Roman" w:hAnsi="Times New Roman"/>
        </w:rPr>
        <w:t>функции корпоративного секретаря) в отношении акций, которые будут включаться в котировальные списки после вступления в силу Правил</w:t>
      </w:r>
      <w:r w:rsidR="00954B8D" w:rsidRPr="00AB5BC7">
        <w:rPr>
          <w:rFonts w:ascii="Times New Roman" w:hAnsi="Times New Roman"/>
        </w:rPr>
        <w:t>,</w:t>
      </w:r>
      <w:r w:rsidRPr="00AB5BC7">
        <w:rPr>
          <w:rFonts w:ascii="Times New Roman" w:hAnsi="Times New Roman"/>
        </w:rPr>
        <w:t xml:space="preserve"> будут применяться в полном объеме. </w:t>
      </w:r>
    </w:p>
    <w:p w:rsidR="00787E2A" w:rsidRPr="00AB5BC7" w:rsidRDefault="00787E2A" w:rsidP="00787E2A">
      <w:pPr>
        <w:spacing w:before="120" w:after="120"/>
        <w:ind w:left="1418"/>
        <w:jc w:val="both"/>
        <w:rPr>
          <w:sz w:val="22"/>
          <w:szCs w:val="22"/>
        </w:rPr>
      </w:pPr>
      <w:r w:rsidRPr="00AB5BC7">
        <w:rPr>
          <w:sz w:val="22"/>
          <w:szCs w:val="22"/>
        </w:rPr>
        <w:t>При этом</w:t>
      </w:r>
      <w:proofErr w:type="gramStart"/>
      <w:r w:rsidR="00247C64">
        <w:rPr>
          <w:sz w:val="22"/>
          <w:szCs w:val="22"/>
        </w:rPr>
        <w:t>,</w:t>
      </w:r>
      <w:proofErr w:type="gramEnd"/>
      <w:r w:rsidRPr="00AB5BC7">
        <w:rPr>
          <w:sz w:val="22"/>
          <w:szCs w:val="22"/>
        </w:rPr>
        <w:t xml:space="preserve"> указанные требования в части функций корпоративного секретаря будут применяться к акциям</w:t>
      </w:r>
      <w:r w:rsidR="00247C64">
        <w:rPr>
          <w:sz w:val="22"/>
          <w:szCs w:val="22"/>
        </w:rPr>
        <w:t>,</w:t>
      </w:r>
      <w:r w:rsidRPr="00AB5BC7">
        <w:rPr>
          <w:sz w:val="22"/>
          <w:szCs w:val="22"/>
        </w:rPr>
        <w:t xml:space="preserve"> уже включенным в котировальные списки до вступления в силу Правил</w:t>
      </w:r>
      <w:r w:rsidR="00247C64">
        <w:rPr>
          <w:sz w:val="22"/>
          <w:szCs w:val="22"/>
        </w:rPr>
        <w:t>, начиная с</w:t>
      </w:r>
      <w:r w:rsidRPr="00AB5BC7">
        <w:rPr>
          <w:sz w:val="22"/>
          <w:szCs w:val="22"/>
        </w:rPr>
        <w:t xml:space="preserve"> 1 октября 2017 г. в целях приведения </w:t>
      </w:r>
      <w:r w:rsidR="00D54FDA" w:rsidRPr="00AB5BC7">
        <w:rPr>
          <w:sz w:val="22"/>
          <w:szCs w:val="22"/>
        </w:rPr>
        <w:t>эмитентами своей деятельности к указанному сроку</w:t>
      </w:r>
      <w:r w:rsidR="00767DF4" w:rsidRPr="00AB5BC7">
        <w:rPr>
          <w:sz w:val="22"/>
          <w:szCs w:val="22"/>
        </w:rPr>
        <w:t xml:space="preserve"> в соответствие с требованиями Правил</w:t>
      </w:r>
      <w:r w:rsidR="00D54FDA" w:rsidRPr="00AB5BC7">
        <w:rPr>
          <w:sz w:val="22"/>
          <w:szCs w:val="22"/>
        </w:rPr>
        <w:t>.</w:t>
      </w:r>
    </w:p>
    <w:p w:rsidR="00D54FDA" w:rsidRPr="00AB5BC7" w:rsidRDefault="00D54FDA" w:rsidP="00D54FDA">
      <w:pPr>
        <w:pStyle w:val="ac"/>
        <w:numPr>
          <w:ilvl w:val="0"/>
          <w:numId w:val="30"/>
        </w:numPr>
        <w:spacing w:before="120" w:after="120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установлены </w:t>
      </w:r>
      <w:r w:rsidR="00954B8D" w:rsidRPr="00AB5BC7">
        <w:rPr>
          <w:rFonts w:ascii="Times New Roman" w:hAnsi="Times New Roman"/>
        </w:rPr>
        <w:t xml:space="preserve">переходные положения, устанавливающие </w:t>
      </w:r>
      <w:r w:rsidR="00085605" w:rsidRPr="00AB5BC7">
        <w:rPr>
          <w:rFonts w:ascii="Times New Roman" w:hAnsi="Times New Roman"/>
        </w:rPr>
        <w:t xml:space="preserve">отложенное </w:t>
      </w:r>
      <w:r w:rsidR="009E2510" w:rsidRPr="00AB5BC7">
        <w:rPr>
          <w:rFonts w:ascii="Times New Roman" w:hAnsi="Times New Roman"/>
        </w:rPr>
        <w:t xml:space="preserve">(до 31.12.2018г.) </w:t>
      </w:r>
      <w:r w:rsidR="00085605" w:rsidRPr="00AB5BC7">
        <w:rPr>
          <w:rFonts w:ascii="Times New Roman" w:hAnsi="Times New Roman"/>
        </w:rPr>
        <w:t xml:space="preserve">вступление в силу </w:t>
      </w:r>
      <w:r w:rsidR="00954B8D" w:rsidRPr="00AB5BC7">
        <w:rPr>
          <w:rFonts w:ascii="Times New Roman" w:hAnsi="Times New Roman"/>
        </w:rPr>
        <w:t xml:space="preserve">отдельных </w:t>
      </w:r>
      <w:r w:rsidR="00085605" w:rsidRPr="00AB5BC7">
        <w:rPr>
          <w:rFonts w:ascii="Times New Roman" w:hAnsi="Times New Roman"/>
        </w:rPr>
        <w:t xml:space="preserve">новых </w:t>
      </w:r>
      <w:r w:rsidR="00954B8D" w:rsidRPr="00AB5BC7">
        <w:rPr>
          <w:rFonts w:ascii="Times New Roman" w:hAnsi="Times New Roman"/>
        </w:rPr>
        <w:t>требований по поддержанию ценных бумаг в котировальных списках</w:t>
      </w:r>
      <w:r w:rsidR="00BE6B06" w:rsidRPr="00AB5BC7">
        <w:rPr>
          <w:rFonts w:ascii="Times New Roman" w:hAnsi="Times New Roman"/>
        </w:rPr>
        <w:t>.</w:t>
      </w:r>
      <w:r w:rsidR="00954B8D" w:rsidRPr="00AB5BC7">
        <w:rPr>
          <w:rFonts w:ascii="Times New Roman" w:hAnsi="Times New Roman"/>
        </w:rPr>
        <w:t xml:space="preserve"> </w:t>
      </w:r>
      <w:r w:rsidR="00085605" w:rsidRPr="00AB5BC7">
        <w:rPr>
          <w:rFonts w:ascii="Times New Roman" w:hAnsi="Times New Roman"/>
        </w:rPr>
        <w:t>При этом до 31.12.2018г.</w:t>
      </w:r>
      <w:r w:rsidR="00954B8D" w:rsidRPr="00AB5BC7">
        <w:rPr>
          <w:rFonts w:ascii="Times New Roman" w:hAnsi="Times New Roman"/>
        </w:rPr>
        <w:t xml:space="preserve"> </w:t>
      </w:r>
      <w:r w:rsidR="00663336" w:rsidRPr="00AB5BC7">
        <w:rPr>
          <w:rFonts w:ascii="Times New Roman" w:hAnsi="Times New Roman"/>
        </w:rPr>
        <w:t>Биржа будет применять</w:t>
      </w:r>
      <w:r w:rsidRPr="00AB5BC7">
        <w:rPr>
          <w:rFonts w:ascii="Times New Roman" w:hAnsi="Times New Roman"/>
        </w:rPr>
        <w:t xml:space="preserve"> требовани</w:t>
      </w:r>
      <w:r w:rsidR="00663336" w:rsidRPr="00AB5BC7">
        <w:rPr>
          <w:rFonts w:ascii="Times New Roman" w:hAnsi="Times New Roman"/>
        </w:rPr>
        <w:t>я, которые действовали до вступления в силу Правил в новой редакции, а именно</w:t>
      </w:r>
      <w:r w:rsidRPr="00AB5BC7">
        <w:rPr>
          <w:rFonts w:ascii="Times New Roman" w:hAnsi="Times New Roman"/>
        </w:rPr>
        <w:t>:</w:t>
      </w:r>
    </w:p>
    <w:p w:rsidR="00D54FDA" w:rsidRPr="00AB5BC7" w:rsidRDefault="00663336" w:rsidP="00663336">
      <w:pPr>
        <w:pStyle w:val="ac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AB5BC7">
        <w:rPr>
          <w:rFonts w:ascii="Times New Roman" w:hAnsi="Times New Roman"/>
        </w:rPr>
        <w:t xml:space="preserve">в качестве требований </w:t>
      </w:r>
      <w:r w:rsidR="00D54FDA" w:rsidRPr="00AB5BC7">
        <w:rPr>
          <w:rFonts w:ascii="Times New Roman" w:hAnsi="Times New Roman"/>
        </w:rPr>
        <w:t xml:space="preserve">к уровню кредитного рейтинга выпусков облигаций (рейтинга эмитента облигаций, поручителя (гаранта) и ипотечных сертификатов участия, включенных в котировальные списки в период с момента их формирования до вступления в силу </w:t>
      </w:r>
      <w:r w:rsidRPr="00AB5BC7">
        <w:rPr>
          <w:rFonts w:ascii="Times New Roman" w:hAnsi="Times New Roman"/>
        </w:rPr>
        <w:t>П</w:t>
      </w:r>
      <w:r w:rsidR="00D54FDA" w:rsidRPr="00AB5BC7">
        <w:rPr>
          <w:rFonts w:ascii="Times New Roman" w:hAnsi="Times New Roman"/>
        </w:rPr>
        <w:t>равил</w:t>
      </w:r>
      <w:r w:rsidR="00085605" w:rsidRPr="00AB5BC7">
        <w:rPr>
          <w:rFonts w:ascii="Times New Roman" w:hAnsi="Times New Roman"/>
        </w:rPr>
        <w:t xml:space="preserve"> в новой редакции</w:t>
      </w:r>
      <w:r w:rsidR="00D54FDA" w:rsidRPr="00AB5BC7">
        <w:rPr>
          <w:rFonts w:ascii="Times New Roman" w:hAnsi="Times New Roman"/>
        </w:rPr>
        <w:t xml:space="preserve">, </w:t>
      </w:r>
      <w:r w:rsidRPr="00AB5BC7">
        <w:rPr>
          <w:rFonts w:ascii="Times New Roman" w:hAnsi="Times New Roman"/>
        </w:rPr>
        <w:t xml:space="preserve">будут применяться </w:t>
      </w:r>
      <w:r w:rsidR="00D54FDA" w:rsidRPr="00AB5BC7">
        <w:rPr>
          <w:rFonts w:ascii="Times New Roman" w:hAnsi="Times New Roman"/>
        </w:rPr>
        <w:t>уровн</w:t>
      </w:r>
      <w:r w:rsidRPr="00AB5BC7">
        <w:rPr>
          <w:rFonts w:ascii="Times New Roman" w:hAnsi="Times New Roman"/>
        </w:rPr>
        <w:t>и</w:t>
      </w:r>
      <w:r w:rsidR="00D54FDA" w:rsidRPr="00AB5BC7">
        <w:rPr>
          <w:rFonts w:ascii="Times New Roman" w:hAnsi="Times New Roman"/>
        </w:rPr>
        <w:t xml:space="preserve"> рейтинга, </w:t>
      </w:r>
      <w:r w:rsidR="00085605" w:rsidRPr="00AB5BC7">
        <w:rPr>
          <w:rFonts w:ascii="Times New Roman" w:hAnsi="Times New Roman"/>
        </w:rPr>
        <w:t>которые были предусмотрен</w:t>
      </w:r>
      <w:r w:rsidR="00247C64">
        <w:rPr>
          <w:rFonts w:ascii="Times New Roman" w:hAnsi="Times New Roman"/>
        </w:rPr>
        <w:t>ы П</w:t>
      </w:r>
      <w:r w:rsidR="00D54FDA" w:rsidRPr="00AB5BC7">
        <w:rPr>
          <w:rFonts w:ascii="Times New Roman" w:hAnsi="Times New Roman"/>
        </w:rPr>
        <w:t>равилами листинга, действовавшими на дату формирования котировального списка или на дату включения таких ценн</w:t>
      </w:r>
      <w:r w:rsidRPr="00AB5BC7">
        <w:rPr>
          <w:rFonts w:ascii="Times New Roman" w:hAnsi="Times New Roman"/>
        </w:rPr>
        <w:t>ых бумаг в котировальный</w:t>
      </w:r>
      <w:proofErr w:type="gramEnd"/>
      <w:r w:rsidRPr="00AB5BC7">
        <w:rPr>
          <w:rFonts w:ascii="Times New Roman" w:hAnsi="Times New Roman"/>
        </w:rPr>
        <w:t xml:space="preserve"> список;</w:t>
      </w:r>
    </w:p>
    <w:p w:rsidR="00663336" w:rsidRPr="00AB5BC7" w:rsidRDefault="00663336" w:rsidP="00663336">
      <w:pPr>
        <w:pStyle w:val="ac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AB5BC7">
        <w:rPr>
          <w:rFonts w:ascii="Times New Roman" w:hAnsi="Times New Roman"/>
        </w:rPr>
        <w:t xml:space="preserve">в качестве требований к составу ипотечного покрытия и отчету оценщика, в котором определена стоимость недвижимого имущества, являющегося предметом ипотеки по обязательствам, требования по которым входят в состав ипотечного покрытия ипотечных сертификатов участия, включенных в котировальные списки в период с момента их формирования и до вступления в силу </w:t>
      </w:r>
      <w:r w:rsidR="00085605" w:rsidRPr="00AB5BC7">
        <w:rPr>
          <w:rFonts w:ascii="Times New Roman" w:hAnsi="Times New Roman"/>
        </w:rPr>
        <w:t>П</w:t>
      </w:r>
      <w:r w:rsidRPr="00AB5BC7">
        <w:rPr>
          <w:rFonts w:ascii="Times New Roman" w:hAnsi="Times New Roman"/>
        </w:rPr>
        <w:t xml:space="preserve">равил </w:t>
      </w:r>
      <w:r w:rsidR="00085605" w:rsidRPr="00AB5BC7">
        <w:rPr>
          <w:rFonts w:ascii="Times New Roman" w:hAnsi="Times New Roman"/>
        </w:rPr>
        <w:t>в новой редакции</w:t>
      </w:r>
      <w:r w:rsidRPr="00AB5BC7">
        <w:rPr>
          <w:rFonts w:ascii="Times New Roman" w:hAnsi="Times New Roman"/>
        </w:rPr>
        <w:t xml:space="preserve">, </w:t>
      </w:r>
      <w:r w:rsidR="00085605" w:rsidRPr="00AB5BC7">
        <w:rPr>
          <w:rFonts w:ascii="Times New Roman" w:hAnsi="Times New Roman"/>
        </w:rPr>
        <w:t xml:space="preserve">будут применяться </w:t>
      </w:r>
      <w:r w:rsidRPr="00AB5BC7">
        <w:rPr>
          <w:rFonts w:ascii="Times New Roman" w:hAnsi="Times New Roman"/>
        </w:rPr>
        <w:t xml:space="preserve">требования, </w:t>
      </w:r>
      <w:r w:rsidR="00085605" w:rsidRPr="00AB5BC7">
        <w:rPr>
          <w:rFonts w:ascii="Times New Roman" w:hAnsi="Times New Roman"/>
        </w:rPr>
        <w:t>которые были предусмотрен</w:t>
      </w:r>
      <w:r w:rsidRPr="00AB5BC7">
        <w:rPr>
          <w:rFonts w:ascii="Times New Roman" w:hAnsi="Times New Roman"/>
        </w:rPr>
        <w:t xml:space="preserve">ы </w:t>
      </w:r>
      <w:r w:rsidR="00247C64">
        <w:rPr>
          <w:rFonts w:ascii="Times New Roman" w:hAnsi="Times New Roman"/>
        </w:rPr>
        <w:t>П</w:t>
      </w:r>
      <w:r w:rsidRPr="00AB5BC7">
        <w:rPr>
          <w:rFonts w:ascii="Times New Roman" w:hAnsi="Times New Roman"/>
        </w:rPr>
        <w:t xml:space="preserve">равилами листинга, </w:t>
      </w:r>
      <w:r w:rsidRPr="00AB5BC7">
        <w:rPr>
          <w:rFonts w:ascii="Times New Roman" w:hAnsi="Times New Roman"/>
        </w:rPr>
        <w:lastRenderedPageBreak/>
        <w:t>действовавшими</w:t>
      </w:r>
      <w:proofErr w:type="gramEnd"/>
      <w:r w:rsidRPr="00AB5BC7">
        <w:rPr>
          <w:rFonts w:ascii="Times New Roman" w:hAnsi="Times New Roman"/>
        </w:rPr>
        <w:t xml:space="preserve"> на дату формирования котировального списка или на дату включения ипотечных сертификатов участия в котировальный список</w:t>
      </w:r>
      <w:r w:rsidR="00085605" w:rsidRPr="00AB5BC7">
        <w:rPr>
          <w:rFonts w:ascii="Times New Roman" w:hAnsi="Times New Roman"/>
        </w:rPr>
        <w:t>.</w:t>
      </w:r>
    </w:p>
    <w:p w:rsidR="00663336" w:rsidRPr="00AB5BC7" w:rsidRDefault="00663336" w:rsidP="00C6433E">
      <w:pPr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  <w:r w:rsidRPr="00AB5BC7">
        <w:rPr>
          <w:sz w:val="22"/>
          <w:szCs w:val="22"/>
        </w:rPr>
        <w:t xml:space="preserve">Указанное исключение не </w:t>
      </w:r>
      <w:r w:rsidR="00085605" w:rsidRPr="00AB5BC7">
        <w:rPr>
          <w:sz w:val="22"/>
          <w:szCs w:val="22"/>
        </w:rPr>
        <w:t>буд</w:t>
      </w:r>
      <w:r w:rsidR="00247C64">
        <w:rPr>
          <w:sz w:val="22"/>
          <w:szCs w:val="22"/>
        </w:rPr>
        <w:t>е</w:t>
      </w:r>
      <w:r w:rsidR="00085605" w:rsidRPr="00AB5BC7">
        <w:rPr>
          <w:sz w:val="22"/>
          <w:szCs w:val="22"/>
        </w:rPr>
        <w:t xml:space="preserve"> </w:t>
      </w:r>
      <w:r w:rsidRPr="00AB5BC7">
        <w:rPr>
          <w:sz w:val="22"/>
          <w:szCs w:val="22"/>
        </w:rPr>
        <w:t>распространят</w:t>
      </w:r>
      <w:r w:rsidR="00085605" w:rsidRPr="00AB5BC7">
        <w:rPr>
          <w:sz w:val="22"/>
          <w:szCs w:val="22"/>
        </w:rPr>
        <w:t>ь</w:t>
      </w:r>
      <w:r w:rsidRPr="00AB5BC7">
        <w:rPr>
          <w:sz w:val="22"/>
          <w:szCs w:val="22"/>
        </w:rPr>
        <w:t>ся на ипотечные сертификаты участия в случае выдачи дополнительных ипотечных сертификатов участия.</w:t>
      </w:r>
    </w:p>
    <w:p w:rsidR="006F5319" w:rsidRPr="00AB5BC7" w:rsidRDefault="006F5319" w:rsidP="00C6433E">
      <w:pPr>
        <w:pStyle w:val="ac"/>
        <w:numPr>
          <w:ilvl w:val="1"/>
          <w:numId w:val="23"/>
        </w:numPr>
        <w:spacing w:before="120" w:after="120"/>
        <w:ind w:left="1418" w:hanging="698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  <w:color w:val="000000"/>
        </w:rPr>
        <w:t xml:space="preserve">в состав Правил включены Приложения, предусматривающие правила и требования по раскрытию информации </w:t>
      </w:r>
      <w:r w:rsidRPr="00AB5BC7">
        <w:rPr>
          <w:rFonts w:ascii="Times New Roman" w:hAnsi="Times New Roman"/>
        </w:rPr>
        <w:t>в отношении:</w:t>
      </w:r>
    </w:p>
    <w:p w:rsidR="006F5319" w:rsidRPr="00AB5BC7" w:rsidRDefault="006F5319" w:rsidP="006F5319">
      <w:pPr>
        <w:pStyle w:val="ac"/>
        <w:numPr>
          <w:ilvl w:val="0"/>
          <w:numId w:val="28"/>
        </w:numPr>
        <w:autoSpaceDE w:val="0"/>
        <w:autoSpaceDN w:val="0"/>
        <w:adjustRightInd w:val="0"/>
        <w:ind w:left="1276" w:hanging="283"/>
        <w:contextualSpacing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>ценных бумаг, для публичного обращения которых не требуется регистрация проспекта ценных бумаг (представление на Биржу проспекта ценных бумаг);</w:t>
      </w:r>
    </w:p>
    <w:p w:rsidR="006F5319" w:rsidRPr="00AB5BC7" w:rsidRDefault="006F5319" w:rsidP="006F5319">
      <w:pPr>
        <w:pStyle w:val="ac"/>
        <w:numPr>
          <w:ilvl w:val="0"/>
          <w:numId w:val="28"/>
        </w:numPr>
        <w:autoSpaceDE w:val="0"/>
        <w:autoSpaceDN w:val="0"/>
        <w:adjustRightInd w:val="0"/>
        <w:ind w:left="1276" w:hanging="283"/>
        <w:contextualSpacing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>ценных бумаг, предназначенных для квалифицированных инвесторов</w:t>
      </w:r>
      <w:r w:rsidR="00F2132A" w:rsidRPr="00AB5BC7">
        <w:rPr>
          <w:rFonts w:ascii="Times New Roman" w:hAnsi="Times New Roman"/>
        </w:rPr>
        <w:t>;</w:t>
      </w:r>
    </w:p>
    <w:p w:rsidR="00D54FDA" w:rsidRPr="00AB5BC7" w:rsidRDefault="00085605" w:rsidP="00C6433E">
      <w:pPr>
        <w:pStyle w:val="ac"/>
        <w:numPr>
          <w:ilvl w:val="1"/>
          <w:numId w:val="23"/>
        </w:numPr>
        <w:spacing w:before="120" w:after="120"/>
        <w:ind w:left="1418" w:hanging="698"/>
        <w:jc w:val="both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Правилами установлен перечень информации, которая будет раскрываться Биржей дополнительно в составе обновленного перечня информации Списка ценных бумаг, допущенных к торгам </w:t>
      </w:r>
      <w:r w:rsidR="00D54FDA" w:rsidRPr="00AB5BC7">
        <w:rPr>
          <w:rFonts w:ascii="Times New Roman" w:hAnsi="Times New Roman"/>
        </w:rPr>
        <w:t>Бирж</w:t>
      </w:r>
      <w:r w:rsidR="00C6433E" w:rsidRPr="00AB5BC7">
        <w:rPr>
          <w:rFonts w:ascii="Times New Roman" w:hAnsi="Times New Roman"/>
        </w:rPr>
        <w:t>и,</w:t>
      </w:r>
      <w:r w:rsidR="00D54FDA" w:rsidRPr="00AB5BC7">
        <w:rPr>
          <w:rFonts w:ascii="Times New Roman" w:hAnsi="Times New Roman"/>
        </w:rPr>
        <w:t xml:space="preserve"> до вступления в силу положений Правил в части требований к карточке ценной бумаги</w:t>
      </w:r>
      <w:r w:rsidRPr="00AB5BC7">
        <w:rPr>
          <w:rFonts w:ascii="Times New Roman" w:hAnsi="Times New Roman"/>
        </w:rPr>
        <w:t xml:space="preserve">. После вступления в силу </w:t>
      </w:r>
      <w:r w:rsidR="00C6433E" w:rsidRPr="00AB5BC7">
        <w:rPr>
          <w:rFonts w:ascii="Times New Roman" w:hAnsi="Times New Roman"/>
        </w:rPr>
        <w:t xml:space="preserve">(не позднее 6 мес. со дня вступления в силу Положения о допуске) </w:t>
      </w:r>
      <w:r w:rsidRPr="00AB5BC7">
        <w:rPr>
          <w:rFonts w:ascii="Times New Roman" w:hAnsi="Times New Roman"/>
        </w:rPr>
        <w:t>требований к карточке ценной бумаги</w:t>
      </w:r>
      <w:r w:rsidR="00D54FDA" w:rsidRPr="00AB5BC7">
        <w:rPr>
          <w:rFonts w:ascii="Times New Roman" w:hAnsi="Times New Roman"/>
        </w:rPr>
        <w:t xml:space="preserve">, </w:t>
      </w:r>
      <w:r w:rsidR="00C6433E" w:rsidRPr="00AB5BC7">
        <w:rPr>
          <w:rFonts w:ascii="Times New Roman" w:hAnsi="Times New Roman"/>
        </w:rPr>
        <w:t>дополнительный перечень информации будет раскрываться в составе указанной карточк</w:t>
      </w:r>
      <w:r w:rsidR="0030404A">
        <w:rPr>
          <w:rFonts w:ascii="Times New Roman" w:hAnsi="Times New Roman"/>
        </w:rPr>
        <w:t>и</w:t>
      </w:r>
      <w:r w:rsidR="00C6433E" w:rsidRPr="00AB5BC7">
        <w:rPr>
          <w:rFonts w:ascii="Times New Roman" w:hAnsi="Times New Roman"/>
        </w:rPr>
        <w:t xml:space="preserve"> ценной бумаги. </w:t>
      </w:r>
    </w:p>
    <w:p w:rsidR="006F5319" w:rsidRPr="00AB5BC7" w:rsidRDefault="006F5319" w:rsidP="006F5319">
      <w:pPr>
        <w:pStyle w:val="ac"/>
        <w:numPr>
          <w:ilvl w:val="0"/>
          <w:numId w:val="23"/>
        </w:numPr>
        <w:tabs>
          <w:tab w:val="left" w:pos="-993"/>
        </w:tabs>
        <w:overflowPunct w:val="0"/>
        <w:autoSpaceDE w:val="0"/>
        <w:autoSpaceDN w:val="0"/>
        <w:adjustRightInd w:val="0"/>
        <w:spacing w:before="240" w:after="240"/>
        <w:ind w:hanging="513"/>
        <w:jc w:val="both"/>
        <w:textAlignment w:val="baseline"/>
        <w:rPr>
          <w:rFonts w:ascii="Times New Roman" w:hAnsi="Times New Roman"/>
        </w:rPr>
      </w:pPr>
      <w:r w:rsidRPr="00AB5BC7">
        <w:rPr>
          <w:rFonts w:ascii="Times New Roman" w:hAnsi="Times New Roman"/>
        </w:rPr>
        <w:t xml:space="preserve">По тексту Правил внесены изменения, уточняющие проведение установленных процедур листинга, </w:t>
      </w:r>
      <w:r w:rsidR="0030404A">
        <w:rPr>
          <w:rFonts w:ascii="Times New Roman" w:hAnsi="Times New Roman"/>
        </w:rPr>
        <w:t>а также</w:t>
      </w:r>
      <w:r w:rsidRPr="00AB5BC7">
        <w:rPr>
          <w:rFonts w:ascii="Times New Roman" w:hAnsi="Times New Roman"/>
        </w:rPr>
        <w:t xml:space="preserve"> имеющие редакционный характер.</w:t>
      </w:r>
    </w:p>
    <w:p w:rsidR="003F421F" w:rsidRPr="006F5319" w:rsidRDefault="003F421F" w:rsidP="00D22D74">
      <w:pPr>
        <w:pStyle w:val="ac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rPr>
          <w:rFonts w:ascii="Times New Roman" w:hAnsi="Times New Roman"/>
        </w:rPr>
      </w:pPr>
    </w:p>
    <w:p w:rsidR="000E573F" w:rsidRPr="006F5319" w:rsidRDefault="000E573F" w:rsidP="000E573F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eastAsia="Calibri"/>
          <w:sz w:val="22"/>
          <w:szCs w:val="22"/>
        </w:rPr>
      </w:pPr>
    </w:p>
    <w:sectPr w:rsidR="000E573F" w:rsidRPr="006F5319" w:rsidSect="00247C64">
      <w:footerReference w:type="default" r:id="rId10"/>
      <w:endnotePr>
        <w:numFmt w:val="decimal"/>
      </w:endnotePr>
      <w:pgSz w:w="11907" w:h="16840"/>
      <w:pgMar w:top="567" w:right="992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D6" w:rsidRDefault="00421CD6" w:rsidP="00281B8B">
      <w:r>
        <w:separator/>
      </w:r>
    </w:p>
  </w:endnote>
  <w:endnote w:type="continuationSeparator" w:id="0">
    <w:p w:rsidR="00421CD6" w:rsidRDefault="00421CD6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64" w:rsidRDefault="00247C6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D6" w:rsidRDefault="00421CD6" w:rsidP="00281B8B">
      <w:r>
        <w:separator/>
      </w:r>
    </w:p>
  </w:footnote>
  <w:footnote w:type="continuationSeparator" w:id="0">
    <w:p w:rsidR="00421CD6" w:rsidRDefault="00421CD6" w:rsidP="00281B8B">
      <w:r>
        <w:continuationSeparator/>
      </w:r>
    </w:p>
  </w:footnote>
  <w:footnote w:id="1">
    <w:p w:rsidR="006F5319" w:rsidRPr="006F5319" w:rsidRDefault="006F5319" w:rsidP="006F5319">
      <w:pPr>
        <w:pStyle w:val="af1"/>
        <w:jc w:val="both"/>
        <w:rPr>
          <w:rFonts w:ascii="Times New Roman" w:hAnsi="Times New Roman" w:cs="Times New Roman"/>
        </w:rPr>
      </w:pPr>
      <w:r w:rsidRPr="006F5319">
        <w:rPr>
          <w:rStyle w:val="af3"/>
          <w:rFonts w:ascii="Times New Roman" w:hAnsi="Times New Roman" w:cs="Times New Roman"/>
        </w:rPr>
        <w:footnoteRef/>
      </w:r>
      <w:r w:rsidRPr="006F5319">
        <w:rPr>
          <w:rFonts w:ascii="Times New Roman" w:hAnsi="Times New Roman" w:cs="Times New Roman"/>
        </w:rPr>
        <w:t xml:space="preserve"> </w:t>
      </w:r>
      <w:proofErr w:type="gramStart"/>
      <w:r w:rsidRPr="006F5319">
        <w:rPr>
          <w:rFonts w:ascii="Times New Roman" w:hAnsi="Times New Roman" w:cs="Times New Roman"/>
        </w:rPr>
        <w:t>«Об установлении дополнительных ограничений на инвестирование средств пенсионных накоплений негосударственного пенсионного фонда, осуществляющего обязательное пенсионное страхование, дополнительных требований к кредитным организациям, в которых размещаются средства пенсионных накоплений и накопления для жилищного обеспечения военнослужащих, а также дополнительных требований, которые управляющие компании обязаны соблюдать в период действия договора доверительного управления средствами пенсионных накоплений», зарегистрированного Министерством юстиции Российской Федерации 23 января 2015 года</w:t>
      </w:r>
      <w:proofErr w:type="gramEnd"/>
      <w:r w:rsidRPr="006F5319">
        <w:rPr>
          <w:rFonts w:ascii="Times New Roman" w:hAnsi="Times New Roman" w:cs="Times New Roman"/>
        </w:rPr>
        <w:t xml:space="preserve"> № </w:t>
      </w:r>
      <w:proofErr w:type="gramStart"/>
      <w:r w:rsidRPr="006F5319">
        <w:rPr>
          <w:rFonts w:ascii="Times New Roman" w:hAnsi="Times New Roman" w:cs="Times New Roman"/>
        </w:rPr>
        <w:t xml:space="preserve">35661, 21 августа 2015 года № 38631, а также статьей 24 Федерального закона от 24 июля 2002 года № 111-ФЗ «Об инвестировании средств для финансирования накопительной пенсии в Российской Федерации» и статьей 23 Федерального закона от 20 августа 2004 года № 117-ФЗ «О </w:t>
      </w:r>
      <w:proofErr w:type="spellStart"/>
      <w:r w:rsidRPr="006F5319">
        <w:rPr>
          <w:rFonts w:ascii="Times New Roman" w:hAnsi="Times New Roman" w:cs="Times New Roman"/>
        </w:rPr>
        <w:t>накопительно</w:t>
      </w:r>
      <w:proofErr w:type="spellEnd"/>
      <w:r w:rsidRPr="006F5319">
        <w:rPr>
          <w:rFonts w:ascii="Times New Roman" w:hAnsi="Times New Roman" w:cs="Times New Roman"/>
        </w:rPr>
        <w:t>-ипотечной системе жилищного обеспечения военнослужащих», публикуемый на официальном сайте Банка России в сети «Интернет»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27C"/>
    <w:multiLevelType w:val="hybridMultilevel"/>
    <w:tmpl w:val="137A83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7A5E61"/>
    <w:multiLevelType w:val="hybridMultilevel"/>
    <w:tmpl w:val="E9040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712758C"/>
    <w:multiLevelType w:val="hybridMultilevel"/>
    <w:tmpl w:val="88022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663D"/>
    <w:multiLevelType w:val="hybridMultilevel"/>
    <w:tmpl w:val="0278218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705206"/>
    <w:multiLevelType w:val="hybridMultilevel"/>
    <w:tmpl w:val="05026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101F3364"/>
    <w:multiLevelType w:val="hybridMultilevel"/>
    <w:tmpl w:val="97BC93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F06464"/>
    <w:multiLevelType w:val="hybridMultilevel"/>
    <w:tmpl w:val="3F26E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2635B3"/>
    <w:multiLevelType w:val="hybridMultilevel"/>
    <w:tmpl w:val="BC827E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73F102C"/>
    <w:multiLevelType w:val="hybridMultilevel"/>
    <w:tmpl w:val="BE265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234871"/>
    <w:multiLevelType w:val="multilevel"/>
    <w:tmpl w:val="911A0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6F12BC2"/>
    <w:multiLevelType w:val="hybridMultilevel"/>
    <w:tmpl w:val="C8AE512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686E7B"/>
    <w:multiLevelType w:val="hybridMultilevel"/>
    <w:tmpl w:val="B714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753A5"/>
    <w:multiLevelType w:val="hybridMultilevel"/>
    <w:tmpl w:val="72742C90"/>
    <w:lvl w:ilvl="0" w:tplc="DF7647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F7647A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2E7AB8"/>
    <w:multiLevelType w:val="hybridMultilevel"/>
    <w:tmpl w:val="7764C7CA"/>
    <w:lvl w:ilvl="0" w:tplc="4330F4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163" w:hanging="80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C8B7EDB"/>
    <w:multiLevelType w:val="hybridMultilevel"/>
    <w:tmpl w:val="B7B64EE0"/>
    <w:lvl w:ilvl="0" w:tplc="AA6EE64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30384ABE">
      <w:start w:val="1"/>
      <w:numFmt w:val="decimal"/>
      <w:lvlText w:val="%2."/>
      <w:lvlJc w:val="left"/>
      <w:pPr>
        <w:ind w:left="1404" w:hanging="825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36C6C340">
      <w:start w:val="1"/>
      <w:numFmt w:val="decimal"/>
      <w:lvlText w:val="%4."/>
      <w:lvlJc w:val="left"/>
      <w:pPr>
        <w:ind w:left="928" w:hanging="360"/>
      </w:pPr>
      <w:rPr>
        <w:rFonts w:hint="default"/>
        <w:b/>
      </w:rPr>
    </w:lvl>
    <w:lvl w:ilvl="4" w:tplc="BE00838A">
      <w:start w:val="1"/>
      <w:numFmt w:val="decimal"/>
      <w:lvlText w:val="%5)"/>
      <w:lvlJc w:val="left"/>
      <w:pPr>
        <w:ind w:left="107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6">
    <w:nsid w:val="2CC81F55"/>
    <w:multiLevelType w:val="hybridMultilevel"/>
    <w:tmpl w:val="6AF82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67F43"/>
    <w:multiLevelType w:val="hybridMultilevel"/>
    <w:tmpl w:val="E66C68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19003DD"/>
    <w:multiLevelType w:val="hybridMultilevel"/>
    <w:tmpl w:val="C1CEA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971352D"/>
    <w:multiLevelType w:val="hybridMultilevel"/>
    <w:tmpl w:val="9EE66FB0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81931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CD12845"/>
    <w:multiLevelType w:val="hybridMultilevel"/>
    <w:tmpl w:val="533476D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146777"/>
    <w:multiLevelType w:val="hybridMultilevel"/>
    <w:tmpl w:val="34D40940"/>
    <w:lvl w:ilvl="0" w:tplc="6750D3E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B1B6DC9"/>
    <w:multiLevelType w:val="hybridMultilevel"/>
    <w:tmpl w:val="FE826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3B6301"/>
    <w:multiLevelType w:val="hybridMultilevel"/>
    <w:tmpl w:val="00AAEAB6"/>
    <w:lvl w:ilvl="0" w:tplc="170A2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26">
    <w:nsid w:val="68BE10FF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8EC029F"/>
    <w:multiLevelType w:val="multilevel"/>
    <w:tmpl w:val="BBB46AB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12" w:hanging="79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3473B46"/>
    <w:multiLevelType w:val="hybridMultilevel"/>
    <w:tmpl w:val="C09CB25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744D0F78"/>
    <w:multiLevelType w:val="hybridMultilevel"/>
    <w:tmpl w:val="5F747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BE60C7"/>
    <w:multiLevelType w:val="multilevel"/>
    <w:tmpl w:val="1EDE7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7620099C"/>
    <w:multiLevelType w:val="hybridMultilevel"/>
    <w:tmpl w:val="BFF01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E6B0FDD"/>
    <w:multiLevelType w:val="hybridMultilevel"/>
    <w:tmpl w:val="A4444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3"/>
  </w:num>
  <w:num w:numId="3">
    <w:abstractNumId w:val="26"/>
  </w:num>
  <w:num w:numId="4">
    <w:abstractNumId w:val="0"/>
  </w:num>
  <w:num w:numId="5">
    <w:abstractNumId w:val="8"/>
  </w:num>
  <w:num w:numId="6">
    <w:abstractNumId w:val="29"/>
  </w:num>
  <w:num w:numId="7">
    <w:abstractNumId w:val="4"/>
  </w:num>
  <w:num w:numId="8">
    <w:abstractNumId w:val="28"/>
  </w:num>
  <w:num w:numId="9">
    <w:abstractNumId w:val="21"/>
  </w:num>
  <w:num w:numId="10">
    <w:abstractNumId w:val="14"/>
  </w:num>
  <w:num w:numId="11">
    <w:abstractNumId w:val="17"/>
  </w:num>
  <w:num w:numId="12">
    <w:abstractNumId w:val="25"/>
  </w:num>
  <w:num w:numId="13">
    <w:abstractNumId w:val="19"/>
  </w:num>
  <w:num w:numId="14">
    <w:abstractNumId w:val="16"/>
  </w:num>
  <w:num w:numId="15">
    <w:abstractNumId w:val="31"/>
  </w:num>
  <w:num w:numId="16">
    <w:abstractNumId w:val="1"/>
  </w:num>
  <w:num w:numId="17">
    <w:abstractNumId w:val="3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</w:num>
  <w:num w:numId="21">
    <w:abstractNumId w:val="24"/>
  </w:num>
  <w:num w:numId="22">
    <w:abstractNumId w:val="2"/>
  </w:num>
  <w:num w:numId="23">
    <w:abstractNumId w:val="27"/>
  </w:num>
  <w:num w:numId="24">
    <w:abstractNumId w:val="15"/>
  </w:num>
  <w:num w:numId="25">
    <w:abstractNumId w:val="13"/>
  </w:num>
  <w:num w:numId="26">
    <w:abstractNumId w:val="20"/>
  </w:num>
  <w:num w:numId="27">
    <w:abstractNumId w:val="7"/>
  </w:num>
  <w:num w:numId="28">
    <w:abstractNumId w:val="5"/>
  </w:num>
  <w:num w:numId="29">
    <w:abstractNumId w:val="3"/>
  </w:num>
  <w:num w:numId="30">
    <w:abstractNumId w:val="32"/>
  </w:num>
  <w:num w:numId="31">
    <w:abstractNumId w:val="6"/>
  </w:num>
  <w:num w:numId="32">
    <w:abstractNumId w:val="11"/>
  </w:num>
  <w:num w:numId="3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37131"/>
    <w:rsid w:val="00042E50"/>
    <w:rsid w:val="00045B46"/>
    <w:rsid w:val="00055ECA"/>
    <w:rsid w:val="00062BF6"/>
    <w:rsid w:val="00063401"/>
    <w:rsid w:val="00071D72"/>
    <w:rsid w:val="00083166"/>
    <w:rsid w:val="00085605"/>
    <w:rsid w:val="000938A7"/>
    <w:rsid w:val="000B4F00"/>
    <w:rsid w:val="000C0F74"/>
    <w:rsid w:val="000E573F"/>
    <w:rsid w:val="00100513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123F6"/>
    <w:rsid w:val="00212F37"/>
    <w:rsid w:val="002171E2"/>
    <w:rsid w:val="00220B64"/>
    <w:rsid w:val="0022148A"/>
    <w:rsid w:val="00225864"/>
    <w:rsid w:val="00225CA5"/>
    <w:rsid w:val="00247C64"/>
    <w:rsid w:val="002539B7"/>
    <w:rsid w:val="00254EF1"/>
    <w:rsid w:val="00260DDE"/>
    <w:rsid w:val="0026255E"/>
    <w:rsid w:val="00265D5B"/>
    <w:rsid w:val="0027272A"/>
    <w:rsid w:val="00273141"/>
    <w:rsid w:val="00281B8B"/>
    <w:rsid w:val="002847C7"/>
    <w:rsid w:val="00284E99"/>
    <w:rsid w:val="00285C59"/>
    <w:rsid w:val="00287B8A"/>
    <w:rsid w:val="00297B61"/>
    <w:rsid w:val="002A76F8"/>
    <w:rsid w:val="002B6D19"/>
    <w:rsid w:val="002C1538"/>
    <w:rsid w:val="002C18DA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404A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4E68"/>
    <w:rsid w:val="003D5DFF"/>
    <w:rsid w:val="003E08E9"/>
    <w:rsid w:val="003E13C0"/>
    <w:rsid w:val="003E62E0"/>
    <w:rsid w:val="003F034A"/>
    <w:rsid w:val="003F421F"/>
    <w:rsid w:val="003F679B"/>
    <w:rsid w:val="0040780D"/>
    <w:rsid w:val="0041318F"/>
    <w:rsid w:val="00415D69"/>
    <w:rsid w:val="00421CD6"/>
    <w:rsid w:val="0042524A"/>
    <w:rsid w:val="00427BC8"/>
    <w:rsid w:val="00431F75"/>
    <w:rsid w:val="00440498"/>
    <w:rsid w:val="004409A5"/>
    <w:rsid w:val="00441F16"/>
    <w:rsid w:val="004469DD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4350B"/>
    <w:rsid w:val="0055120B"/>
    <w:rsid w:val="00560CD6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C427C"/>
    <w:rsid w:val="005D0AE0"/>
    <w:rsid w:val="005D7C26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32F09"/>
    <w:rsid w:val="0065747E"/>
    <w:rsid w:val="00660498"/>
    <w:rsid w:val="006618F9"/>
    <w:rsid w:val="00663336"/>
    <w:rsid w:val="00665F7D"/>
    <w:rsid w:val="0068590C"/>
    <w:rsid w:val="00687A14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5319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67DF4"/>
    <w:rsid w:val="007741DC"/>
    <w:rsid w:val="007778B0"/>
    <w:rsid w:val="00787E2A"/>
    <w:rsid w:val="0079200F"/>
    <w:rsid w:val="007926B5"/>
    <w:rsid w:val="00792B0D"/>
    <w:rsid w:val="007A0298"/>
    <w:rsid w:val="007A188F"/>
    <w:rsid w:val="007A59B6"/>
    <w:rsid w:val="007B09B3"/>
    <w:rsid w:val="007C2C07"/>
    <w:rsid w:val="007C3C8D"/>
    <w:rsid w:val="007C739B"/>
    <w:rsid w:val="007E5249"/>
    <w:rsid w:val="007F10E8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47C85"/>
    <w:rsid w:val="008558FC"/>
    <w:rsid w:val="00876D40"/>
    <w:rsid w:val="0088393C"/>
    <w:rsid w:val="0089136A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54B8D"/>
    <w:rsid w:val="00973A3F"/>
    <w:rsid w:val="009841EE"/>
    <w:rsid w:val="00985612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2510"/>
    <w:rsid w:val="009E3E9C"/>
    <w:rsid w:val="009E7B91"/>
    <w:rsid w:val="00A0053A"/>
    <w:rsid w:val="00A04B43"/>
    <w:rsid w:val="00A075BD"/>
    <w:rsid w:val="00A14EBF"/>
    <w:rsid w:val="00A21054"/>
    <w:rsid w:val="00A21BF2"/>
    <w:rsid w:val="00A33D39"/>
    <w:rsid w:val="00A45AA4"/>
    <w:rsid w:val="00A52AEB"/>
    <w:rsid w:val="00A644B2"/>
    <w:rsid w:val="00A714BC"/>
    <w:rsid w:val="00A726F6"/>
    <w:rsid w:val="00A73B8F"/>
    <w:rsid w:val="00A73E19"/>
    <w:rsid w:val="00AA0D0D"/>
    <w:rsid w:val="00AA3C75"/>
    <w:rsid w:val="00AB1BCD"/>
    <w:rsid w:val="00AB5BC7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4C0A"/>
    <w:rsid w:val="00BA727C"/>
    <w:rsid w:val="00BB38B4"/>
    <w:rsid w:val="00BB49C2"/>
    <w:rsid w:val="00BB4FA4"/>
    <w:rsid w:val="00BB63DA"/>
    <w:rsid w:val="00BC1F83"/>
    <w:rsid w:val="00BC6368"/>
    <w:rsid w:val="00BD1B9A"/>
    <w:rsid w:val="00BD5954"/>
    <w:rsid w:val="00BE1FCB"/>
    <w:rsid w:val="00BE336C"/>
    <w:rsid w:val="00BE6B06"/>
    <w:rsid w:val="00BF4D6D"/>
    <w:rsid w:val="00C05E48"/>
    <w:rsid w:val="00C252D6"/>
    <w:rsid w:val="00C270BC"/>
    <w:rsid w:val="00C3157E"/>
    <w:rsid w:val="00C327FA"/>
    <w:rsid w:val="00C34ECD"/>
    <w:rsid w:val="00C37889"/>
    <w:rsid w:val="00C37A61"/>
    <w:rsid w:val="00C42B28"/>
    <w:rsid w:val="00C44220"/>
    <w:rsid w:val="00C5207A"/>
    <w:rsid w:val="00C61338"/>
    <w:rsid w:val="00C61943"/>
    <w:rsid w:val="00C62875"/>
    <w:rsid w:val="00C6433E"/>
    <w:rsid w:val="00C66AE6"/>
    <w:rsid w:val="00C76A22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CC8"/>
    <w:rsid w:val="00D0653C"/>
    <w:rsid w:val="00D13AC0"/>
    <w:rsid w:val="00D1602D"/>
    <w:rsid w:val="00D20E6A"/>
    <w:rsid w:val="00D22D74"/>
    <w:rsid w:val="00D3673D"/>
    <w:rsid w:val="00D40962"/>
    <w:rsid w:val="00D46275"/>
    <w:rsid w:val="00D505FB"/>
    <w:rsid w:val="00D543CF"/>
    <w:rsid w:val="00D54FDA"/>
    <w:rsid w:val="00D674E8"/>
    <w:rsid w:val="00D67DCA"/>
    <w:rsid w:val="00D82A6A"/>
    <w:rsid w:val="00D83AF8"/>
    <w:rsid w:val="00D92ABC"/>
    <w:rsid w:val="00D9453B"/>
    <w:rsid w:val="00DA36E3"/>
    <w:rsid w:val="00DB482A"/>
    <w:rsid w:val="00DC199D"/>
    <w:rsid w:val="00DC4328"/>
    <w:rsid w:val="00DD1C8A"/>
    <w:rsid w:val="00DE18A8"/>
    <w:rsid w:val="00DE753E"/>
    <w:rsid w:val="00DF0FE6"/>
    <w:rsid w:val="00DF5867"/>
    <w:rsid w:val="00E1797E"/>
    <w:rsid w:val="00E22011"/>
    <w:rsid w:val="00E24B05"/>
    <w:rsid w:val="00E27F7A"/>
    <w:rsid w:val="00E33B66"/>
    <w:rsid w:val="00E369EB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FA4"/>
    <w:rsid w:val="00EC4555"/>
    <w:rsid w:val="00ED22BD"/>
    <w:rsid w:val="00EE0C1A"/>
    <w:rsid w:val="00EF37B2"/>
    <w:rsid w:val="00EF3DD0"/>
    <w:rsid w:val="00F01B47"/>
    <w:rsid w:val="00F02544"/>
    <w:rsid w:val="00F060D8"/>
    <w:rsid w:val="00F14570"/>
    <w:rsid w:val="00F203F1"/>
    <w:rsid w:val="00F2132A"/>
    <w:rsid w:val="00F244B4"/>
    <w:rsid w:val="00F323F5"/>
    <w:rsid w:val="00F36D3C"/>
    <w:rsid w:val="00F7627C"/>
    <w:rsid w:val="00F86E68"/>
    <w:rsid w:val="00F86ECD"/>
    <w:rsid w:val="00FA64EF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7C205E0F71E5DB71D81FDC388D438002FC715008ECC85F2C08FFF6449D61EB4C90F54D70478E3978e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5C0F-119A-471B-ADC1-10C3DB5C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1903</Words>
  <Characters>13381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3</cp:revision>
  <cp:lastPrinted>2016-05-17T08:16:00Z</cp:lastPrinted>
  <dcterms:created xsi:type="dcterms:W3CDTF">2016-05-31T13:45:00Z</dcterms:created>
  <dcterms:modified xsi:type="dcterms:W3CDTF">2016-05-31T13:47:00Z</dcterms:modified>
</cp:coreProperties>
</file>