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0F" w:rsidRDefault="00F65631" w:rsidP="00730339">
      <w:pPr>
        <w:spacing w:before="120" w:after="120"/>
        <w:jc w:val="center"/>
        <w:rPr>
          <w:rFonts w:ascii="Tahoma" w:hAnsi="Tahoma" w:cs="Tahoma"/>
          <w:b/>
          <w:sz w:val="22"/>
          <w:szCs w:val="22"/>
        </w:rPr>
      </w:pPr>
      <w:r w:rsidRPr="00730339">
        <w:rPr>
          <w:rFonts w:ascii="Tahoma" w:hAnsi="Tahoma" w:cs="Tahoma"/>
          <w:b/>
          <w:sz w:val="22"/>
          <w:szCs w:val="22"/>
        </w:rPr>
        <w:t xml:space="preserve">Перечень </w:t>
      </w:r>
      <w:r w:rsidR="00E1090F">
        <w:rPr>
          <w:rFonts w:ascii="Tahoma" w:hAnsi="Tahoma" w:cs="Tahoma"/>
          <w:b/>
          <w:sz w:val="22"/>
          <w:szCs w:val="22"/>
        </w:rPr>
        <w:t xml:space="preserve">основных </w:t>
      </w:r>
      <w:r w:rsidRPr="00730339">
        <w:rPr>
          <w:rFonts w:ascii="Tahoma" w:hAnsi="Tahoma" w:cs="Tahoma"/>
          <w:b/>
          <w:sz w:val="22"/>
          <w:szCs w:val="22"/>
        </w:rPr>
        <w:t xml:space="preserve">изменений, внесенных в Правила листинга </w:t>
      </w:r>
    </w:p>
    <w:p w:rsidR="00F65631" w:rsidRDefault="00D96F8B" w:rsidP="00730339">
      <w:pPr>
        <w:spacing w:before="120" w:after="120"/>
        <w:jc w:val="center"/>
        <w:rPr>
          <w:rFonts w:ascii="Tahoma" w:hAnsi="Tahoma" w:cs="Tahoma"/>
          <w:b/>
          <w:sz w:val="22"/>
          <w:szCs w:val="22"/>
        </w:rPr>
      </w:pPr>
      <w:r w:rsidRPr="00730339">
        <w:rPr>
          <w:rFonts w:ascii="Tahoma" w:hAnsi="Tahoma" w:cs="Tahoma"/>
          <w:b/>
          <w:sz w:val="22"/>
          <w:szCs w:val="22"/>
        </w:rPr>
        <w:t xml:space="preserve">ПАО Московская Биржа </w:t>
      </w:r>
      <w:r w:rsidR="00E1090F">
        <w:rPr>
          <w:rFonts w:ascii="Tahoma" w:hAnsi="Tahoma" w:cs="Tahoma"/>
          <w:b/>
          <w:sz w:val="22"/>
          <w:szCs w:val="22"/>
        </w:rPr>
        <w:t>(далее – Правила)</w:t>
      </w:r>
    </w:p>
    <w:p w:rsidR="003E575D" w:rsidRPr="00730339" w:rsidRDefault="003E575D" w:rsidP="00730339">
      <w:pPr>
        <w:spacing w:before="120" w:after="120"/>
        <w:jc w:val="center"/>
        <w:rPr>
          <w:rFonts w:ascii="Tahoma" w:hAnsi="Tahoma" w:cs="Tahoma"/>
          <w:b/>
          <w:sz w:val="22"/>
          <w:szCs w:val="22"/>
        </w:rPr>
      </w:pPr>
    </w:p>
    <w:p w:rsidR="00730339" w:rsidRPr="00730339" w:rsidRDefault="00730339" w:rsidP="00730339">
      <w:pPr>
        <w:pStyle w:val="a8"/>
        <w:numPr>
          <w:ilvl w:val="0"/>
          <w:numId w:val="19"/>
        </w:numPr>
        <w:spacing w:before="120" w:after="120" w:line="240" w:lineRule="auto"/>
        <w:ind w:left="426" w:hanging="426"/>
        <w:jc w:val="both"/>
        <w:rPr>
          <w:rFonts w:ascii="Tahoma" w:hAnsi="Tahoma" w:cs="Tahoma"/>
        </w:rPr>
      </w:pPr>
      <w:r w:rsidRPr="001D7753">
        <w:rPr>
          <w:rFonts w:ascii="Tahoma" w:hAnsi="Tahoma" w:cs="Tahoma"/>
        </w:rPr>
        <w:t>Для включения и поддержания ценных бумаг эмитентов малой и средней капитализации вводится новый сектор Списка ценных бумаг – Сектор Роста,</w:t>
      </w:r>
      <w:r w:rsidRPr="00730339">
        <w:rPr>
          <w:rFonts w:ascii="Tahoma" w:hAnsi="Tahoma" w:cs="Tahoma"/>
        </w:rPr>
        <w:t xml:space="preserve"> предусматривающий следующие требования:</w:t>
      </w:r>
    </w:p>
    <w:p w:rsidR="00730339" w:rsidRPr="00730339" w:rsidRDefault="00730339" w:rsidP="00730339">
      <w:pPr>
        <w:pStyle w:val="a8"/>
        <w:numPr>
          <w:ilvl w:val="0"/>
          <w:numId w:val="21"/>
        </w:numPr>
        <w:spacing w:before="120" w:after="120" w:line="240" w:lineRule="auto"/>
        <w:ind w:left="851" w:hanging="425"/>
        <w:jc w:val="both"/>
        <w:rPr>
          <w:rFonts w:ascii="Tahoma" w:hAnsi="Tahoma" w:cs="Tahoma"/>
        </w:rPr>
      </w:pPr>
      <w:r w:rsidRPr="00730339">
        <w:rPr>
          <w:rFonts w:ascii="Tahoma" w:hAnsi="Tahoma" w:cs="Tahoma"/>
        </w:rPr>
        <w:t xml:space="preserve">акции и облигации могут быть включены во Второй или Третий уровень, выручка за последний год не превышает 10 млрд. руб. по МСФО (при ее отсутствии - по РСБУ), значение </w:t>
      </w:r>
      <w:proofErr w:type="spellStart"/>
      <w:r w:rsidRPr="00730339">
        <w:rPr>
          <w:rFonts w:ascii="Tahoma" w:hAnsi="Tahoma" w:cs="Tahoma"/>
        </w:rPr>
        <w:t>free-float</w:t>
      </w:r>
      <w:proofErr w:type="spellEnd"/>
      <w:r w:rsidRPr="00730339">
        <w:rPr>
          <w:rFonts w:ascii="Tahoma" w:hAnsi="Tahoma" w:cs="Tahoma"/>
        </w:rPr>
        <w:t xml:space="preserve"> при включении во Второй уровень обыкновенных и привилегированных акций должно быть не менее 10% (при поддержании - не ниже 4%), срок существования эмитента/поручителя (гаранта) - не менее 1 года;</w:t>
      </w:r>
    </w:p>
    <w:p w:rsidR="00730339" w:rsidRPr="00730339" w:rsidRDefault="00730339" w:rsidP="00730339">
      <w:pPr>
        <w:pStyle w:val="a8"/>
        <w:numPr>
          <w:ilvl w:val="0"/>
          <w:numId w:val="21"/>
        </w:numPr>
        <w:spacing w:before="120" w:after="120" w:line="240" w:lineRule="auto"/>
        <w:ind w:left="851" w:hanging="425"/>
        <w:jc w:val="both"/>
        <w:rPr>
          <w:rFonts w:ascii="Tahoma" w:hAnsi="Tahoma" w:cs="Tahoma"/>
        </w:rPr>
      </w:pPr>
      <w:r w:rsidRPr="00730339">
        <w:rPr>
          <w:rFonts w:ascii="Tahoma" w:hAnsi="Tahoma" w:cs="Tahoma"/>
        </w:rPr>
        <w:t>для облигаций специализированных обществ установлено требование по наличию финансовой поддержки/гарантии от одного из институтов развития в области поддержки малого и среднего предпринимательства;</w:t>
      </w:r>
    </w:p>
    <w:p w:rsidR="00730339" w:rsidRPr="00730339" w:rsidRDefault="00730339" w:rsidP="00730339">
      <w:pPr>
        <w:pStyle w:val="a8"/>
        <w:numPr>
          <w:ilvl w:val="0"/>
          <w:numId w:val="21"/>
        </w:numPr>
        <w:spacing w:before="120" w:after="120" w:line="240" w:lineRule="auto"/>
        <w:ind w:left="851" w:hanging="425"/>
        <w:jc w:val="both"/>
        <w:rPr>
          <w:rFonts w:ascii="Tahoma" w:hAnsi="Tahoma" w:cs="Tahoma"/>
        </w:rPr>
      </w:pPr>
      <w:r w:rsidRPr="00730339">
        <w:rPr>
          <w:rFonts w:ascii="Tahoma" w:hAnsi="Tahoma" w:cs="Tahoma"/>
        </w:rPr>
        <w:t>для инвестиционных паев паевых инвестиционных фондов предусмотрено условие, что объектами инвестирования имущества, составляющего паевой инвестиционный фонд, являются ценные бумаги (доли в уставных капиталах) обществ, относящихся к субъектам малого и среднего предпринимательства в соответствии с законодательством Российской Федерации.</w:t>
      </w:r>
    </w:p>
    <w:p w:rsidR="00730339" w:rsidRDefault="00730339" w:rsidP="00730339">
      <w:pPr>
        <w:pStyle w:val="a8"/>
        <w:numPr>
          <w:ilvl w:val="0"/>
          <w:numId w:val="19"/>
        </w:numPr>
        <w:spacing w:before="120" w:after="120" w:line="240" w:lineRule="auto"/>
        <w:ind w:left="426" w:hanging="426"/>
        <w:jc w:val="both"/>
        <w:rPr>
          <w:rFonts w:ascii="Tahoma" w:hAnsi="Tahoma" w:cs="Tahoma"/>
        </w:rPr>
      </w:pPr>
      <w:r w:rsidRPr="00730339">
        <w:rPr>
          <w:rFonts w:ascii="Tahoma" w:hAnsi="Tahoma" w:cs="Tahoma"/>
        </w:rPr>
        <w:t>В связи с</w:t>
      </w:r>
      <w:r w:rsidR="00865AD4">
        <w:rPr>
          <w:rFonts w:ascii="Tahoma" w:hAnsi="Tahoma" w:cs="Tahoma"/>
        </w:rPr>
        <w:t xml:space="preserve">о вступлением в силу 04.07.2017 </w:t>
      </w:r>
      <w:r w:rsidRPr="00730339">
        <w:rPr>
          <w:rFonts w:ascii="Tahoma" w:hAnsi="Tahoma" w:cs="Tahoma"/>
        </w:rPr>
        <w:t>изменений в положение Банка России</w:t>
      </w:r>
      <w:r w:rsidRPr="00730339">
        <w:rPr>
          <w:rFonts w:ascii="Tahoma" w:eastAsia="Times New Roman" w:hAnsi="Tahoma" w:cs="Tahoma"/>
          <w:vertAlign w:val="superscript"/>
        </w:rPr>
        <w:footnoteReference w:id="1"/>
      </w:r>
      <w:r w:rsidRPr="00730339">
        <w:rPr>
          <w:rFonts w:ascii="Tahoma" w:hAnsi="Tahoma" w:cs="Tahoma"/>
        </w:rPr>
        <w:t>, исключающи</w:t>
      </w:r>
      <w:r w:rsidR="00865AD4">
        <w:rPr>
          <w:rFonts w:ascii="Tahoma" w:hAnsi="Tahoma" w:cs="Tahoma"/>
        </w:rPr>
        <w:t>х</w:t>
      </w:r>
      <w:r w:rsidRPr="00730339">
        <w:rPr>
          <w:rFonts w:ascii="Tahoma" w:hAnsi="Tahoma" w:cs="Tahoma"/>
        </w:rPr>
        <w:t xml:space="preserve"> требования к наличию кредитного рейтинга как критерия листинга, Правила предусматривают</w:t>
      </w:r>
      <w:r w:rsidR="005D5938">
        <w:rPr>
          <w:rFonts w:ascii="Tahoma" w:hAnsi="Tahoma" w:cs="Tahoma"/>
        </w:rPr>
        <w:t xml:space="preserve">, что Биржа </w:t>
      </w:r>
      <w:r w:rsidR="00204406">
        <w:rPr>
          <w:rFonts w:ascii="Tahoma" w:hAnsi="Tahoma" w:cs="Tahoma"/>
        </w:rPr>
        <w:t xml:space="preserve">устанавливает одним из условий </w:t>
      </w:r>
      <w:r>
        <w:rPr>
          <w:rFonts w:ascii="Tahoma" w:hAnsi="Tahoma" w:cs="Tahoma"/>
        </w:rPr>
        <w:t>включения и поддержания</w:t>
      </w:r>
      <w:r w:rsidRPr="00730339">
        <w:rPr>
          <w:rFonts w:ascii="Tahoma" w:hAnsi="Tahoma" w:cs="Tahoma"/>
        </w:rPr>
        <w:t xml:space="preserve"> облигаций и ипотечных сертификатов участия в </w:t>
      </w:r>
      <w:r>
        <w:rPr>
          <w:rFonts w:ascii="Tahoma" w:hAnsi="Tahoma" w:cs="Tahoma"/>
        </w:rPr>
        <w:t>к</w:t>
      </w:r>
      <w:r w:rsidRPr="00730339">
        <w:rPr>
          <w:rFonts w:ascii="Tahoma" w:hAnsi="Tahoma" w:cs="Tahoma"/>
        </w:rPr>
        <w:t xml:space="preserve">отировальном списке </w:t>
      </w:r>
      <w:r>
        <w:rPr>
          <w:rFonts w:ascii="Tahoma" w:hAnsi="Tahoma" w:cs="Tahoma"/>
        </w:rPr>
        <w:t>П</w:t>
      </w:r>
      <w:r w:rsidRPr="00730339">
        <w:rPr>
          <w:rFonts w:ascii="Tahoma" w:hAnsi="Tahoma" w:cs="Tahoma"/>
        </w:rPr>
        <w:t xml:space="preserve">ервого </w:t>
      </w:r>
      <w:r w:rsidR="00F54D72">
        <w:rPr>
          <w:rFonts w:ascii="Tahoma" w:hAnsi="Tahoma" w:cs="Tahoma"/>
        </w:rPr>
        <w:t xml:space="preserve">уровня </w:t>
      </w:r>
      <w:r w:rsidR="00A44C73" w:rsidRPr="00730339">
        <w:rPr>
          <w:rFonts w:ascii="Tahoma" w:hAnsi="Tahoma" w:cs="Tahoma"/>
        </w:rPr>
        <w:t>наличи</w:t>
      </w:r>
      <w:r w:rsidR="00204406">
        <w:rPr>
          <w:rFonts w:ascii="Tahoma" w:hAnsi="Tahoma" w:cs="Tahoma"/>
        </w:rPr>
        <w:t>е</w:t>
      </w:r>
      <w:r w:rsidR="00A44C73" w:rsidRPr="00730339">
        <w:rPr>
          <w:rFonts w:ascii="Tahoma" w:hAnsi="Tahoma" w:cs="Tahoma"/>
        </w:rPr>
        <w:t xml:space="preserve"> рейт</w:t>
      </w:r>
      <w:r w:rsidR="00A44C73">
        <w:rPr>
          <w:rFonts w:ascii="Tahoma" w:hAnsi="Tahoma" w:cs="Tahoma"/>
        </w:rPr>
        <w:t xml:space="preserve">инга, </w:t>
      </w:r>
      <w:r w:rsidR="00F9481D">
        <w:rPr>
          <w:rFonts w:ascii="Tahoma" w:hAnsi="Tahoma" w:cs="Tahoma"/>
        </w:rPr>
        <w:t>требования к минимальному уровню которого устанавливаются Биржей</w:t>
      </w:r>
      <w:r w:rsidRPr="00730339">
        <w:rPr>
          <w:rFonts w:ascii="Tahoma" w:hAnsi="Tahoma" w:cs="Tahoma"/>
        </w:rPr>
        <w:t>.</w:t>
      </w:r>
    </w:p>
    <w:p w:rsidR="00730339" w:rsidRPr="00730339" w:rsidRDefault="00730339" w:rsidP="00730339">
      <w:pPr>
        <w:spacing w:before="120" w:after="120"/>
        <w:ind w:left="426"/>
        <w:jc w:val="both"/>
        <w:rPr>
          <w:rFonts w:ascii="Tahoma" w:hAnsi="Tahoma" w:cs="Tahoma"/>
          <w:sz w:val="22"/>
          <w:szCs w:val="22"/>
        </w:rPr>
      </w:pPr>
      <w:r w:rsidRPr="00730339">
        <w:rPr>
          <w:rFonts w:ascii="Tahoma" w:hAnsi="Tahoma" w:cs="Tahoma"/>
          <w:sz w:val="22"/>
          <w:szCs w:val="22"/>
        </w:rPr>
        <w:t xml:space="preserve">Перечень рейтинговых агентств и уровни кредитных рейтингов </w:t>
      </w:r>
      <w:r w:rsidR="00865AD4" w:rsidRPr="00865AD4">
        <w:rPr>
          <w:rFonts w:ascii="Tahoma" w:hAnsi="Tahoma" w:cs="Tahoma"/>
          <w:sz w:val="22"/>
          <w:szCs w:val="22"/>
        </w:rPr>
        <w:t xml:space="preserve">эмитента, поручителя (гаранта) или выпуска ценных бумаг (рейтингов ценных бумаг), </w:t>
      </w:r>
      <w:r w:rsidRPr="00730339">
        <w:rPr>
          <w:rFonts w:ascii="Tahoma" w:hAnsi="Tahoma" w:cs="Tahoma"/>
          <w:sz w:val="22"/>
          <w:szCs w:val="22"/>
        </w:rPr>
        <w:t>утверждаются Председателем Правления Биржи по согласованию с Наблюдательным советом Биржи</w:t>
      </w:r>
      <w:r>
        <w:rPr>
          <w:rFonts w:ascii="Tahoma" w:hAnsi="Tahoma" w:cs="Tahoma"/>
          <w:sz w:val="22"/>
          <w:szCs w:val="22"/>
        </w:rPr>
        <w:t>.</w:t>
      </w:r>
    </w:p>
    <w:p w:rsidR="00730339" w:rsidRPr="00730339" w:rsidRDefault="00730339" w:rsidP="00F9481D">
      <w:pPr>
        <w:spacing w:before="120" w:after="120"/>
        <w:ind w:left="426"/>
        <w:jc w:val="both"/>
        <w:rPr>
          <w:rFonts w:ascii="Tahoma" w:hAnsi="Tahoma" w:cs="Tahoma"/>
          <w:sz w:val="22"/>
          <w:szCs w:val="22"/>
        </w:rPr>
      </w:pPr>
      <w:r w:rsidRPr="00730339">
        <w:rPr>
          <w:rFonts w:ascii="Tahoma" w:hAnsi="Tahoma" w:cs="Tahoma"/>
          <w:sz w:val="22"/>
          <w:szCs w:val="22"/>
        </w:rPr>
        <w:t xml:space="preserve">Для включения/поддержания в Первом уровне </w:t>
      </w:r>
      <w:r w:rsidRPr="009A1438">
        <w:rPr>
          <w:rFonts w:ascii="Tahoma" w:hAnsi="Tahoma" w:cs="Tahoma"/>
          <w:sz w:val="22"/>
          <w:szCs w:val="22"/>
        </w:rPr>
        <w:t>облигаций</w:t>
      </w:r>
      <w:r w:rsidR="00F9481D" w:rsidRPr="009A1438">
        <w:rPr>
          <w:rFonts w:ascii="Tahoma" w:hAnsi="Tahoma" w:cs="Tahoma"/>
          <w:sz w:val="22"/>
          <w:szCs w:val="22"/>
        </w:rPr>
        <w:t xml:space="preserve"> и ипотечных сертификатов участи</w:t>
      </w:r>
      <w:r w:rsidR="009A1438" w:rsidRPr="009A1438">
        <w:rPr>
          <w:rFonts w:ascii="Tahoma" w:hAnsi="Tahoma" w:cs="Tahoma"/>
          <w:sz w:val="22"/>
          <w:szCs w:val="22"/>
        </w:rPr>
        <w:t>я</w:t>
      </w:r>
      <w:r w:rsidRPr="00730339">
        <w:rPr>
          <w:rFonts w:ascii="Tahoma" w:hAnsi="Tahoma" w:cs="Tahoma"/>
          <w:sz w:val="22"/>
          <w:szCs w:val="22"/>
        </w:rPr>
        <w:t xml:space="preserve"> </w:t>
      </w:r>
      <w:r w:rsidR="005D5938">
        <w:rPr>
          <w:rFonts w:ascii="Tahoma" w:hAnsi="Tahoma" w:cs="Tahoma"/>
          <w:sz w:val="22"/>
          <w:szCs w:val="22"/>
        </w:rPr>
        <w:t>применяются</w:t>
      </w:r>
      <w:r w:rsidRPr="00730339">
        <w:rPr>
          <w:rFonts w:ascii="Tahoma" w:hAnsi="Tahoma" w:cs="Tahoma"/>
          <w:sz w:val="22"/>
          <w:szCs w:val="22"/>
        </w:rPr>
        <w:t xml:space="preserve"> следующие требования к минимальным уровням кредитных рейтингов эмитента </w:t>
      </w:r>
      <w:r w:rsidR="00F9481D">
        <w:rPr>
          <w:rFonts w:ascii="Tahoma" w:hAnsi="Tahoma" w:cs="Tahoma"/>
          <w:sz w:val="22"/>
          <w:szCs w:val="22"/>
        </w:rPr>
        <w:t xml:space="preserve">или </w:t>
      </w:r>
      <w:r w:rsidRPr="00730339">
        <w:rPr>
          <w:rFonts w:ascii="Tahoma" w:hAnsi="Tahoma" w:cs="Tahoma"/>
          <w:sz w:val="22"/>
          <w:szCs w:val="22"/>
        </w:rPr>
        <w:t>выпуска облигаций</w:t>
      </w:r>
      <w:r w:rsidR="00F9481D">
        <w:rPr>
          <w:rFonts w:ascii="Tahoma" w:hAnsi="Tahoma" w:cs="Tahoma"/>
          <w:sz w:val="22"/>
          <w:szCs w:val="22"/>
        </w:rPr>
        <w:t xml:space="preserve"> (</w:t>
      </w:r>
      <w:r w:rsidR="00F9481D" w:rsidRPr="00865AD4">
        <w:rPr>
          <w:rFonts w:ascii="Tahoma" w:hAnsi="Tahoma" w:cs="Tahoma"/>
          <w:sz w:val="22"/>
          <w:szCs w:val="22"/>
        </w:rPr>
        <w:t xml:space="preserve">рейтингов </w:t>
      </w:r>
      <w:r w:rsidR="00F9481D">
        <w:rPr>
          <w:rFonts w:ascii="Tahoma" w:hAnsi="Tahoma" w:cs="Tahoma"/>
          <w:sz w:val="22"/>
          <w:szCs w:val="22"/>
        </w:rPr>
        <w:t>ипотечных сертификатов участия</w:t>
      </w:r>
      <w:r w:rsidRPr="00730339">
        <w:rPr>
          <w:rFonts w:ascii="Tahoma" w:hAnsi="Tahoma" w:cs="Tahoma"/>
          <w:sz w:val="22"/>
          <w:szCs w:val="22"/>
        </w:rPr>
        <w:t>) и/или поручителя (гаранта):</w:t>
      </w:r>
    </w:p>
    <w:p w:rsidR="00F9481D" w:rsidRPr="00E54707" w:rsidRDefault="00F9481D" w:rsidP="00730339">
      <w:pPr>
        <w:pStyle w:val="a8"/>
        <w:numPr>
          <w:ilvl w:val="0"/>
          <w:numId w:val="22"/>
        </w:numPr>
        <w:spacing w:before="120" w:after="120" w:line="240" w:lineRule="auto"/>
        <w:ind w:left="851" w:hanging="425"/>
        <w:jc w:val="both"/>
        <w:rPr>
          <w:rStyle w:val="afb"/>
          <w:rFonts w:ascii="Tahoma" w:hAnsi="Tahoma" w:cs="Tahoma"/>
          <w:i/>
        </w:rPr>
      </w:pPr>
      <w:r w:rsidRPr="00E54707">
        <w:rPr>
          <w:rStyle w:val="afb"/>
          <w:rFonts w:ascii="Tahoma" w:hAnsi="Tahoma" w:cs="Tahoma"/>
          <w:i/>
        </w:rPr>
        <w:t>для облигаций (за исключением облигаций, указанных ниже)</w:t>
      </w:r>
    </w:p>
    <w:p w:rsidR="00730339" w:rsidRPr="00F9481D" w:rsidRDefault="00730339" w:rsidP="00F9481D">
      <w:pPr>
        <w:spacing w:before="120" w:after="120"/>
        <w:ind w:left="426" w:firstLine="283"/>
        <w:jc w:val="both"/>
        <w:rPr>
          <w:rFonts w:ascii="Tahoma" w:hAnsi="Tahoma" w:cs="Tahoma"/>
          <w:sz w:val="22"/>
          <w:szCs w:val="22"/>
        </w:rPr>
      </w:pPr>
      <w:r w:rsidRPr="00F9481D">
        <w:rPr>
          <w:rFonts w:ascii="Tahoma" w:hAnsi="Tahoma" w:cs="Tahoma"/>
          <w:sz w:val="22"/>
          <w:szCs w:val="22"/>
        </w:rPr>
        <w:t>по международной шкале:</w:t>
      </w:r>
    </w:p>
    <w:p w:rsidR="00730339" w:rsidRPr="005859FA" w:rsidRDefault="00730339" w:rsidP="00501F1E">
      <w:pPr>
        <w:ind w:left="851"/>
        <w:jc w:val="both"/>
        <w:rPr>
          <w:rFonts w:ascii="Tahoma" w:hAnsi="Tahoma" w:cs="Tahoma"/>
          <w:sz w:val="22"/>
          <w:szCs w:val="22"/>
        </w:rPr>
      </w:pPr>
      <w:r w:rsidRPr="00501F1E">
        <w:rPr>
          <w:rFonts w:ascii="Tahoma" w:hAnsi="Tahoma" w:cs="Tahoma"/>
          <w:bCs/>
          <w:sz w:val="22"/>
          <w:szCs w:val="22"/>
          <w:lang w:val="en-US"/>
        </w:rPr>
        <w:t>Fitch</w:t>
      </w:r>
      <w:r w:rsidRPr="005859FA">
        <w:rPr>
          <w:rFonts w:ascii="Tahoma" w:hAnsi="Tahoma" w:cs="Tahoma"/>
          <w:bCs/>
          <w:sz w:val="22"/>
          <w:szCs w:val="22"/>
        </w:rPr>
        <w:t xml:space="preserve"> </w:t>
      </w:r>
      <w:r w:rsidRPr="00501F1E">
        <w:rPr>
          <w:rFonts w:ascii="Tahoma" w:hAnsi="Tahoma" w:cs="Tahoma"/>
          <w:bCs/>
          <w:sz w:val="22"/>
          <w:szCs w:val="22"/>
          <w:lang w:val="en-US"/>
        </w:rPr>
        <w:t>Ratings</w:t>
      </w:r>
      <w:r w:rsidRPr="005859FA">
        <w:rPr>
          <w:rFonts w:ascii="Tahoma" w:hAnsi="Tahoma" w:cs="Tahoma"/>
          <w:bCs/>
          <w:sz w:val="22"/>
          <w:szCs w:val="22"/>
        </w:rPr>
        <w:t xml:space="preserve"> – «</w:t>
      </w:r>
      <w:r w:rsidRPr="00501F1E">
        <w:rPr>
          <w:rFonts w:ascii="Tahoma" w:hAnsi="Tahoma" w:cs="Tahoma"/>
          <w:bCs/>
          <w:sz w:val="22"/>
          <w:szCs w:val="22"/>
          <w:lang w:val="en-US"/>
        </w:rPr>
        <w:t>BB</w:t>
      </w:r>
      <w:r w:rsidRPr="005859FA">
        <w:rPr>
          <w:rFonts w:ascii="Tahoma" w:hAnsi="Tahoma" w:cs="Tahoma"/>
          <w:bCs/>
          <w:sz w:val="22"/>
          <w:szCs w:val="22"/>
        </w:rPr>
        <w:t>-»,</w:t>
      </w:r>
    </w:p>
    <w:p w:rsidR="00730339" w:rsidRPr="00501F1E" w:rsidRDefault="00730339" w:rsidP="00501F1E">
      <w:pPr>
        <w:tabs>
          <w:tab w:val="left" w:pos="6300"/>
        </w:tabs>
        <w:ind w:left="851"/>
        <w:jc w:val="both"/>
        <w:rPr>
          <w:rFonts w:ascii="Tahoma" w:hAnsi="Tahoma" w:cs="Tahoma"/>
          <w:sz w:val="22"/>
          <w:szCs w:val="22"/>
          <w:lang w:val="en-US"/>
        </w:rPr>
      </w:pPr>
      <w:r w:rsidRPr="00501F1E">
        <w:rPr>
          <w:rFonts w:ascii="Tahoma" w:hAnsi="Tahoma" w:cs="Tahoma"/>
          <w:bCs/>
          <w:sz w:val="22"/>
          <w:szCs w:val="22"/>
          <w:lang w:val="en-US"/>
        </w:rPr>
        <w:t xml:space="preserve">Moody's Investors Service – «B1», </w:t>
      </w:r>
    </w:p>
    <w:p w:rsidR="00730339" w:rsidRPr="00501F1E" w:rsidRDefault="00730339" w:rsidP="00501F1E">
      <w:pPr>
        <w:ind w:left="851"/>
        <w:jc w:val="both"/>
        <w:rPr>
          <w:rFonts w:ascii="Tahoma" w:hAnsi="Tahoma" w:cs="Tahoma"/>
          <w:sz w:val="22"/>
          <w:szCs w:val="22"/>
        </w:rPr>
      </w:pPr>
      <w:r w:rsidRPr="00501F1E">
        <w:rPr>
          <w:rFonts w:ascii="Tahoma" w:hAnsi="Tahoma" w:cs="Tahoma"/>
          <w:bCs/>
          <w:sz w:val="22"/>
          <w:szCs w:val="22"/>
          <w:lang w:val="en-US"/>
        </w:rPr>
        <w:t xml:space="preserve">Standard and Poor's International Services, Inc.  </w:t>
      </w:r>
      <w:r w:rsidRPr="00501F1E">
        <w:rPr>
          <w:rFonts w:ascii="Tahoma" w:hAnsi="Tahoma" w:cs="Tahoma"/>
          <w:bCs/>
          <w:sz w:val="22"/>
          <w:szCs w:val="22"/>
        </w:rPr>
        <w:t>– «</w:t>
      </w:r>
      <w:r w:rsidRPr="00501F1E">
        <w:rPr>
          <w:rFonts w:ascii="Tahoma" w:hAnsi="Tahoma" w:cs="Tahoma"/>
          <w:bCs/>
          <w:sz w:val="22"/>
          <w:szCs w:val="22"/>
          <w:lang w:val="en-US"/>
        </w:rPr>
        <w:t>BB</w:t>
      </w:r>
      <w:r w:rsidRPr="00501F1E">
        <w:rPr>
          <w:rFonts w:ascii="Tahoma" w:hAnsi="Tahoma" w:cs="Tahoma"/>
          <w:bCs/>
          <w:sz w:val="22"/>
          <w:szCs w:val="22"/>
        </w:rPr>
        <w:t>-»,</w:t>
      </w:r>
    </w:p>
    <w:p w:rsidR="00730339" w:rsidRPr="00730339" w:rsidRDefault="00730339" w:rsidP="00730339">
      <w:pPr>
        <w:spacing w:before="120" w:after="120"/>
        <w:ind w:left="426" w:firstLine="283"/>
        <w:jc w:val="both"/>
        <w:rPr>
          <w:rFonts w:ascii="Tahoma" w:hAnsi="Tahoma" w:cs="Tahoma"/>
          <w:sz w:val="22"/>
          <w:szCs w:val="22"/>
        </w:rPr>
      </w:pPr>
      <w:r w:rsidRPr="00730339">
        <w:rPr>
          <w:rFonts w:ascii="Tahoma" w:hAnsi="Tahoma" w:cs="Tahoma"/>
          <w:sz w:val="22"/>
          <w:szCs w:val="22"/>
        </w:rPr>
        <w:t>по национальной шкале:</w:t>
      </w:r>
    </w:p>
    <w:p w:rsidR="00730339" w:rsidRPr="00501F1E" w:rsidRDefault="00730339" w:rsidP="00501F1E">
      <w:pPr>
        <w:tabs>
          <w:tab w:val="left" w:pos="630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501F1E">
        <w:rPr>
          <w:rFonts w:ascii="Tahoma" w:hAnsi="Tahoma" w:cs="Tahoma"/>
          <w:bCs/>
          <w:sz w:val="22"/>
          <w:szCs w:val="22"/>
        </w:rPr>
        <w:t xml:space="preserve">АКРА (АО) - «BBB+(RU)», </w:t>
      </w:r>
    </w:p>
    <w:p w:rsidR="00730339" w:rsidRPr="00501F1E" w:rsidRDefault="00730339" w:rsidP="00501F1E">
      <w:pPr>
        <w:ind w:left="851"/>
        <w:jc w:val="both"/>
        <w:rPr>
          <w:rFonts w:ascii="Tahoma" w:hAnsi="Tahoma" w:cs="Tahoma"/>
          <w:sz w:val="22"/>
          <w:szCs w:val="22"/>
        </w:rPr>
      </w:pPr>
      <w:r w:rsidRPr="00501F1E">
        <w:rPr>
          <w:rFonts w:ascii="Tahoma" w:hAnsi="Tahoma" w:cs="Tahoma"/>
          <w:bCs/>
          <w:sz w:val="22"/>
          <w:szCs w:val="22"/>
        </w:rPr>
        <w:t>АО «Эксперт РА» - «</w:t>
      </w:r>
      <w:proofErr w:type="spellStart"/>
      <w:r w:rsidRPr="00501F1E">
        <w:rPr>
          <w:rFonts w:ascii="Tahoma" w:hAnsi="Tahoma" w:cs="Tahoma"/>
          <w:bCs/>
          <w:sz w:val="22"/>
          <w:szCs w:val="22"/>
          <w:lang w:val="en-US"/>
        </w:rPr>
        <w:t>ru</w:t>
      </w:r>
      <w:proofErr w:type="spellEnd"/>
      <w:r w:rsidRPr="00501F1E">
        <w:rPr>
          <w:rFonts w:ascii="Tahoma" w:hAnsi="Tahoma" w:cs="Tahoma"/>
          <w:bCs/>
          <w:sz w:val="22"/>
          <w:szCs w:val="22"/>
        </w:rPr>
        <w:t>BBB+»</w:t>
      </w:r>
      <w:r w:rsidR="00501F1E">
        <w:rPr>
          <w:rFonts w:ascii="Tahoma" w:hAnsi="Tahoma" w:cs="Tahoma"/>
          <w:bCs/>
          <w:sz w:val="22"/>
          <w:szCs w:val="22"/>
        </w:rPr>
        <w:t>;</w:t>
      </w:r>
    </w:p>
    <w:p w:rsidR="00730339" w:rsidRPr="00E54707" w:rsidRDefault="00730339" w:rsidP="00730339">
      <w:pPr>
        <w:pStyle w:val="a8"/>
        <w:numPr>
          <w:ilvl w:val="0"/>
          <w:numId w:val="22"/>
        </w:numPr>
        <w:spacing w:before="120" w:after="120" w:line="240" w:lineRule="auto"/>
        <w:ind w:left="851" w:hanging="425"/>
        <w:jc w:val="both"/>
        <w:rPr>
          <w:rFonts w:ascii="Tahoma" w:hAnsi="Tahoma" w:cs="Tahoma"/>
          <w:i/>
        </w:rPr>
      </w:pPr>
      <w:r w:rsidRPr="00730339">
        <w:rPr>
          <w:rStyle w:val="afb"/>
          <w:rFonts w:ascii="Tahoma" w:hAnsi="Tahoma" w:cs="Tahoma"/>
        </w:rPr>
        <w:t xml:space="preserve">для </w:t>
      </w:r>
      <w:r w:rsidRPr="00E54707">
        <w:rPr>
          <w:rStyle w:val="afb"/>
          <w:rFonts w:ascii="Tahoma" w:hAnsi="Tahoma" w:cs="Tahoma"/>
          <w:i/>
        </w:rPr>
        <w:t>облигаций решения о выпуске которых</w:t>
      </w:r>
      <w:r w:rsidRPr="00E54707">
        <w:rPr>
          <w:rFonts w:ascii="Tahoma" w:hAnsi="Tahoma" w:cs="Tahoma"/>
          <w:i/>
        </w:rPr>
        <w:t xml:space="preserve"> </w:t>
      </w:r>
      <w:r w:rsidRPr="00E54707">
        <w:rPr>
          <w:rStyle w:val="afb"/>
          <w:rFonts w:ascii="Tahoma" w:hAnsi="Tahoma" w:cs="Tahoma"/>
          <w:i/>
        </w:rPr>
        <w:t>содержат положение о том</w:t>
      </w:r>
      <w:r w:rsidRPr="00E54707">
        <w:rPr>
          <w:rFonts w:ascii="Tahoma" w:hAnsi="Tahoma" w:cs="Tahoma"/>
          <w:i/>
        </w:rPr>
        <w:t xml:space="preserve">, </w:t>
      </w:r>
      <w:r w:rsidRPr="00E54707">
        <w:rPr>
          <w:rStyle w:val="afb"/>
          <w:rFonts w:ascii="Tahoma" w:hAnsi="Tahoma" w:cs="Tahoma"/>
          <w:i/>
        </w:rPr>
        <w:t>что в случае несостоятельности эмитента требования по этому облигационному займу</w:t>
      </w:r>
      <w:r w:rsidRPr="00E54707">
        <w:rPr>
          <w:rFonts w:ascii="Tahoma" w:hAnsi="Tahoma" w:cs="Tahoma"/>
          <w:i/>
        </w:rPr>
        <w:t xml:space="preserve">, </w:t>
      </w:r>
      <w:r w:rsidRPr="00E54707">
        <w:rPr>
          <w:rStyle w:val="afb"/>
          <w:rFonts w:ascii="Tahoma" w:hAnsi="Tahoma" w:cs="Tahoma"/>
          <w:i/>
        </w:rPr>
        <w:t>а также по финансовым санкциям за неисполнение обязательств по облигационному займу</w:t>
      </w:r>
      <w:r w:rsidRPr="00E54707">
        <w:rPr>
          <w:rFonts w:ascii="Tahoma" w:hAnsi="Tahoma" w:cs="Tahoma"/>
          <w:i/>
        </w:rPr>
        <w:t xml:space="preserve">, </w:t>
      </w:r>
      <w:r w:rsidRPr="00E54707">
        <w:rPr>
          <w:rStyle w:val="afb"/>
          <w:rFonts w:ascii="Tahoma" w:hAnsi="Tahoma" w:cs="Tahoma"/>
          <w:i/>
        </w:rPr>
        <w:t>удовлетворяются после удовлетворения требований всех иных кредиторов</w:t>
      </w:r>
    </w:p>
    <w:p w:rsidR="00730339" w:rsidRPr="00730339" w:rsidRDefault="00730339" w:rsidP="00730339">
      <w:pPr>
        <w:spacing w:before="120" w:after="120"/>
        <w:ind w:left="360" w:firstLine="349"/>
        <w:jc w:val="both"/>
        <w:rPr>
          <w:rFonts w:ascii="Tahoma" w:hAnsi="Tahoma" w:cs="Tahoma"/>
          <w:sz w:val="22"/>
          <w:szCs w:val="22"/>
        </w:rPr>
      </w:pPr>
      <w:r w:rsidRPr="00730339">
        <w:rPr>
          <w:rFonts w:ascii="Tahoma" w:hAnsi="Tahoma" w:cs="Tahoma"/>
          <w:sz w:val="22"/>
          <w:szCs w:val="22"/>
        </w:rPr>
        <w:t>по международной шкале:</w:t>
      </w:r>
    </w:p>
    <w:p w:rsidR="00730339" w:rsidRPr="0004346D" w:rsidRDefault="00730339" w:rsidP="0004346D">
      <w:pPr>
        <w:ind w:left="851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04346D">
        <w:rPr>
          <w:rFonts w:ascii="Tahoma" w:hAnsi="Tahoma" w:cs="Tahoma"/>
          <w:bCs/>
          <w:sz w:val="22"/>
          <w:szCs w:val="22"/>
          <w:lang w:val="en-US"/>
        </w:rPr>
        <w:t>Fitch Ratings – «BB»,</w:t>
      </w:r>
    </w:p>
    <w:p w:rsidR="00730339" w:rsidRPr="0004346D" w:rsidRDefault="00730339" w:rsidP="0004346D">
      <w:pPr>
        <w:ind w:left="851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04346D">
        <w:rPr>
          <w:rFonts w:ascii="Tahoma" w:hAnsi="Tahoma" w:cs="Tahoma"/>
          <w:bCs/>
          <w:sz w:val="22"/>
          <w:szCs w:val="22"/>
          <w:lang w:val="en-US"/>
        </w:rPr>
        <w:t xml:space="preserve">Moody's Investors Service – «Ba3», </w:t>
      </w:r>
    </w:p>
    <w:p w:rsidR="00730339" w:rsidRPr="00E1090F" w:rsidRDefault="00730339" w:rsidP="0004346D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04346D">
        <w:rPr>
          <w:rFonts w:ascii="Tahoma" w:hAnsi="Tahoma" w:cs="Tahoma"/>
          <w:bCs/>
          <w:sz w:val="22"/>
          <w:szCs w:val="22"/>
          <w:lang w:val="en-US"/>
        </w:rPr>
        <w:t xml:space="preserve">Standard and Poor's International Services, Inc.  </w:t>
      </w:r>
      <w:r w:rsidRPr="00E1090F">
        <w:rPr>
          <w:rFonts w:ascii="Tahoma" w:hAnsi="Tahoma" w:cs="Tahoma"/>
          <w:bCs/>
          <w:sz w:val="22"/>
          <w:szCs w:val="22"/>
        </w:rPr>
        <w:t>– «</w:t>
      </w:r>
      <w:r w:rsidRPr="0004346D">
        <w:rPr>
          <w:rFonts w:ascii="Tahoma" w:hAnsi="Tahoma" w:cs="Tahoma"/>
          <w:bCs/>
          <w:sz w:val="22"/>
          <w:szCs w:val="22"/>
          <w:lang w:val="en-US"/>
        </w:rPr>
        <w:t>BB</w:t>
      </w:r>
      <w:r w:rsidRPr="00E1090F">
        <w:rPr>
          <w:rFonts w:ascii="Tahoma" w:hAnsi="Tahoma" w:cs="Tahoma"/>
          <w:bCs/>
          <w:sz w:val="22"/>
          <w:szCs w:val="22"/>
        </w:rPr>
        <w:t>»,</w:t>
      </w:r>
    </w:p>
    <w:p w:rsidR="00730339" w:rsidRPr="00730339" w:rsidRDefault="00730339" w:rsidP="00730339">
      <w:pPr>
        <w:spacing w:before="120" w:after="120"/>
        <w:ind w:left="360" w:firstLine="349"/>
        <w:jc w:val="both"/>
        <w:rPr>
          <w:rFonts w:ascii="Tahoma" w:hAnsi="Tahoma" w:cs="Tahoma"/>
          <w:sz w:val="22"/>
          <w:szCs w:val="22"/>
        </w:rPr>
      </w:pPr>
      <w:r w:rsidRPr="00730339">
        <w:rPr>
          <w:rFonts w:ascii="Tahoma" w:hAnsi="Tahoma" w:cs="Tahoma"/>
          <w:sz w:val="22"/>
          <w:szCs w:val="22"/>
        </w:rPr>
        <w:lastRenderedPageBreak/>
        <w:t>по национальной шкале:</w:t>
      </w:r>
    </w:p>
    <w:p w:rsidR="00730339" w:rsidRPr="00E1090F" w:rsidRDefault="00730339" w:rsidP="0004346D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E1090F">
        <w:rPr>
          <w:rFonts w:ascii="Tahoma" w:hAnsi="Tahoma" w:cs="Tahoma"/>
          <w:bCs/>
          <w:sz w:val="22"/>
          <w:szCs w:val="22"/>
        </w:rPr>
        <w:t>АКРА (АО) - «А-(</w:t>
      </w:r>
      <w:r w:rsidRPr="0004346D">
        <w:rPr>
          <w:rFonts w:ascii="Tahoma" w:hAnsi="Tahoma" w:cs="Tahoma"/>
          <w:bCs/>
          <w:sz w:val="22"/>
          <w:szCs w:val="22"/>
          <w:lang w:val="en-US"/>
        </w:rPr>
        <w:t>RU</w:t>
      </w:r>
      <w:r w:rsidRPr="00E1090F">
        <w:rPr>
          <w:rFonts w:ascii="Tahoma" w:hAnsi="Tahoma" w:cs="Tahoma"/>
          <w:bCs/>
          <w:sz w:val="22"/>
          <w:szCs w:val="22"/>
        </w:rPr>
        <w:t>)».</w:t>
      </w:r>
    </w:p>
    <w:p w:rsidR="00730339" w:rsidRPr="00730339" w:rsidRDefault="00730339" w:rsidP="00730339">
      <w:pPr>
        <w:spacing w:before="120" w:after="120"/>
        <w:ind w:left="426"/>
        <w:jc w:val="both"/>
        <w:rPr>
          <w:rFonts w:ascii="Tahoma" w:hAnsi="Tahoma" w:cs="Tahoma"/>
          <w:sz w:val="22"/>
          <w:szCs w:val="22"/>
        </w:rPr>
      </w:pPr>
      <w:r w:rsidRPr="00730339">
        <w:rPr>
          <w:rStyle w:val="afb"/>
          <w:rFonts w:ascii="Tahoma" w:hAnsi="Tahoma" w:cs="Tahoma"/>
          <w:sz w:val="22"/>
          <w:szCs w:val="22"/>
        </w:rPr>
        <w:t xml:space="preserve">Переходные положения, применяемые для поддержания облигаций, включенных в Первый уровень до 07.06.2016, будут отменены и к таким ценным бумагам будут применены уровни рейтингов, устанавливаемые Биржей. </w:t>
      </w:r>
    </w:p>
    <w:p w:rsidR="00730339" w:rsidRDefault="00730339" w:rsidP="00730339">
      <w:pPr>
        <w:spacing w:before="120" w:after="120"/>
        <w:ind w:left="426"/>
        <w:jc w:val="both"/>
        <w:rPr>
          <w:rStyle w:val="afb"/>
          <w:rFonts w:ascii="Tahoma" w:hAnsi="Tahoma" w:cs="Tahoma"/>
          <w:sz w:val="22"/>
          <w:szCs w:val="22"/>
        </w:rPr>
      </w:pPr>
      <w:r w:rsidRPr="00730339">
        <w:rPr>
          <w:rStyle w:val="afb"/>
          <w:rFonts w:ascii="Tahoma" w:hAnsi="Tahoma" w:cs="Tahoma"/>
          <w:sz w:val="22"/>
          <w:szCs w:val="22"/>
        </w:rPr>
        <w:t>Бирж</w:t>
      </w:r>
      <w:r w:rsidR="004E6B27">
        <w:rPr>
          <w:rStyle w:val="afb"/>
          <w:rFonts w:ascii="Tahoma" w:hAnsi="Tahoma" w:cs="Tahoma"/>
          <w:sz w:val="22"/>
          <w:szCs w:val="22"/>
        </w:rPr>
        <w:t>а</w:t>
      </w:r>
      <w:r w:rsidRPr="00730339">
        <w:rPr>
          <w:rStyle w:val="afb"/>
          <w:rFonts w:ascii="Tahoma" w:hAnsi="Tahoma" w:cs="Tahoma"/>
          <w:sz w:val="22"/>
          <w:szCs w:val="22"/>
        </w:rPr>
        <w:t xml:space="preserve"> </w:t>
      </w:r>
      <w:r w:rsidR="004E6B27">
        <w:rPr>
          <w:rStyle w:val="afb"/>
          <w:rFonts w:ascii="Tahoma" w:hAnsi="Tahoma" w:cs="Tahoma"/>
          <w:sz w:val="22"/>
          <w:szCs w:val="22"/>
        </w:rPr>
        <w:t>имеет</w:t>
      </w:r>
      <w:r w:rsidRPr="00730339">
        <w:rPr>
          <w:rStyle w:val="afb"/>
          <w:rFonts w:ascii="Tahoma" w:hAnsi="Tahoma" w:cs="Tahoma"/>
          <w:sz w:val="22"/>
          <w:szCs w:val="22"/>
        </w:rPr>
        <w:t xml:space="preserve"> право отдельным решением установить критерии выпуска облигаций (</w:t>
      </w:r>
      <w:r w:rsidR="004654CC">
        <w:rPr>
          <w:rStyle w:val="afb"/>
          <w:rFonts w:ascii="Tahoma" w:hAnsi="Tahoma" w:cs="Tahoma"/>
          <w:sz w:val="22"/>
          <w:szCs w:val="22"/>
        </w:rPr>
        <w:t xml:space="preserve">в </w:t>
      </w:r>
      <w:proofErr w:type="spellStart"/>
      <w:r w:rsidR="004654CC">
        <w:rPr>
          <w:rStyle w:val="afb"/>
          <w:rFonts w:ascii="Tahoma" w:hAnsi="Tahoma" w:cs="Tahoma"/>
          <w:sz w:val="22"/>
          <w:szCs w:val="22"/>
        </w:rPr>
        <w:t>т.ч</w:t>
      </w:r>
      <w:proofErr w:type="spellEnd"/>
      <w:r w:rsidR="004654CC">
        <w:rPr>
          <w:rStyle w:val="afb"/>
          <w:rFonts w:ascii="Tahoma" w:hAnsi="Tahoma" w:cs="Tahoma"/>
          <w:sz w:val="22"/>
          <w:szCs w:val="22"/>
        </w:rPr>
        <w:t xml:space="preserve">. в отношении </w:t>
      </w:r>
      <w:r w:rsidRPr="00730339">
        <w:rPr>
          <w:rStyle w:val="afb"/>
          <w:rFonts w:ascii="Tahoma" w:hAnsi="Tahoma" w:cs="Tahoma"/>
          <w:sz w:val="22"/>
          <w:szCs w:val="22"/>
        </w:rPr>
        <w:t xml:space="preserve">структурных облигаций и облигаций, выпускаемых в рамках сделок </w:t>
      </w:r>
      <w:proofErr w:type="spellStart"/>
      <w:r w:rsidRPr="00730339">
        <w:rPr>
          <w:rStyle w:val="afb"/>
          <w:rFonts w:ascii="Tahoma" w:hAnsi="Tahoma" w:cs="Tahoma"/>
          <w:sz w:val="22"/>
          <w:szCs w:val="22"/>
        </w:rPr>
        <w:t>секьюритизации</w:t>
      </w:r>
      <w:proofErr w:type="spellEnd"/>
      <w:r w:rsidRPr="00730339">
        <w:rPr>
          <w:rStyle w:val="afb"/>
          <w:rFonts w:ascii="Tahoma" w:hAnsi="Tahoma" w:cs="Tahoma"/>
          <w:sz w:val="22"/>
          <w:szCs w:val="22"/>
        </w:rPr>
        <w:t xml:space="preserve">) для которых будет применяться только кредитный рейтинг выпуска (а не эмитента или поручителя (гаранта)). </w:t>
      </w:r>
    </w:p>
    <w:p w:rsidR="00F9481D" w:rsidRPr="00E54707" w:rsidRDefault="00F9481D" w:rsidP="00F9481D">
      <w:pPr>
        <w:pStyle w:val="a8"/>
        <w:numPr>
          <w:ilvl w:val="0"/>
          <w:numId w:val="22"/>
        </w:numPr>
        <w:spacing w:before="120" w:after="120" w:line="240" w:lineRule="auto"/>
        <w:ind w:left="851" w:hanging="425"/>
        <w:jc w:val="both"/>
        <w:rPr>
          <w:rStyle w:val="afb"/>
          <w:rFonts w:ascii="Tahoma" w:hAnsi="Tahoma" w:cs="Tahoma"/>
          <w:i/>
        </w:rPr>
      </w:pPr>
      <w:r w:rsidRPr="00E54707">
        <w:rPr>
          <w:rStyle w:val="afb"/>
          <w:rFonts w:ascii="Tahoma" w:hAnsi="Tahoma" w:cs="Tahoma"/>
          <w:i/>
        </w:rPr>
        <w:t>для ипотечных сертификатов участия</w:t>
      </w:r>
    </w:p>
    <w:p w:rsidR="00F9481D" w:rsidRPr="00F9481D" w:rsidRDefault="00F9481D" w:rsidP="00F9481D">
      <w:pPr>
        <w:spacing w:before="120" w:after="120"/>
        <w:ind w:left="360" w:firstLine="349"/>
        <w:jc w:val="both"/>
        <w:rPr>
          <w:rFonts w:ascii="Tahoma" w:hAnsi="Tahoma" w:cs="Tahoma"/>
          <w:sz w:val="22"/>
          <w:szCs w:val="22"/>
        </w:rPr>
      </w:pPr>
      <w:r w:rsidRPr="00F9481D">
        <w:rPr>
          <w:rFonts w:ascii="Tahoma" w:hAnsi="Tahoma" w:cs="Tahoma"/>
          <w:sz w:val="22"/>
          <w:szCs w:val="22"/>
        </w:rPr>
        <w:t>по международной шкале:</w:t>
      </w:r>
    </w:p>
    <w:p w:rsidR="00F9481D" w:rsidRPr="009A1438" w:rsidRDefault="00F9481D" w:rsidP="009A1438">
      <w:pPr>
        <w:ind w:left="851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9A1438">
        <w:rPr>
          <w:rFonts w:ascii="Tahoma" w:hAnsi="Tahoma" w:cs="Tahoma"/>
          <w:bCs/>
          <w:sz w:val="22"/>
          <w:szCs w:val="22"/>
          <w:lang w:val="en-US"/>
        </w:rPr>
        <w:t>Fitch Ratings – «BB-»,</w:t>
      </w:r>
    </w:p>
    <w:p w:rsidR="00F9481D" w:rsidRPr="009A1438" w:rsidRDefault="00F9481D" w:rsidP="009A1438">
      <w:pPr>
        <w:ind w:left="851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9A1438">
        <w:rPr>
          <w:rFonts w:ascii="Tahoma" w:hAnsi="Tahoma" w:cs="Tahoma"/>
          <w:bCs/>
          <w:sz w:val="22"/>
          <w:szCs w:val="22"/>
          <w:lang w:val="en-US"/>
        </w:rPr>
        <w:t xml:space="preserve">Moody's Investors Service – «B1», </w:t>
      </w:r>
    </w:p>
    <w:p w:rsidR="00F9481D" w:rsidRPr="00F54D72" w:rsidRDefault="00F9481D" w:rsidP="009A1438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9A1438">
        <w:rPr>
          <w:rFonts w:ascii="Tahoma" w:hAnsi="Tahoma" w:cs="Tahoma"/>
          <w:bCs/>
          <w:sz w:val="22"/>
          <w:szCs w:val="22"/>
          <w:lang w:val="en-US"/>
        </w:rPr>
        <w:t xml:space="preserve">Standard and Poor's International Services, Inc.  </w:t>
      </w:r>
      <w:r w:rsidRPr="00F54D72">
        <w:rPr>
          <w:rFonts w:ascii="Tahoma" w:hAnsi="Tahoma" w:cs="Tahoma"/>
          <w:bCs/>
          <w:sz w:val="22"/>
          <w:szCs w:val="22"/>
        </w:rPr>
        <w:t>– «</w:t>
      </w:r>
      <w:r w:rsidRPr="009A1438">
        <w:rPr>
          <w:rFonts w:ascii="Tahoma" w:hAnsi="Tahoma" w:cs="Tahoma"/>
          <w:bCs/>
          <w:sz w:val="22"/>
          <w:szCs w:val="22"/>
          <w:lang w:val="en-US"/>
        </w:rPr>
        <w:t>BB</w:t>
      </w:r>
      <w:r w:rsidRPr="00F54D72">
        <w:rPr>
          <w:rFonts w:ascii="Tahoma" w:hAnsi="Tahoma" w:cs="Tahoma"/>
          <w:bCs/>
          <w:sz w:val="22"/>
          <w:szCs w:val="22"/>
        </w:rPr>
        <w:t>-»,</w:t>
      </w:r>
    </w:p>
    <w:p w:rsidR="00F9481D" w:rsidRPr="00F9481D" w:rsidRDefault="00F9481D" w:rsidP="009A1438">
      <w:pPr>
        <w:spacing w:before="120" w:after="120"/>
        <w:ind w:left="360" w:firstLine="349"/>
        <w:jc w:val="both"/>
        <w:rPr>
          <w:rFonts w:ascii="Tahoma" w:hAnsi="Tahoma" w:cs="Tahoma"/>
          <w:sz w:val="22"/>
          <w:szCs w:val="22"/>
        </w:rPr>
      </w:pPr>
      <w:r w:rsidRPr="00F9481D">
        <w:rPr>
          <w:rFonts w:ascii="Tahoma" w:hAnsi="Tahoma" w:cs="Tahoma"/>
          <w:sz w:val="22"/>
          <w:szCs w:val="22"/>
        </w:rPr>
        <w:t>по национальной шкале</w:t>
      </w:r>
      <w:bookmarkStart w:id="0" w:name="_GoBack"/>
      <w:bookmarkEnd w:id="0"/>
      <w:r w:rsidRPr="00F9481D">
        <w:rPr>
          <w:rFonts w:ascii="Tahoma" w:hAnsi="Tahoma" w:cs="Tahoma"/>
          <w:sz w:val="22"/>
          <w:szCs w:val="22"/>
        </w:rPr>
        <w:t>:</w:t>
      </w:r>
    </w:p>
    <w:p w:rsidR="00F9481D" w:rsidRPr="009A1438" w:rsidRDefault="00F9481D" w:rsidP="009A1438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9A1438">
        <w:rPr>
          <w:rFonts w:ascii="Tahoma" w:hAnsi="Tahoma" w:cs="Tahoma"/>
          <w:bCs/>
          <w:sz w:val="22"/>
          <w:szCs w:val="22"/>
        </w:rPr>
        <w:t>АКРА (АО) - «</w:t>
      </w:r>
      <w:r w:rsidRPr="009A1438">
        <w:rPr>
          <w:rFonts w:ascii="Tahoma" w:hAnsi="Tahoma" w:cs="Tahoma"/>
          <w:bCs/>
          <w:sz w:val="22"/>
          <w:szCs w:val="22"/>
          <w:lang w:val="en-US"/>
        </w:rPr>
        <w:t>BBB</w:t>
      </w:r>
      <w:r w:rsidRPr="009A1438">
        <w:rPr>
          <w:rFonts w:ascii="Tahoma" w:hAnsi="Tahoma" w:cs="Tahoma"/>
          <w:bCs/>
          <w:sz w:val="22"/>
          <w:szCs w:val="22"/>
        </w:rPr>
        <w:t>+(</w:t>
      </w:r>
      <w:r w:rsidRPr="009A1438">
        <w:rPr>
          <w:rFonts w:ascii="Tahoma" w:hAnsi="Tahoma" w:cs="Tahoma"/>
          <w:bCs/>
          <w:sz w:val="22"/>
          <w:szCs w:val="22"/>
          <w:lang w:val="en-US"/>
        </w:rPr>
        <w:t>RU</w:t>
      </w:r>
      <w:r w:rsidRPr="009A1438">
        <w:rPr>
          <w:rFonts w:ascii="Tahoma" w:hAnsi="Tahoma" w:cs="Tahoma"/>
          <w:bCs/>
          <w:sz w:val="22"/>
          <w:szCs w:val="22"/>
        </w:rPr>
        <w:t xml:space="preserve">)», </w:t>
      </w:r>
    </w:p>
    <w:p w:rsidR="00F9481D" w:rsidRPr="009A1438" w:rsidRDefault="00F9481D" w:rsidP="009A1438">
      <w:pPr>
        <w:spacing w:after="240"/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9A1438">
        <w:rPr>
          <w:rFonts w:ascii="Tahoma" w:hAnsi="Tahoma" w:cs="Tahoma"/>
          <w:bCs/>
          <w:sz w:val="22"/>
          <w:szCs w:val="22"/>
        </w:rPr>
        <w:t>АО «Эксперт РА» - «</w:t>
      </w:r>
      <w:r w:rsidR="009A1438">
        <w:rPr>
          <w:rFonts w:ascii="Tahoma" w:hAnsi="Tahoma" w:cs="Tahoma"/>
          <w:bCs/>
          <w:sz w:val="22"/>
          <w:szCs w:val="22"/>
        </w:rPr>
        <w:t>А</w:t>
      </w:r>
      <w:r w:rsidRPr="009A1438">
        <w:rPr>
          <w:rFonts w:ascii="Tahoma" w:hAnsi="Tahoma" w:cs="Tahoma"/>
          <w:bCs/>
          <w:sz w:val="22"/>
          <w:szCs w:val="22"/>
        </w:rPr>
        <w:t>+</w:t>
      </w:r>
      <w:r w:rsidR="009A1438">
        <w:rPr>
          <w:rFonts w:ascii="Tahoma" w:hAnsi="Tahoma" w:cs="Tahoma"/>
          <w:bCs/>
          <w:sz w:val="22"/>
          <w:szCs w:val="22"/>
        </w:rPr>
        <w:t>(</w:t>
      </w:r>
      <w:r w:rsidR="009A1438">
        <w:rPr>
          <w:rFonts w:ascii="Tahoma" w:hAnsi="Tahoma" w:cs="Tahoma"/>
          <w:bCs/>
          <w:sz w:val="22"/>
          <w:szCs w:val="22"/>
          <w:lang w:val="en-US"/>
        </w:rPr>
        <w:t>I</w:t>
      </w:r>
      <w:r w:rsidR="009A1438">
        <w:rPr>
          <w:rFonts w:ascii="Tahoma" w:hAnsi="Tahoma" w:cs="Tahoma"/>
          <w:bCs/>
          <w:sz w:val="22"/>
          <w:szCs w:val="22"/>
        </w:rPr>
        <w:t>)</w:t>
      </w:r>
      <w:r w:rsidRPr="009A1438">
        <w:rPr>
          <w:rFonts w:ascii="Tahoma" w:hAnsi="Tahoma" w:cs="Tahoma"/>
          <w:bCs/>
          <w:sz w:val="22"/>
          <w:szCs w:val="22"/>
        </w:rPr>
        <w:t>».</w:t>
      </w:r>
    </w:p>
    <w:p w:rsidR="00F9481D" w:rsidRPr="00730339" w:rsidRDefault="00F9481D" w:rsidP="009A1438">
      <w:pPr>
        <w:tabs>
          <w:tab w:val="left" w:pos="993"/>
        </w:tabs>
        <w:spacing w:before="120" w:after="240"/>
        <w:ind w:left="426"/>
        <w:jc w:val="both"/>
        <w:rPr>
          <w:rFonts w:ascii="Tahoma" w:hAnsi="Tahoma" w:cs="Tahoma"/>
          <w:sz w:val="22"/>
          <w:szCs w:val="22"/>
        </w:rPr>
      </w:pPr>
      <w:r w:rsidRPr="00730339">
        <w:rPr>
          <w:rStyle w:val="afb"/>
          <w:rFonts w:ascii="Tahoma" w:hAnsi="Tahoma" w:cs="Tahoma"/>
          <w:sz w:val="22"/>
          <w:szCs w:val="22"/>
        </w:rPr>
        <w:t>Срок переходного положения, применяемый к ипотечным сертификатам участия, включенным в Первый уровень до 07.06.2016, будет сокращен до 01.01.2018.</w:t>
      </w:r>
    </w:p>
    <w:p w:rsidR="000B4D21" w:rsidRDefault="000056AE" w:rsidP="001011FA">
      <w:pPr>
        <w:pStyle w:val="a8"/>
        <w:numPr>
          <w:ilvl w:val="0"/>
          <w:numId w:val="19"/>
        </w:numPr>
        <w:spacing w:before="120" w:after="120" w:line="240" w:lineRule="auto"/>
        <w:ind w:left="426" w:hanging="426"/>
        <w:jc w:val="both"/>
        <w:rPr>
          <w:rStyle w:val="afb"/>
          <w:rFonts w:ascii="Tahoma" w:hAnsi="Tahoma" w:cs="Tahoma"/>
        </w:rPr>
      </w:pPr>
      <w:r>
        <w:rPr>
          <w:rStyle w:val="afb"/>
          <w:rFonts w:ascii="Tahoma" w:hAnsi="Tahoma" w:cs="Tahoma"/>
        </w:rPr>
        <w:t>В</w:t>
      </w:r>
      <w:r w:rsidR="00E65E0B" w:rsidRPr="00E65E0B">
        <w:rPr>
          <w:rStyle w:val="afb"/>
          <w:rFonts w:ascii="Tahoma" w:hAnsi="Tahoma" w:cs="Tahoma"/>
        </w:rPr>
        <w:t xml:space="preserve"> Правилах предусмотрено, что значени</w:t>
      </w:r>
      <w:r w:rsidR="00E65E0B">
        <w:rPr>
          <w:rStyle w:val="afb"/>
          <w:rFonts w:ascii="Tahoma" w:hAnsi="Tahoma" w:cs="Tahoma"/>
        </w:rPr>
        <w:t>е</w:t>
      </w:r>
      <w:r w:rsidR="00E65E0B" w:rsidRPr="00E65E0B">
        <w:rPr>
          <w:rStyle w:val="afb"/>
          <w:rFonts w:ascii="Tahoma" w:hAnsi="Tahoma" w:cs="Tahoma"/>
        </w:rPr>
        <w:t xml:space="preserve"> </w:t>
      </w:r>
      <w:proofErr w:type="spellStart"/>
      <w:r w:rsidR="00E65E0B" w:rsidRPr="00E65E0B">
        <w:rPr>
          <w:rStyle w:val="afb"/>
          <w:rFonts w:ascii="Tahoma" w:hAnsi="Tahoma" w:cs="Tahoma"/>
        </w:rPr>
        <w:t>free-float</w:t>
      </w:r>
      <w:proofErr w:type="spellEnd"/>
      <w:r w:rsidR="00E65E0B" w:rsidRPr="00E65E0B">
        <w:rPr>
          <w:rStyle w:val="afb"/>
          <w:rFonts w:ascii="Tahoma" w:hAnsi="Tahoma" w:cs="Tahoma"/>
        </w:rPr>
        <w:t xml:space="preserve"> для включения и поддержания акций в Первом уровне определя</w:t>
      </w:r>
      <w:r w:rsidR="00E65E0B">
        <w:rPr>
          <w:rStyle w:val="afb"/>
          <w:rFonts w:ascii="Tahoma" w:hAnsi="Tahoma" w:cs="Tahoma"/>
        </w:rPr>
        <w:t>е</w:t>
      </w:r>
      <w:r w:rsidR="00E65E0B" w:rsidRPr="00E65E0B">
        <w:rPr>
          <w:rStyle w:val="afb"/>
          <w:rFonts w:ascii="Tahoma" w:hAnsi="Tahoma" w:cs="Tahoma"/>
        </w:rPr>
        <w:t xml:space="preserve">тся в соответствии с </w:t>
      </w:r>
      <w:r>
        <w:rPr>
          <w:rStyle w:val="afb"/>
          <w:rFonts w:ascii="Tahoma" w:hAnsi="Tahoma" w:cs="Tahoma"/>
        </w:rPr>
        <w:t xml:space="preserve">положением </w:t>
      </w:r>
      <w:r w:rsidR="00E65E0B" w:rsidRPr="00E65E0B">
        <w:rPr>
          <w:rStyle w:val="afb"/>
          <w:rFonts w:ascii="Tahoma" w:hAnsi="Tahoma" w:cs="Tahoma"/>
        </w:rPr>
        <w:t>Банка России</w:t>
      </w:r>
      <w:r w:rsidR="00E65E0B">
        <w:rPr>
          <w:rStyle w:val="afb"/>
          <w:rFonts w:ascii="Tahoma" w:hAnsi="Tahoma" w:cs="Tahoma"/>
        </w:rPr>
        <w:t>.</w:t>
      </w:r>
      <w:r w:rsidR="009B43B5">
        <w:rPr>
          <w:rStyle w:val="afb"/>
          <w:rFonts w:ascii="Tahoma" w:hAnsi="Tahoma" w:cs="Tahoma"/>
        </w:rPr>
        <w:t xml:space="preserve"> </w:t>
      </w:r>
    </w:p>
    <w:p w:rsidR="00E65E0B" w:rsidRDefault="000056AE" w:rsidP="000B4D21">
      <w:pPr>
        <w:spacing w:before="120" w:after="120"/>
        <w:ind w:left="426"/>
        <w:jc w:val="both"/>
        <w:rPr>
          <w:rStyle w:val="afb"/>
          <w:rFonts w:ascii="Tahoma" w:eastAsia="Calibri" w:hAnsi="Tahoma" w:cs="Tahoma"/>
          <w:sz w:val="22"/>
          <w:szCs w:val="22"/>
        </w:rPr>
      </w:pPr>
      <w:r w:rsidRPr="000B4D21">
        <w:rPr>
          <w:rStyle w:val="afb"/>
          <w:rFonts w:ascii="Tahoma" w:eastAsia="Calibri" w:hAnsi="Tahoma" w:cs="Tahoma"/>
          <w:sz w:val="22"/>
          <w:szCs w:val="22"/>
        </w:rPr>
        <w:t>При этом с 04.07.2017 с</w:t>
      </w:r>
      <w:r w:rsidR="009B43B5" w:rsidRPr="000B4D21">
        <w:rPr>
          <w:rStyle w:val="afb"/>
          <w:rFonts w:ascii="Tahoma" w:eastAsia="Calibri" w:hAnsi="Tahoma" w:cs="Tahoma"/>
          <w:sz w:val="22"/>
          <w:szCs w:val="22"/>
        </w:rPr>
        <w:t xml:space="preserve">огласно </w:t>
      </w:r>
      <w:r w:rsidR="00204406" w:rsidRPr="000B4D21">
        <w:rPr>
          <w:rStyle w:val="afb"/>
          <w:rFonts w:ascii="Tahoma" w:eastAsia="Calibri" w:hAnsi="Tahoma" w:cs="Tahoma"/>
          <w:sz w:val="22"/>
          <w:szCs w:val="22"/>
        </w:rPr>
        <w:t>изменениям в положение Банка России</w:t>
      </w:r>
      <w:r w:rsidR="00204406" w:rsidRPr="006C3F40">
        <w:rPr>
          <w:rStyle w:val="afb"/>
          <w:rFonts w:ascii="Tahoma" w:eastAsia="Calibri" w:hAnsi="Tahoma"/>
          <w:sz w:val="22"/>
          <w:szCs w:val="22"/>
          <w:vertAlign w:val="superscript"/>
        </w:rPr>
        <w:footnoteReference w:id="2"/>
      </w:r>
      <w:r w:rsidR="00204406" w:rsidRPr="006C3F40">
        <w:rPr>
          <w:rStyle w:val="afb"/>
          <w:rFonts w:ascii="Tahoma" w:eastAsia="Calibri" w:hAnsi="Tahoma" w:cs="Tahoma"/>
          <w:sz w:val="22"/>
          <w:szCs w:val="22"/>
          <w:vertAlign w:val="superscript"/>
        </w:rPr>
        <w:t xml:space="preserve"> </w:t>
      </w:r>
      <w:r w:rsidR="00E54707">
        <w:rPr>
          <w:rStyle w:val="afb"/>
          <w:rFonts w:ascii="Tahoma" w:eastAsia="Calibri" w:hAnsi="Tahoma" w:cs="Tahoma"/>
          <w:sz w:val="22"/>
          <w:szCs w:val="22"/>
        </w:rPr>
        <w:t xml:space="preserve">требования к </w:t>
      </w:r>
      <w:r w:rsidR="00167773" w:rsidRPr="00167773">
        <w:rPr>
          <w:rStyle w:val="afb"/>
          <w:rFonts w:ascii="Tahoma" w:eastAsia="Calibri" w:hAnsi="Tahoma" w:cs="Tahoma"/>
          <w:sz w:val="22"/>
          <w:szCs w:val="22"/>
        </w:rPr>
        <w:t>количеству акций эмитента, находящихся в свободном обращении</w:t>
      </w:r>
      <w:r w:rsidR="00167773" w:rsidRPr="001011FA">
        <w:rPr>
          <w:rStyle w:val="afb"/>
          <w:rFonts w:ascii="Tahoma" w:eastAsia="Calibri" w:hAnsi="Tahoma" w:cs="Tahoma"/>
          <w:sz w:val="22"/>
          <w:szCs w:val="22"/>
        </w:rPr>
        <w:t xml:space="preserve"> </w:t>
      </w:r>
      <w:r w:rsidR="00167773">
        <w:rPr>
          <w:rStyle w:val="afb"/>
          <w:rFonts w:ascii="Tahoma" w:eastAsia="Calibri" w:hAnsi="Tahoma" w:cs="Tahoma"/>
          <w:sz w:val="22"/>
          <w:szCs w:val="22"/>
        </w:rPr>
        <w:t>(</w:t>
      </w:r>
      <w:proofErr w:type="spellStart"/>
      <w:r w:rsidR="00E54707" w:rsidRPr="001011FA">
        <w:rPr>
          <w:rStyle w:val="afb"/>
          <w:rFonts w:ascii="Tahoma" w:eastAsia="Calibri" w:hAnsi="Tahoma" w:cs="Tahoma"/>
          <w:sz w:val="22"/>
          <w:szCs w:val="22"/>
        </w:rPr>
        <w:t>free-float</w:t>
      </w:r>
      <w:proofErr w:type="spellEnd"/>
      <w:r w:rsidR="00167773">
        <w:rPr>
          <w:rStyle w:val="afb"/>
          <w:rFonts w:ascii="Tahoma" w:eastAsia="Calibri" w:hAnsi="Tahoma" w:cs="Tahoma"/>
          <w:sz w:val="22"/>
          <w:szCs w:val="22"/>
        </w:rPr>
        <w:t>)</w:t>
      </w:r>
      <w:r w:rsidR="00E54707" w:rsidRPr="001011FA">
        <w:rPr>
          <w:rStyle w:val="afb"/>
          <w:rFonts w:ascii="Tahoma" w:eastAsia="Calibri" w:hAnsi="Tahoma" w:cs="Tahoma"/>
          <w:sz w:val="22"/>
          <w:szCs w:val="22"/>
        </w:rPr>
        <w:t xml:space="preserve"> для включения и поддержания </w:t>
      </w:r>
      <w:r w:rsidRPr="00E54707">
        <w:rPr>
          <w:rStyle w:val="afb"/>
          <w:rFonts w:ascii="Tahoma" w:eastAsia="Calibri" w:hAnsi="Tahoma" w:cs="Tahoma"/>
          <w:i/>
          <w:sz w:val="22"/>
          <w:szCs w:val="22"/>
        </w:rPr>
        <w:t>привилегированных акций в Перв</w:t>
      </w:r>
      <w:r w:rsidR="00E54707" w:rsidRPr="00E54707">
        <w:rPr>
          <w:rStyle w:val="afb"/>
          <w:rFonts w:ascii="Tahoma" w:eastAsia="Calibri" w:hAnsi="Tahoma" w:cs="Tahoma"/>
          <w:i/>
          <w:sz w:val="22"/>
          <w:szCs w:val="22"/>
        </w:rPr>
        <w:t>ом</w:t>
      </w:r>
      <w:r w:rsidRPr="00E54707">
        <w:rPr>
          <w:rStyle w:val="afb"/>
          <w:rFonts w:ascii="Tahoma" w:eastAsia="Calibri" w:hAnsi="Tahoma" w:cs="Tahoma"/>
          <w:i/>
          <w:sz w:val="22"/>
          <w:szCs w:val="22"/>
        </w:rPr>
        <w:t xml:space="preserve"> уровн</w:t>
      </w:r>
      <w:r w:rsidR="00E54707" w:rsidRPr="00E54707">
        <w:rPr>
          <w:rStyle w:val="afb"/>
          <w:rFonts w:ascii="Tahoma" w:eastAsia="Calibri" w:hAnsi="Tahoma" w:cs="Tahoma"/>
          <w:i/>
          <w:sz w:val="22"/>
          <w:szCs w:val="22"/>
        </w:rPr>
        <w:t>е</w:t>
      </w:r>
      <w:r w:rsidRPr="000B4D21">
        <w:rPr>
          <w:rStyle w:val="afb"/>
          <w:rFonts w:ascii="Tahoma" w:eastAsia="Calibri" w:hAnsi="Tahoma" w:cs="Tahoma"/>
          <w:sz w:val="22"/>
          <w:szCs w:val="22"/>
        </w:rPr>
        <w:t xml:space="preserve"> </w:t>
      </w:r>
      <w:r w:rsidR="00E54707" w:rsidRPr="001011FA">
        <w:rPr>
          <w:rStyle w:val="afb"/>
          <w:rFonts w:ascii="Tahoma" w:eastAsia="Calibri" w:hAnsi="Tahoma" w:cs="Tahoma"/>
          <w:sz w:val="22"/>
          <w:szCs w:val="22"/>
        </w:rPr>
        <w:t>устанавливаются аналогичными требованиям к обыкновенным акциям</w:t>
      </w:r>
      <w:r w:rsidR="00E54707">
        <w:rPr>
          <w:rStyle w:val="afb"/>
          <w:rFonts w:ascii="Tahoma" w:eastAsia="Calibri" w:hAnsi="Tahoma" w:cs="Tahoma"/>
          <w:sz w:val="22"/>
          <w:szCs w:val="22"/>
        </w:rPr>
        <w:t xml:space="preserve"> -</w:t>
      </w:r>
      <w:r w:rsidR="00E54707" w:rsidRPr="001011FA">
        <w:rPr>
          <w:rStyle w:val="afb"/>
          <w:rFonts w:ascii="Tahoma" w:eastAsia="Calibri" w:hAnsi="Tahoma" w:cs="Tahoma"/>
          <w:sz w:val="22"/>
          <w:szCs w:val="22"/>
        </w:rPr>
        <w:t xml:space="preserve"> </w:t>
      </w:r>
      <w:r w:rsidRPr="000B4D21">
        <w:rPr>
          <w:rStyle w:val="afb"/>
          <w:rFonts w:ascii="Tahoma" w:eastAsia="Calibri" w:hAnsi="Tahoma" w:cs="Tahoma"/>
          <w:sz w:val="22"/>
          <w:szCs w:val="22"/>
        </w:rPr>
        <w:t xml:space="preserve">для эмитентов, рыночная капитализация которых превышает 60 млрд. руб., </w:t>
      </w:r>
      <w:proofErr w:type="spellStart"/>
      <w:r w:rsidR="00E54707" w:rsidRPr="000B4D21">
        <w:rPr>
          <w:rStyle w:val="afb"/>
          <w:rFonts w:ascii="Tahoma" w:eastAsia="Calibri" w:hAnsi="Tahoma" w:cs="Tahoma"/>
          <w:sz w:val="22"/>
          <w:szCs w:val="22"/>
        </w:rPr>
        <w:t>free-float</w:t>
      </w:r>
      <w:proofErr w:type="spellEnd"/>
      <w:r w:rsidR="00E54707" w:rsidRPr="000B4D21">
        <w:rPr>
          <w:rStyle w:val="afb"/>
          <w:rFonts w:ascii="Tahoma" w:eastAsia="Calibri" w:hAnsi="Tahoma" w:cs="Tahoma"/>
          <w:sz w:val="22"/>
          <w:szCs w:val="22"/>
        </w:rPr>
        <w:t xml:space="preserve"> </w:t>
      </w:r>
      <w:r w:rsidR="00E54707">
        <w:rPr>
          <w:rStyle w:val="afb"/>
          <w:rFonts w:ascii="Tahoma" w:eastAsia="Calibri" w:hAnsi="Tahoma" w:cs="Tahoma"/>
          <w:sz w:val="22"/>
          <w:szCs w:val="22"/>
        </w:rPr>
        <w:t xml:space="preserve">- </w:t>
      </w:r>
      <w:r w:rsidRPr="000B4D21">
        <w:rPr>
          <w:rStyle w:val="afb"/>
          <w:rFonts w:ascii="Tahoma" w:eastAsia="Calibri" w:hAnsi="Tahoma" w:cs="Tahoma"/>
          <w:sz w:val="22"/>
          <w:szCs w:val="22"/>
        </w:rPr>
        <w:t xml:space="preserve">не менее 10% (если меньше или равна 60 млрд. руб., </w:t>
      </w:r>
      <w:proofErr w:type="spellStart"/>
      <w:r w:rsidRPr="000B4D21">
        <w:rPr>
          <w:rStyle w:val="afb"/>
          <w:rFonts w:ascii="Tahoma" w:eastAsia="Calibri" w:hAnsi="Tahoma" w:cs="Tahoma"/>
          <w:sz w:val="22"/>
          <w:szCs w:val="22"/>
        </w:rPr>
        <w:t>free-float</w:t>
      </w:r>
      <w:proofErr w:type="spellEnd"/>
      <w:r w:rsidRPr="000B4D21">
        <w:rPr>
          <w:rStyle w:val="afb"/>
          <w:rFonts w:ascii="Tahoma" w:eastAsia="Calibri" w:hAnsi="Tahoma" w:cs="Tahoma"/>
          <w:sz w:val="22"/>
          <w:szCs w:val="22"/>
        </w:rPr>
        <w:t xml:space="preserve"> определяется по формуле), </w:t>
      </w:r>
      <w:r w:rsidR="00167773">
        <w:rPr>
          <w:rStyle w:val="afb"/>
          <w:rFonts w:ascii="Tahoma" w:eastAsia="Calibri" w:hAnsi="Tahoma" w:cs="Tahoma"/>
          <w:sz w:val="22"/>
          <w:szCs w:val="22"/>
        </w:rPr>
        <w:t>при</w:t>
      </w:r>
      <w:r w:rsidRPr="000B4D21">
        <w:rPr>
          <w:rStyle w:val="afb"/>
          <w:rFonts w:ascii="Tahoma" w:eastAsia="Calibri" w:hAnsi="Tahoma" w:cs="Tahoma"/>
          <w:sz w:val="22"/>
          <w:szCs w:val="22"/>
        </w:rPr>
        <w:t xml:space="preserve"> поддержани</w:t>
      </w:r>
      <w:r w:rsidR="00167773">
        <w:rPr>
          <w:rStyle w:val="afb"/>
          <w:rFonts w:ascii="Tahoma" w:eastAsia="Calibri" w:hAnsi="Tahoma" w:cs="Tahoma"/>
          <w:sz w:val="22"/>
          <w:szCs w:val="22"/>
        </w:rPr>
        <w:t>и</w:t>
      </w:r>
      <w:r w:rsidRPr="000B4D21">
        <w:rPr>
          <w:rStyle w:val="afb"/>
          <w:rFonts w:ascii="Tahoma" w:eastAsia="Calibri" w:hAnsi="Tahoma" w:cs="Tahoma"/>
          <w:sz w:val="22"/>
          <w:szCs w:val="22"/>
        </w:rPr>
        <w:t xml:space="preserve"> - не ниже 7,5% от общего количества выпущенных привилегированных акций. Ранее </w:t>
      </w:r>
      <w:r w:rsidR="000B4D21" w:rsidRPr="000B4D21">
        <w:rPr>
          <w:rStyle w:val="afb"/>
          <w:rFonts w:ascii="Tahoma" w:eastAsia="Calibri" w:hAnsi="Tahoma" w:cs="Tahoma"/>
          <w:sz w:val="22"/>
          <w:szCs w:val="22"/>
        </w:rPr>
        <w:t xml:space="preserve">требование для привилегированных акций </w:t>
      </w:r>
      <w:r w:rsidR="00E54707">
        <w:rPr>
          <w:rStyle w:val="afb"/>
          <w:rFonts w:ascii="Tahoma" w:eastAsia="Calibri" w:hAnsi="Tahoma" w:cs="Tahoma"/>
          <w:sz w:val="22"/>
          <w:szCs w:val="22"/>
        </w:rPr>
        <w:t xml:space="preserve">составляло </w:t>
      </w:r>
      <w:r w:rsidR="000B4D21">
        <w:rPr>
          <w:rStyle w:val="afb"/>
          <w:rFonts w:ascii="Tahoma" w:eastAsia="Calibri" w:hAnsi="Tahoma" w:cs="Tahoma"/>
          <w:sz w:val="22"/>
          <w:szCs w:val="22"/>
        </w:rPr>
        <w:t xml:space="preserve">для включения - </w:t>
      </w:r>
      <w:r w:rsidR="000B4D21" w:rsidRPr="000B4D21">
        <w:rPr>
          <w:rStyle w:val="afb"/>
          <w:rFonts w:ascii="Tahoma" w:eastAsia="Calibri" w:hAnsi="Tahoma" w:cs="Tahoma"/>
          <w:sz w:val="22"/>
          <w:szCs w:val="22"/>
        </w:rPr>
        <w:t xml:space="preserve">не менее 50%, </w:t>
      </w:r>
      <w:r w:rsidR="00E54707">
        <w:rPr>
          <w:rStyle w:val="afb"/>
          <w:rFonts w:ascii="Tahoma" w:eastAsia="Calibri" w:hAnsi="Tahoma" w:cs="Tahoma"/>
          <w:sz w:val="22"/>
          <w:szCs w:val="22"/>
        </w:rPr>
        <w:t xml:space="preserve">при </w:t>
      </w:r>
      <w:r w:rsidR="000B4D21" w:rsidRPr="000B4D21">
        <w:rPr>
          <w:rStyle w:val="afb"/>
          <w:rFonts w:ascii="Tahoma" w:eastAsia="Calibri" w:hAnsi="Tahoma" w:cs="Tahoma"/>
          <w:sz w:val="22"/>
          <w:szCs w:val="22"/>
        </w:rPr>
        <w:t>поддержани</w:t>
      </w:r>
      <w:r w:rsidR="00E54707">
        <w:rPr>
          <w:rStyle w:val="afb"/>
          <w:rFonts w:ascii="Tahoma" w:eastAsia="Calibri" w:hAnsi="Tahoma" w:cs="Tahoma"/>
          <w:sz w:val="22"/>
          <w:szCs w:val="22"/>
        </w:rPr>
        <w:t>и</w:t>
      </w:r>
      <w:r w:rsidR="000B4D21" w:rsidRPr="000B4D21">
        <w:rPr>
          <w:rStyle w:val="afb"/>
          <w:rFonts w:ascii="Tahoma" w:eastAsia="Calibri" w:hAnsi="Tahoma" w:cs="Tahoma"/>
          <w:sz w:val="22"/>
          <w:szCs w:val="22"/>
        </w:rPr>
        <w:t xml:space="preserve"> - не ниже 47,5%</w:t>
      </w:r>
      <w:r w:rsidR="000B4D21">
        <w:rPr>
          <w:rStyle w:val="afb"/>
          <w:rFonts w:ascii="Tahoma" w:eastAsia="Calibri" w:hAnsi="Tahoma" w:cs="Tahoma"/>
          <w:sz w:val="22"/>
          <w:szCs w:val="22"/>
        </w:rPr>
        <w:t>.</w:t>
      </w:r>
    </w:p>
    <w:p w:rsidR="001011FA" w:rsidRPr="001011FA" w:rsidRDefault="009E2056" w:rsidP="001011FA">
      <w:pPr>
        <w:spacing w:before="120" w:after="120"/>
        <w:ind w:left="426"/>
        <w:jc w:val="both"/>
        <w:rPr>
          <w:rStyle w:val="afb"/>
          <w:rFonts w:ascii="Tahoma" w:eastAsia="Calibri" w:hAnsi="Tahoma" w:cs="Tahoma"/>
          <w:sz w:val="22"/>
          <w:szCs w:val="22"/>
        </w:rPr>
      </w:pPr>
      <w:r>
        <w:rPr>
          <w:rStyle w:val="afb"/>
          <w:rFonts w:ascii="Tahoma" w:eastAsia="Calibri" w:hAnsi="Tahoma" w:cs="Tahoma"/>
          <w:sz w:val="22"/>
          <w:szCs w:val="22"/>
        </w:rPr>
        <w:t xml:space="preserve">Также в </w:t>
      </w:r>
      <w:r w:rsidR="000B4D21">
        <w:rPr>
          <w:rStyle w:val="afb"/>
          <w:rFonts w:ascii="Tahoma" w:eastAsia="Calibri" w:hAnsi="Tahoma" w:cs="Tahoma"/>
          <w:sz w:val="22"/>
          <w:szCs w:val="22"/>
        </w:rPr>
        <w:t xml:space="preserve">Правилах требования к </w:t>
      </w:r>
      <w:r w:rsidR="001011FA" w:rsidRPr="001011FA">
        <w:rPr>
          <w:rStyle w:val="afb"/>
          <w:rFonts w:ascii="Tahoma" w:eastAsia="Calibri" w:hAnsi="Tahoma" w:cs="Tahoma"/>
          <w:sz w:val="22"/>
          <w:szCs w:val="22"/>
        </w:rPr>
        <w:t xml:space="preserve">значению </w:t>
      </w:r>
      <w:proofErr w:type="spellStart"/>
      <w:r w:rsidR="001011FA" w:rsidRPr="001011FA">
        <w:rPr>
          <w:rStyle w:val="afb"/>
          <w:rFonts w:ascii="Tahoma" w:eastAsia="Calibri" w:hAnsi="Tahoma" w:cs="Tahoma"/>
          <w:sz w:val="22"/>
          <w:szCs w:val="22"/>
        </w:rPr>
        <w:t>free-float</w:t>
      </w:r>
      <w:proofErr w:type="spellEnd"/>
      <w:r w:rsidR="001011FA" w:rsidRPr="001011FA">
        <w:rPr>
          <w:rStyle w:val="afb"/>
          <w:rFonts w:ascii="Tahoma" w:eastAsia="Calibri" w:hAnsi="Tahoma" w:cs="Tahoma"/>
          <w:sz w:val="22"/>
          <w:szCs w:val="22"/>
        </w:rPr>
        <w:t xml:space="preserve"> для включения и поддержания </w:t>
      </w:r>
      <w:r w:rsidR="001011FA" w:rsidRPr="00E54707">
        <w:rPr>
          <w:rStyle w:val="afb"/>
          <w:rFonts w:ascii="Tahoma" w:eastAsia="Calibri" w:hAnsi="Tahoma" w:cs="Tahoma"/>
          <w:i/>
          <w:sz w:val="22"/>
          <w:szCs w:val="22"/>
        </w:rPr>
        <w:t>привилегированных акций во Втором уровне</w:t>
      </w:r>
      <w:r w:rsidR="001011FA" w:rsidRPr="001011FA">
        <w:rPr>
          <w:rStyle w:val="afb"/>
          <w:rFonts w:ascii="Tahoma" w:eastAsia="Calibri" w:hAnsi="Tahoma" w:cs="Tahoma"/>
          <w:sz w:val="22"/>
          <w:szCs w:val="22"/>
        </w:rPr>
        <w:t xml:space="preserve"> устанавливаются аналогичными требованиям к обыкновенным акциям (для включения - 10%, при поддержании – 4%). </w:t>
      </w:r>
      <w:r w:rsidR="00E54707" w:rsidRPr="000B4D21">
        <w:rPr>
          <w:rStyle w:val="afb"/>
          <w:rFonts w:ascii="Tahoma" w:eastAsia="Calibri" w:hAnsi="Tahoma" w:cs="Tahoma"/>
          <w:sz w:val="22"/>
          <w:szCs w:val="22"/>
        </w:rPr>
        <w:t xml:space="preserve">Ранее требование для привилегированных акций </w:t>
      </w:r>
      <w:r w:rsidR="00E54707">
        <w:rPr>
          <w:rStyle w:val="afb"/>
          <w:rFonts w:ascii="Tahoma" w:eastAsia="Calibri" w:hAnsi="Tahoma" w:cs="Tahoma"/>
          <w:sz w:val="22"/>
          <w:szCs w:val="22"/>
        </w:rPr>
        <w:t>составляло</w:t>
      </w:r>
      <w:r w:rsidR="00E54707" w:rsidRPr="000B4D21">
        <w:rPr>
          <w:rStyle w:val="afb"/>
          <w:rFonts w:ascii="Tahoma" w:eastAsia="Calibri" w:hAnsi="Tahoma" w:cs="Tahoma"/>
          <w:sz w:val="22"/>
          <w:szCs w:val="22"/>
        </w:rPr>
        <w:t xml:space="preserve"> </w:t>
      </w:r>
      <w:r w:rsidR="00E54707">
        <w:rPr>
          <w:rStyle w:val="afb"/>
          <w:rFonts w:ascii="Tahoma" w:eastAsia="Calibri" w:hAnsi="Tahoma" w:cs="Tahoma"/>
          <w:sz w:val="22"/>
          <w:szCs w:val="22"/>
        </w:rPr>
        <w:t xml:space="preserve">для включения - </w:t>
      </w:r>
      <w:r w:rsidR="00E54707" w:rsidRPr="000B4D21">
        <w:rPr>
          <w:rStyle w:val="afb"/>
          <w:rFonts w:ascii="Tahoma" w:eastAsia="Calibri" w:hAnsi="Tahoma" w:cs="Tahoma"/>
          <w:sz w:val="22"/>
          <w:szCs w:val="22"/>
        </w:rPr>
        <w:t xml:space="preserve">не менее 50%, </w:t>
      </w:r>
      <w:r w:rsidR="00E54707">
        <w:rPr>
          <w:rStyle w:val="afb"/>
          <w:rFonts w:ascii="Tahoma" w:eastAsia="Calibri" w:hAnsi="Tahoma" w:cs="Tahoma"/>
          <w:sz w:val="22"/>
          <w:szCs w:val="22"/>
        </w:rPr>
        <w:t xml:space="preserve">при </w:t>
      </w:r>
      <w:r w:rsidR="00E54707" w:rsidRPr="000B4D21">
        <w:rPr>
          <w:rStyle w:val="afb"/>
          <w:rFonts w:ascii="Tahoma" w:eastAsia="Calibri" w:hAnsi="Tahoma" w:cs="Tahoma"/>
          <w:sz w:val="22"/>
          <w:szCs w:val="22"/>
        </w:rPr>
        <w:t>поддержани</w:t>
      </w:r>
      <w:r w:rsidR="00E54707">
        <w:rPr>
          <w:rStyle w:val="afb"/>
          <w:rFonts w:ascii="Tahoma" w:eastAsia="Calibri" w:hAnsi="Tahoma" w:cs="Tahoma"/>
          <w:sz w:val="22"/>
          <w:szCs w:val="22"/>
        </w:rPr>
        <w:t>и</w:t>
      </w:r>
      <w:r w:rsidR="00E54707" w:rsidRPr="000B4D21">
        <w:rPr>
          <w:rStyle w:val="afb"/>
          <w:rFonts w:ascii="Tahoma" w:eastAsia="Calibri" w:hAnsi="Tahoma" w:cs="Tahoma"/>
          <w:sz w:val="22"/>
          <w:szCs w:val="22"/>
        </w:rPr>
        <w:t xml:space="preserve"> - не ниже 45%</w:t>
      </w:r>
      <w:r w:rsidR="00E54707">
        <w:rPr>
          <w:rStyle w:val="afb"/>
          <w:rFonts w:ascii="Tahoma" w:eastAsia="Calibri" w:hAnsi="Tahoma" w:cs="Tahoma"/>
          <w:sz w:val="22"/>
          <w:szCs w:val="22"/>
        </w:rPr>
        <w:t>.</w:t>
      </w:r>
    </w:p>
    <w:p w:rsidR="00730339" w:rsidRPr="00730339" w:rsidRDefault="00730339" w:rsidP="00730339">
      <w:pPr>
        <w:pStyle w:val="a8"/>
        <w:numPr>
          <w:ilvl w:val="0"/>
          <w:numId w:val="19"/>
        </w:numPr>
        <w:spacing w:before="120" w:after="120" w:line="240" w:lineRule="auto"/>
        <w:ind w:left="426" w:hanging="426"/>
        <w:jc w:val="both"/>
        <w:rPr>
          <w:rFonts w:ascii="Tahoma" w:hAnsi="Tahoma" w:cs="Tahoma"/>
        </w:rPr>
      </w:pPr>
      <w:r w:rsidRPr="00730339">
        <w:rPr>
          <w:rStyle w:val="afb"/>
          <w:rFonts w:ascii="Tahoma" w:hAnsi="Tahoma" w:cs="Tahoma"/>
        </w:rPr>
        <w:t xml:space="preserve">Вводится дополнительное требование по представлению эмитентами Бирже информации о лицах, на счетах которых учитывается 5 и более % привилегированных акций с указанием доли – ежегодно после проведения годового общего собрания акционеров и ежеквартально. Биржа передает указанную информацию Индексному комитету для целей определения значения </w:t>
      </w:r>
      <w:proofErr w:type="spellStart"/>
      <w:r w:rsidRPr="00730339">
        <w:rPr>
          <w:rStyle w:val="afb"/>
          <w:rFonts w:ascii="Tahoma" w:hAnsi="Tahoma" w:cs="Tahoma"/>
        </w:rPr>
        <w:t>free-float</w:t>
      </w:r>
      <w:proofErr w:type="spellEnd"/>
      <w:r w:rsidRPr="00730339">
        <w:rPr>
          <w:rStyle w:val="afb"/>
          <w:rFonts w:ascii="Tahoma" w:hAnsi="Tahoma" w:cs="Tahoma"/>
        </w:rPr>
        <w:t>, используемого для листинга привилегированных акций.</w:t>
      </w:r>
    </w:p>
    <w:p w:rsidR="00730339" w:rsidRPr="00730339" w:rsidRDefault="00730339" w:rsidP="00730339">
      <w:pPr>
        <w:pStyle w:val="a8"/>
        <w:numPr>
          <w:ilvl w:val="0"/>
          <w:numId w:val="19"/>
        </w:numPr>
        <w:spacing w:before="120" w:after="120" w:line="240" w:lineRule="auto"/>
        <w:ind w:left="426" w:hanging="426"/>
        <w:jc w:val="both"/>
        <w:rPr>
          <w:rFonts w:ascii="Tahoma" w:hAnsi="Tahoma" w:cs="Tahoma"/>
        </w:rPr>
      </w:pPr>
      <w:r w:rsidRPr="00730339">
        <w:rPr>
          <w:rStyle w:val="afb"/>
          <w:rFonts w:ascii="Tahoma" w:hAnsi="Tahoma" w:cs="Tahoma"/>
        </w:rPr>
        <w:t xml:space="preserve">В целях защиты прав и законных интересов владельцев ценных бумаг введено право Биржи понизить уровень листинга </w:t>
      </w:r>
      <w:r w:rsidR="001011FA">
        <w:rPr>
          <w:rStyle w:val="afb"/>
          <w:rFonts w:ascii="Tahoma" w:hAnsi="Tahoma" w:cs="Tahoma"/>
        </w:rPr>
        <w:t>из</w:t>
      </w:r>
      <w:r w:rsidRPr="00730339">
        <w:rPr>
          <w:rStyle w:val="afb"/>
          <w:rFonts w:ascii="Tahoma" w:hAnsi="Tahoma" w:cs="Tahoma"/>
        </w:rPr>
        <w:t xml:space="preserve"> Первого или Второго уровня </w:t>
      </w:r>
      <w:r w:rsidR="001011FA">
        <w:rPr>
          <w:rStyle w:val="afb"/>
          <w:rFonts w:ascii="Tahoma" w:hAnsi="Tahoma" w:cs="Tahoma"/>
        </w:rPr>
        <w:t>в</w:t>
      </w:r>
      <w:r w:rsidRPr="00730339">
        <w:rPr>
          <w:rStyle w:val="afb"/>
          <w:rFonts w:ascii="Tahoma" w:hAnsi="Tahoma" w:cs="Tahoma"/>
        </w:rPr>
        <w:t xml:space="preserve"> Трет</w:t>
      </w:r>
      <w:r w:rsidR="001011FA">
        <w:rPr>
          <w:rStyle w:val="afb"/>
          <w:rFonts w:ascii="Tahoma" w:hAnsi="Tahoma" w:cs="Tahoma"/>
        </w:rPr>
        <w:t>ий</w:t>
      </w:r>
      <w:r w:rsidRPr="00730339">
        <w:rPr>
          <w:rStyle w:val="afb"/>
          <w:rFonts w:ascii="Tahoma" w:hAnsi="Tahoma" w:cs="Tahoma"/>
        </w:rPr>
        <w:t xml:space="preserve"> уров</w:t>
      </w:r>
      <w:r w:rsidR="001011FA">
        <w:rPr>
          <w:rStyle w:val="afb"/>
          <w:rFonts w:ascii="Tahoma" w:hAnsi="Tahoma" w:cs="Tahoma"/>
        </w:rPr>
        <w:t>е</w:t>
      </w:r>
      <w:r w:rsidRPr="00730339">
        <w:rPr>
          <w:rStyle w:val="afb"/>
          <w:rFonts w:ascii="Tahoma" w:hAnsi="Tahoma" w:cs="Tahoma"/>
        </w:rPr>
        <w:t>н</w:t>
      </w:r>
      <w:r w:rsidR="001011FA">
        <w:rPr>
          <w:rStyle w:val="afb"/>
          <w:rFonts w:ascii="Tahoma" w:hAnsi="Tahoma" w:cs="Tahoma"/>
        </w:rPr>
        <w:t>ь</w:t>
      </w:r>
      <w:r w:rsidRPr="00730339">
        <w:rPr>
          <w:rStyle w:val="afb"/>
          <w:rFonts w:ascii="Tahoma" w:hAnsi="Tahoma" w:cs="Tahoma"/>
        </w:rPr>
        <w:t xml:space="preserve"> в случае отзыва (аннулирования) Банком России лицензии на осуществление банковских операций у эмитента-кредитной организации.</w:t>
      </w:r>
    </w:p>
    <w:p w:rsidR="00730339" w:rsidRDefault="00730339" w:rsidP="00730339"/>
    <w:sectPr w:rsidR="00730339" w:rsidSect="003E575D">
      <w:footerReference w:type="default" r:id="rId8"/>
      <w:pgSz w:w="11900" w:h="16840"/>
      <w:pgMar w:top="426" w:right="851" w:bottom="284" w:left="851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9A5" w:rsidRDefault="00C849A5">
      <w:r>
        <w:separator/>
      </w:r>
    </w:p>
  </w:endnote>
  <w:endnote w:type="continuationSeparator" w:id="0">
    <w:p w:rsidR="00C849A5" w:rsidRDefault="00C8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745543"/>
      <w:docPartObj>
        <w:docPartGallery w:val="Page Numbers (Bottom of Page)"/>
        <w:docPartUnique/>
      </w:docPartObj>
    </w:sdtPr>
    <w:sdtEndPr/>
    <w:sdtContent>
      <w:p w:rsidR="00CD60F2" w:rsidRDefault="00CD60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9FA">
          <w:rPr>
            <w:noProof/>
          </w:rPr>
          <w:t>1</w:t>
        </w:r>
        <w:r>
          <w:fldChar w:fldCharType="end"/>
        </w:r>
      </w:p>
    </w:sdtContent>
  </w:sdt>
  <w:p w:rsidR="006B752C" w:rsidRDefault="006B752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9A5" w:rsidRDefault="00C849A5">
      <w:r>
        <w:separator/>
      </w:r>
    </w:p>
  </w:footnote>
  <w:footnote w:type="continuationSeparator" w:id="0">
    <w:p w:rsidR="00C849A5" w:rsidRDefault="00C849A5">
      <w:r>
        <w:continuationSeparator/>
      </w:r>
    </w:p>
  </w:footnote>
  <w:footnote w:id="1">
    <w:p w:rsidR="00730339" w:rsidRPr="00951CF0" w:rsidRDefault="00730339" w:rsidP="00865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51CF0">
        <w:rPr>
          <w:rFonts w:ascii="Tahoma" w:eastAsia="Times New Roman" w:hAnsi="Tahoma" w:cs="Tahoma"/>
          <w:vertAlign w:val="superscript"/>
        </w:rPr>
        <w:footnoteRef/>
      </w:r>
      <w:r w:rsidRPr="00951CF0">
        <w:rPr>
          <w:rFonts w:ascii="Tahoma" w:hAnsi="Tahoma" w:cs="Tahoma"/>
        </w:rPr>
        <w:t xml:space="preserve"> </w:t>
      </w:r>
      <w:r w:rsidR="00865AD4" w:rsidRPr="00951CF0">
        <w:rPr>
          <w:rFonts w:ascii="Tahoma" w:hAnsi="Tahoma" w:cs="Tahoma"/>
          <w:bCs/>
          <w:color w:val="auto"/>
        </w:rPr>
        <w:t xml:space="preserve">Указание Банка России от 19.06.2017 № 4418-У"О внесении изменений в Положение Банка России от 24 февраля 2016 года </w:t>
      </w:r>
      <w:r w:rsidR="009B43B5" w:rsidRPr="00951CF0">
        <w:rPr>
          <w:rFonts w:ascii="Tahoma" w:hAnsi="Tahoma" w:cs="Tahoma"/>
          <w:bCs/>
          <w:color w:val="auto"/>
        </w:rPr>
        <w:t>№</w:t>
      </w:r>
      <w:r w:rsidR="00865AD4" w:rsidRPr="00951CF0">
        <w:rPr>
          <w:rFonts w:ascii="Tahoma" w:hAnsi="Tahoma" w:cs="Tahoma"/>
          <w:bCs/>
          <w:color w:val="auto"/>
        </w:rPr>
        <w:t xml:space="preserve"> 534-П "О допуске ценных бумаг к организованным торгам"</w:t>
      </w:r>
    </w:p>
  </w:footnote>
  <w:footnote w:id="2">
    <w:p w:rsidR="00204406" w:rsidRPr="00951CF0" w:rsidRDefault="00204406" w:rsidP="00204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730339">
        <w:rPr>
          <w:rFonts w:ascii="Tahoma" w:eastAsia="Times New Roman" w:hAnsi="Tahoma" w:cs="Tahoma"/>
          <w:vertAlign w:val="superscript"/>
        </w:rPr>
        <w:footnoteRef/>
      </w:r>
      <w:r w:rsidRPr="00730339">
        <w:rPr>
          <w:rFonts w:ascii="Tahoma" w:hAnsi="Tahoma" w:cs="Tahoma"/>
        </w:rPr>
        <w:t xml:space="preserve"> </w:t>
      </w:r>
      <w:r w:rsidRPr="00951CF0">
        <w:rPr>
          <w:rFonts w:ascii="Tahoma" w:hAnsi="Tahoma" w:cs="Tahoma"/>
          <w:bCs/>
          <w:color w:val="auto"/>
        </w:rPr>
        <w:t>Указание Банка России от 19.06.2017 № 4418-У"О внесении изменений в Положение Банка России от 24 февраля 2016 года № 534-П "О допуске ценных бумаг к организованным торгам"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2E4"/>
    <w:multiLevelType w:val="hybridMultilevel"/>
    <w:tmpl w:val="D7E2A652"/>
    <w:lvl w:ilvl="0" w:tplc="3D32F588">
      <w:numFmt w:val="bullet"/>
      <w:lvlText w:val=""/>
      <w:lvlJc w:val="left"/>
      <w:pPr>
        <w:ind w:left="725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0A3A7536"/>
    <w:multiLevelType w:val="multilevel"/>
    <w:tmpl w:val="C1DA5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FC4334"/>
    <w:multiLevelType w:val="hybridMultilevel"/>
    <w:tmpl w:val="78D60B24"/>
    <w:lvl w:ilvl="0" w:tplc="9E965D6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F3905AEA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2AE5"/>
    <w:multiLevelType w:val="multilevel"/>
    <w:tmpl w:val="C1EAD9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4" w15:restartNumberingAfterBreak="0">
    <w:nsid w:val="0F875078"/>
    <w:multiLevelType w:val="hybridMultilevel"/>
    <w:tmpl w:val="F8D213A8"/>
    <w:lvl w:ilvl="0" w:tplc="76F4F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E92223"/>
    <w:multiLevelType w:val="hybridMultilevel"/>
    <w:tmpl w:val="B5CA8734"/>
    <w:numStyleLink w:val="2"/>
  </w:abstractNum>
  <w:abstractNum w:abstractNumId="6" w15:restartNumberingAfterBreak="0">
    <w:nsid w:val="27686E7B"/>
    <w:multiLevelType w:val="hybridMultilevel"/>
    <w:tmpl w:val="374E02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501C2"/>
    <w:multiLevelType w:val="hybridMultilevel"/>
    <w:tmpl w:val="2D96483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7B44566"/>
    <w:multiLevelType w:val="multilevel"/>
    <w:tmpl w:val="592A28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56" w:hanging="1800"/>
      </w:pPr>
      <w:rPr>
        <w:rFonts w:hint="default"/>
      </w:rPr>
    </w:lvl>
  </w:abstractNum>
  <w:abstractNum w:abstractNumId="9" w15:restartNumberingAfterBreak="0">
    <w:nsid w:val="398E3855"/>
    <w:multiLevelType w:val="hybridMultilevel"/>
    <w:tmpl w:val="B5CA8734"/>
    <w:styleLink w:val="2"/>
    <w:lvl w:ilvl="0" w:tplc="426C8CEA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FE0D72">
      <w:start w:val="1"/>
      <w:numFmt w:val="lowerLetter"/>
      <w:lvlText w:val="%2."/>
      <w:lvlJc w:val="left"/>
      <w:pPr>
        <w:tabs>
          <w:tab w:val="left" w:pos="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2C13E4">
      <w:start w:val="1"/>
      <w:numFmt w:val="lowerRoman"/>
      <w:lvlText w:val="%3."/>
      <w:lvlJc w:val="left"/>
      <w:pPr>
        <w:tabs>
          <w:tab w:val="left" w:pos="720"/>
        </w:tabs>
        <w:ind w:left="216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D48CE8">
      <w:start w:val="1"/>
      <w:numFmt w:val="decimal"/>
      <w:lvlText w:val="%4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569E46">
      <w:start w:val="1"/>
      <w:numFmt w:val="lowerLetter"/>
      <w:lvlText w:val="%5."/>
      <w:lvlJc w:val="left"/>
      <w:pPr>
        <w:tabs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005468">
      <w:start w:val="1"/>
      <w:numFmt w:val="lowerRoman"/>
      <w:lvlText w:val="%6."/>
      <w:lvlJc w:val="left"/>
      <w:pPr>
        <w:tabs>
          <w:tab w:val="left" w:pos="720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9AFBBA">
      <w:start w:val="1"/>
      <w:numFmt w:val="decimal"/>
      <w:lvlText w:val="%7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427C40">
      <w:start w:val="1"/>
      <w:numFmt w:val="lowerLetter"/>
      <w:lvlText w:val="%8."/>
      <w:lvlJc w:val="left"/>
      <w:pPr>
        <w:tabs>
          <w:tab w:val="left" w:pos="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7C1AF4">
      <w:start w:val="1"/>
      <w:numFmt w:val="lowerRoman"/>
      <w:lvlText w:val="%9."/>
      <w:lvlJc w:val="left"/>
      <w:pPr>
        <w:tabs>
          <w:tab w:val="left" w:pos="720"/>
        </w:tabs>
        <w:ind w:left="64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1A81E1B"/>
    <w:multiLevelType w:val="hybridMultilevel"/>
    <w:tmpl w:val="6EE2731A"/>
    <w:styleLink w:val="1"/>
    <w:lvl w:ilvl="0" w:tplc="0CFC6674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06C4EE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5C7D10">
      <w:start w:val="1"/>
      <w:numFmt w:val="lowerRoman"/>
      <w:lvlText w:val="%3."/>
      <w:lvlJc w:val="left"/>
      <w:pPr>
        <w:ind w:left="2149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284864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DECDB8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E61DD4">
      <w:start w:val="1"/>
      <w:numFmt w:val="lowerRoman"/>
      <w:lvlText w:val="%6."/>
      <w:lvlJc w:val="left"/>
      <w:pPr>
        <w:ind w:left="4309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405DF4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6AD19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E63130">
      <w:start w:val="1"/>
      <w:numFmt w:val="lowerRoman"/>
      <w:lvlText w:val="%9."/>
      <w:lvlJc w:val="left"/>
      <w:pPr>
        <w:ind w:left="6469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7914013"/>
    <w:multiLevelType w:val="hybridMultilevel"/>
    <w:tmpl w:val="21E8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E4C61"/>
    <w:multiLevelType w:val="hybridMultilevel"/>
    <w:tmpl w:val="ED80D0F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FBF0A4C"/>
    <w:multiLevelType w:val="hybridMultilevel"/>
    <w:tmpl w:val="B5CA8734"/>
    <w:numStyleLink w:val="2"/>
  </w:abstractNum>
  <w:abstractNum w:abstractNumId="14" w15:restartNumberingAfterBreak="0">
    <w:nsid w:val="51A451AD"/>
    <w:multiLevelType w:val="multilevel"/>
    <w:tmpl w:val="6624E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1E63B80"/>
    <w:multiLevelType w:val="hybridMultilevel"/>
    <w:tmpl w:val="DFFC6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53BF0"/>
    <w:multiLevelType w:val="hybridMultilevel"/>
    <w:tmpl w:val="584235EA"/>
    <w:lvl w:ilvl="0" w:tplc="DB1EBF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46A3AF2"/>
    <w:multiLevelType w:val="hybridMultilevel"/>
    <w:tmpl w:val="6EE2731A"/>
    <w:numStyleLink w:val="1"/>
  </w:abstractNum>
  <w:abstractNum w:abstractNumId="18" w15:restartNumberingAfterBreak="0">
    <w:nsid w:val="550B49B6"/>
    <w:multiLevelType w:val="hybridMultilevel"/>
    <w:tmpl w:val="0F5EEF02"/>
    <w:lvl w:ilvl="0" w:tplc="3D32F588">
      <w:numFmt w:val="bullet"/>
      <w:lvlText w:val=""/>
      <w:lvlJc w:val="left"/>
      <w:pPr>
        <w:ind w:left="511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 w15:restartNumberingAfterBreak="0">
    <w:nsid w:val="68EC029F"/>
    <w:multiLevelType w:val="multilevel"/>
    <w:tmpl w:val="149A9A38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12" w:hanging="79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2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765E4FCC"/>
    <w:multiLevelType w:val="hybridMultilevel"/>
    <w:tmpl w:val="216460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FA01BB"/>
    <w:multiLevelType w:val="hybridMultilevel"/>
    <w:tmpl w:val="15500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17"/>
  </w:num>
  <w:num w:numId="3">
    <w:abstractNumId w:val="17"/>
    <w:lvlOverride w:ilvl="0">
      <w:lvl w:ilvl="0" w:tplc="0CE039C8">
        <w:start w:val="3"/>
        <w:numFmt w:val="decimal"/>
        <w:lvlText w:val="%1."/>
        <w:lvlJc w:val="left"/>
        <w:pPr>
          <w:ind w:left="85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E6215E">
        <w:start w:val="1"/>
        <w:numFmt w:val="lowerLetter"/>
        <w:lvlText w:val="%2."/>
        <w:lvlJc w:val="left"/>
        <w:pPr>
          <w:ind w:left="157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C8023A">
        <w:start w:val="1"/>
        <w:numFmt w:val="lowerRoman"/>
        <w:lvlText w:val="%3."/>
        <w:lvlJc w:val="left"/>
        <w:pPr>
          <w:ind w:left="2290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FE6C96">
        <w:start w:val="1"/>
        <w:numFmt w:val="decimal"/>
        <w:lvlText w:val="%4."/>
        <w:lvlJc w:val="left"/>
        <w:pPr>
          <w:ind w:left="301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7248E4">
        <w:start w:val="1"/>
        <w:numFmt w:val="lowerLetter"/>
        <w:lvlText w:val="%5."/>
        <w:lvlJc w:val="left"/>
        <w:pPr>
          <w:ind w:left="373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042FAE">
        <w:start w:val="1"/>
        <w:numFmt w:val="lowerRoman"/>
        <w:lvlText w:val="%6."/>
        <w:lvlJc w:val="left"/>
        <w:pPr>
          <w:ind w:left="4450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4EFA92">
        <w:start w:val="1"/>
        <w:numFmt w:val="decimal"/>
        <w:lvlText w:val="%7."/>
        <w:lvlJc w:val="left"/>
        <w:pPr>
          <w:ind w:left="517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EAFD56">
        <w:start w:val="1"/>
        <w:numFmt w:val="lowerLetter"/>
        <w:lvlText w:val="%8."/>
        <w:lvlJc w:val="left"/>
        <w:pPr>
          <w:ind w:left="589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66ADDE">
        <w:start w:val="1"/>
        <w:numFmt w:val="lowerRoman"/>
        <w:lvlText w:val="%9."/>
        <w:lvlJc w:val="left"/>
        <w:pPr>
          <w:ind w:left="6610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9"/>
  </w:num>
  <w:num w:numId="5">
    <w:abstractNumId w:val="5"/>
  </w:num>
  <w:num w:numId="6">
    <w:abstractNumId w:val="11"/>
  </w:num>
  <w:num w:numId="7">
    <w:abstractNumId w:val="18"/>
  </w:num>
  <w:num w:numId="8">
    <w:abstractNumId w:val="0"/>
  </w:num>
  <w:num w:numId="9">
    <w:abstractNumId w:val="21"/>
  </w:num>
  <w:num w:numId="10">
    <w:abstractNumId w:val="4"/>
  </w:num>
  <w:num w:numId="11">
    <w:abstractNumId w:val="1"/>
  </w:num>
  <w:num w:numId="12">
    <w:abstractNumId w:val="15"/>
  </w:num>
  <w:num w:numId="13">
    <w:abstractNumId w:val="19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</w:num>
  <w:num w:numId="18">
    <w:abstractNumId w:val="3"/>
  </w:num>
  <w:num w:numId="19">
    <w:abstractNumId w:val="13"/>
    <w:lvlOverride w:ilvl="0">
      <w:lvl w:ilvl="0" w:tplc="AF6AEF88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"/>
    <w:lvlOverride w:ilvl="0">
      <w:startOverride w:val="1"/>
      <w:lvl w:ilvl="0" w:tplc="AF6AEF88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0"/>
  </w:num>
  <w:num w:numId="22">
    <w:abstractNumId w:val="16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2C"/>
    <w:rsid w:val="000056AE"/>
    <w:rsid w:val="0004346D"/>
    <w:rsid w:val="00060027"/>
    <w:rsid w:val="00062493"/>
    <w:rsid w:val="000B4D21"/>
    <w:rsid w:val="001011FA"/>
    <w:rsid w:val="001064A3"/>
    <w:rsid w:val="00167773"/>
    <w:rsid w:val="001A6D64"/>
    <w:rsid w:val="001C7648"/>
    <w:rsid w:val="001D7753"/>
    <w:rsid w:val="001E3A54"/>
    <w:rsid w:val="00204406"/>
    <w:rsid w:val="00261644"/>
    <w:rsid w:val="002D4BE6"/>
    <w:rsid w:val="00315E21"/>
    <w:rsid w:val="00317F62"/>
    <w:rsid w:val="00356A0C"/>
    <w:rsid w:val="003B7D28"/>
    <w:rsid w:val="003E575D"/>
    <w:rsid w:val="003E75F3"/>
    <w:rsid w:val="0043148F"/>
    <w:rsid w:val="00444A43"/>
    <w:rsid w:val="004654CC"/>
    <w:rsid w:val="00485962"/>
    <w:rsid w:val="00495BCC"/>
    <w:rsid w:val="004C77E7"/>
    <w:rsid w:val="004E6B27"/>
    <w:rsid w:val="00501F1E"/>
    <w:rsid w:val="00522469"/>
    <w:rsid w:val="0053369C"/>
    <w:rsid w:val="00540C43"/>
    <w:rsid w:val="00561CE9"/>
    <w:rsid w:val="0057612D"/>
    <w:rsid w:val="005859FA"/>
    <w:rsid w:val="00594476"/>
    <w:rsid w:val="005C0D0B"/>
    <w:rsid w:val="005C2883"/>
    <w:rsid w:val="005D5938"/>
    <w:rsid w:val="005F1D1C"/>
    <w:rsid w:val="006248B8"/>
    <w:rsid w:val="006B752C"/>
    <w:rsid w:val="006C3F40"/>
    <w:rsid w:val="00712A0E"/>
    <w:rsid w:val="00730339"/>
    <w:rsid w:val="00760F9C"/>
    <w:rsid w:val="00770226"/>
    <w:rsid w:val="007758FD"/>
    <w:rsid w:val="00781F1D"/>
    <w:rsid w:val="007A434A"/>
    <w:rsid w:val="007B73EE"/>
    <w:rsid w:val="007F20B6"/>
    <w:rsid w:val="00804C5E"/>
    <w:rsid w:val="0084616B"/>
    <w:rsid w:val="00865AD4"/>
    <w:rsid w:val="008A0E1D"/>
    <w:rsid w:val="008C3D14"/>
    <w:rsid w:val="008D22F9"/>
    <w:rsid w:val="00904A07"/>
    <w:rsid w:val="00912AAC"/>
    <w:rsid w:val="00951CF0"/>
    <w:rsid w:val="00963106"/>
    <w:rsid w:val="00965289"/>
    <w:rsid w:val="009677A5"/>
    <w:rsid w:val="0098788A"/>
    <w:rsid w:val="009A1438"/>
    <w:rsid w:val="009B43B5"/>
    <w:rsid w:val="009E2056"/>
    <w:rsid w:val="009E215F"/>
    <w:rsid w:val="009E43F6"/>
    <w:rsid w:val="00A07353"/>
    <w:rsid w:val="00A22F35"/>
    <w:rsid w:val="00A35A74"/>
    <w:rsid w:val="00A40670"/>
    <w:rsid w:val="00A44C73"/>
    <w:rsid w:val="00A71E53"/>
    <w:rsid w:val="00A71ED9"/>
    <w:rsid w:val="00A97096"/>
    <w:rsid w:val="00AA53F2"/>
    <w:rsid w:val="00AC4D07"/>
    <w:rsid w:val="00AE5687"/>
    <w:rsid w:val="00BC3793"/>
    <w:rsid w:val="00C737FC"/>
    <w:rsid w:val="00C849A5"/>
    <w:rsid w:val="00C91AAA"/>
    <w:rsid w:val="00C97545"/>
    <w:rsid w:val="00CC1DBD"/>
    <w:rsid w:val="00CD26C9"/>
    <w:rsid w:val="00CD529E"/>
    <w:rsid w:val="00CD60F2"/>
    <w:rsid w:val="00CE2BF8"/>
    <w:rsid w:val="00CF4FB3"/>
    <w:rsid w:val="00D00F63"/>
    <w:rsid w:val="00D028E3"/>
    <w:rsid w:val="00D470C4"/>
    <w:rsid w:val="00D76A6C"/>
    <w:rsid w:val="00D879A9"/>
    <w:rsid w:val="00D96F8B"/>
    <w:rsid w:val="00DC0398"/>
    <w:rsid w:val="00DF086E"/>
    <w:rsid w:val="00DF4A95"/>
    <w:rsid w:val="00E042C1"/>
    <w:rsid w:val="00E1090F"/>
    <w:rsid w:val="00E50B0B"/>
    <w:rsid w:val="00E54707"/>
    <w:rsid w:val="00E62040"/>
    <w:rsid w:val="00E65E0B"/>
    <w:rsid w:val="00E945D1"/>
    <w:rsid w:val="00F020DC"/>
    <w:rsid w:val="00F54D72"/>
    <w:rsid w:val="00F65631"/>
    <w:rsid w:val="00F9481D"/>
    <w:rsid w:val="00FA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94074-4F6E-46BC-BD18-7EE99F3D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link w:val="a6"/>
    <w:uiPriority w:val="99"/>
    <w:pPr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character" w:customStyle="1" w:styleId="A7">
    <w:name w:val="Нет A"/>
    <w:rPr>
      <w:lang w:val="ru-RU"/>
    </w:rPr>
  </w:style>
  <w:style w:type="paragraph" w:styleId="a8">
    <w:name w:val="List Paragraph"/>
    <w:qFormat/>
    <w:pPr>
      <w:spacing w:after="200" w:line="276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A7"/>
    <w:rPr>
      <w:rFonts w:ascii="Times New Roman" w:hAnsi="Times New Roman" w:hint="default"/>
      <w:color w:val="000000"/>
      <w:u w:color="000000"/>
      <w:lang w:val="ru-RU"/>
    </w:rPr>
  </w:style>
  <w:style w:type="paragraph" w:customStyle="1" w:styleId="a9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aa">
    <w:name w:val="Body Text Indent"/>
    <w:pPr>
      <w:widowControl w:val="0"/>
      <w:spacing w:before="120" w:line="360" w:lineRule="auto"/>
      <w:ind w:firstLine="7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Iniiaiieoaeno">
    <w:name w:val="Iniiaiie oaeno"/>
    <w:pPr>
      <w:widowControl w:val="0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4"/>
      </w:numPr>
    </w:p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Текст примечания Знак"/>
    <w:basedOn w:val="a0"/>
    <w:link w:val="ab"/>
    <w:uiPriority w:val="99"/>
    <w:semiHidden/>
    <w:rPr>
      <w:rFonts w:cs="Arial Unicode MS"/>
      <w:color w:val="000000"/>
      <w:u w:color="00000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A22F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F35"/>
    <w:rPr>
      <w:rFonts w:ascii="Tahoma" w:hAnsi="Tahoma" w:cs="Tahoma"/>
      <w:color w:val="000000"/>
      <w:sz w:val="16"/>
      <w:szCs w:val="16"/>
      <w:u w:color="000000"/>
    </w:rPr>
  </w:style>
  <w:style w:type="paragraph" w:styleId="af0">
    <w:name w:val="No Spacing"/>
    <w:uiPriority w:val="1"/>
    <w:qFormat/>
    <w:rsid w:val="00356A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customStyle="1" w:styleId="Iauiue">
    <w:name w:val="Iau?iue"/>
    <w:uiPriority w:val="99"/>
    <w:rsid w:val="001E3A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af1">
    <w:name w:val="Подраздел оглавления"/>
    <w:basedOn w:val="a"/>
    <w:link w:val="af2"/>
    <w:qFormat/>
    <w:rsid w:val="001E3A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ind w:left="360"/>
      <w:textAlignment w:val="baseline"/>
    </w:pPr>
    <w:rPr>
      <w:rFonts w:ascii="Baltica" w:eastAsia="Times New Roman" w:hAnsi="Baltica" w:cs="Times New Roman"/>
      <w:b/>
      <w:color w:val="auto"/>
      <w:sz w:val="24"/>
      <w:bdr w:val="none" w:sz="0" w:space="0" w:color="auto"/>
      <w:lang w:val="x-none" w:eastAsia="x-none"/>
    </w:rPr>
  </w:style>
  <w:style w:type="character" w:customStyle="1" w:styleId="af2">
    <w:name w:val="Подраздел оглавления Знак"/>
    <w:link w:val="af1"/>
    <w:locked/>
    <w:rsid w:val="001E3A54"/>
    <w:rPr>
      <w:rFonts w:ascii="Baltica" w:eastAsia="Times New Roman" w:hAnsi="Baltica"/>
      <w:b/>
      <w:sz w:val="24"/>
      <w:bdr w:val="none" w:sz="0" w:space="0" w:color="auto"/>
      <w:lang w:val="x-none" w:eastAsia="x-none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1E3A54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1E3A54"/>
    <w:rPr>
      <w:rFonts w:cs="Arial Unicode MS"/>
      <w:b/>
      <w:bCs/>
      <w:color w:val="000000"/>
      <w:u w:color="000000"/>
    </w:rPr>
  </w:style>
  <w:style w:type="paragraph" w:styleId="af5">
    <w:name w:val="Document Map"/>
    <w:basedOn w:val="a"/>
    <w:link w:val="af6"/>
    <w:uiPriority w:val="99"/>
    <w:semiHidden/>
    <w:unhideWhenUsed/>
    <w:rsid w:val="00781F1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81F1D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Aaoieeeieiioeooe1">
    <w:name w:val="Aa?oiee eieiioeooe1"/>
    <w:basedOn w:val="a"/>
    <w:uiPriority w:val="99"/>
    <w:rsid w:val="00DF086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af7">
    <w:name w:val="header"/>
    <w:basedOn w:val="a"/>
    <w:link w:val="af8"/>
    <w:uiPriority w:val="99"/>
    <w:unhideWhenUsed/>
    <w:rsid w:val="00CD60F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CD60F2"/>
    <w:rPr>
      <w:rFonts w:cs="Arial Unicode MS"/>
      <w:color w:val="000000"/>
      <w:u w:color="000000"/>
    </w:rPr>
  </w:style>
  <w:style w:type="character" w:customStyle="1" w:styleId="a6">
    <w:name w:val="Нижний колонтитул Знак"/>
    <w:basedOn w:val="a0"/>
    <w:link w:val="a5"/>
    <w:uiPriority w:val="99"/>
    <w:rsid w:val="00CD60F2"/>
    <w:rPr>
      <w:rFonts w:cs="Arial Unicode MS"/>
      <w:color w:val="000000"/>
      <w:u w:color="000000"/>
    </w:rPr>
  </w:style>
  <w:style w:type="paragraph" w:styleId="af9">
    <w:name w:val="footnote text"/>
    <w:basedOn w:val="a"/>
    <w:link w:val="afa"/>
    <w:unhideWhenUsed/>
    <w:rsid w:val="00730339"/>
  </w:style>
  <w:style w:type="character" w:customStyle="1" w:styleId="afa">
    <w:name w:val="Текст сноски Знак"/>
    <w:basedOn w:val="a0"/>
    <w:link w:val="af9"/>
    <w:rsid w:val="00730339"/>
    <w:rPr>
      <w:rFonts w:cs="Arial Unicode MS"/>
      <w:color w:val="000000"/>
      <w:u w:color="000000"/>
    </w:rPr>
  </w:style>
  <w:style w:type="character" w:customStyle="1" w:styleId="afb">
    <w:name w:val="Нет"/>
    <w:rsid w:val="0073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3DA28-345F-40F6-8BB7-A9985AE2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Евгения Николаевна</dc:creator>
  <cp:lastModifiedBy>Минакова Евгения Николаевна</cp:lastModifiedBy>
  <cp:revision>20</cp:revision>
  <cp:lastPrinted>2017-02-14T14:01:00Z</cp:lastPrinted>
  <dcterms:created xsi:type="dcterms:W3CDTF">2017-06-23T09:16:00Z</dcterms:created>
  <dcterms:modified xsi:type="dcterms:W3CDTF">2017-07-17T08:21:00Z</dcterms:modified>
</cp:coreProperties>
</file>