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85D924" w14:textId="77777777" w:rsidR="006F4CF6" w:rsidRPr="00885F2E" w:rsidRDefault="006F4CF6" w:rsidP="006F4CF6">
      <w:pPr>
        <w:jc w:val="center"/>
        <w:rPr>
          <w:rFonts w:cs="Times New Roman"/>
          <w:b/>
          <w:sz w:val="22"/>
          <w:szCs w:val="22"/>
        </w:rPr>
      </w:pPr>
      <w:r w:rsidRPr="00885F2E">
        <w:rPr>
          <w:rFonts w:cs="Times New Roman"/>
          <w:b/>
          <w:sz w:val="22"/>
          <w:szCs w:val="22"/>
        </w:rPr>
        <w:t>Перечень основных изменений, внесенных в Правила листинга ПАО Московская</w:t>
      </w:r>
    </w:p>
    <w:p w14:paraId="11C4FDB0" w14:textId="77777777" w:rsidR="00BA3E25" w:rsidRPr="00AA2F3B" w:rsidRDefault="00BA3E25" w:rsidP="00977E6B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4D4509C8" w14:textId="2901F789" w:rsidR="00683CC7" w:rsidRPr="00AA2F3B" w:rsidRDefault="00F53D0A" w:rsidP="00977E6B">
      <w:pPr>
        <w:spacing w:line="276" w:lineRule="auto"/>
        <w:ind w:firstLine="540"/>
        <w:jc w:val="both"/>
        <w:rPr>
          <w:rFonts w:cs="Times New Roman"/>
          <w:sz w:val="22"/>
          <w:szCs w:val="22"/>
        </w:rPr>
      </w:pPr>
      <w:r w:rsidRPr="00AA2F3B">
        <w:rPr>
          <w:rFonts w:cs="Times New Roman"/>
          <w:sz w:val="22"/>
          <w:szCs w:val="22"/>
        </w:rPr>
        <w:t>В целях развития листинга ценных бумаг</w:t>
      </w:r>
      <w:r w:rsidR="00001998">
        <w:rPr>
          <w:rFonts w:cs="Times New Roman"/>
          <w:sz w:val="22"/>
          <w:szCs w:val="22"/>
        </w:rPr>
        <w:t xml:space="preserve"> и</w:t>
      </w:r>
      <w:r w:rsidR="00CA1A87" w:rsidRPr="00B12BE0">
        <w:rPr>
          <w:rFonts w:cs="Times New Roman"/>
          <w:sz w:val="22"/>
          <w:szCs w:val="22"/>
        </w:rPr>
        <w:t xml:space="preserve"> </w:t>
      </w:r>
      <w:r w:rsidR="002D2B61" w:rsidRPr="00AA2F3B">
        <w:rPr>
          <w:rFonts w:cs="Times New Roman"/>
          <w:sz w:val="22"/>
          <w:szCs w:val="22"/>
        </w:rPr>
        <w:t>в связи с</w:t>
      </w:r>
      <w:r w:rsidR="009B1365">
        <w:rPr>
          <w:rFonts w:cs="Times New Roman"/>
          <w:sz w:val="22"/>
          <w:szCs w:val="22"/>
        </w:rPr>
        <w:t>о</w:t>
      </w:r>
      <w:r w:rsidR="002D2B61" w:rsidRPr="00AA2F3B">
        <w:rPr>
          <w:rFonts w:cs="Times New Roman"/>
          <w:sz w:val="22"/>
          <w:szCs w:val="22"/>
        </w:rPr>
        <w:t xml:space="preserve"> вступлением в силу изменений в </w:t>
      </w:r>
      <w:r w:rsidR="00B12BE0">
        <w:rPr>
          <w:rFonts w:cs="Times New Roman"/>
          <w:sz w:val="22"/>
          <w:szCs w:val="22"/>
        </w:rPr>
        <w:t>стать</w:t>
      </w:r>
      <w:r w:rsidR="00937FD7">
        <w:rPr>
          <w:rFonts w:cs="Times New Roman"/>
          <w:sz w:val="22"/>
          <w:szCs w:val="22"/>
        </w:rPr>
        <w:t>и</w:t>
      </w:r>
      <w:r w:rsidR="00B12BE0">
        <w:rPr>
          <w:rFonts w:cs="Times New Roman"/>
          <w:sz w:val="22"/>
          <w:szCs w:val="22"/>
        </w:rPr>
        <w:t xml:space="preserve"> 14 </w:t>
      </w:r>
      <w:r w:rsidR="00937FD7">
        <w:rPr>
          <w:rFonts w:cs="Times New Roman"/>
          <w:sz w:val="22"/>
          <w:szCs w:val="22"/>
        </w:rPr>
        <w:t xml:space="preserve">и 51.1. </w:t>
      </w:r>
      <w:r w:rsidR="002D2B61" w:rsidRPr="00AA2F3B">
        <w:rPr>
          <w:rFonts w:cs="Times New Roman"/>
          <w:sz w:val="22"/>
          <w:szCs w:val="22"/>
        </w:rPr>
        <w:t>Федеральн</w:t>
      </w:r>
      <w:r w:rsidR="00B12BE0">
        <w:rPr>
          <w:rFonts w:cs="Times New Roman"/>
          <w:sz w:val="22"/>
          <w:szCs w:val="22"/>
        </w:rPr>
        <w:t>ого</w:t>
      </w:r>
      <w:r w:rsidR="002D2B61" w:rsidRPr="00AA2F3B">
        <w:rPr>
          <w:rFonts w:cs="Times New Roman"/>
          <w:sz w:val="22"/>
          <w:szCs w:val="22"/>
        </w:rPr>
        <w:t xml:space="preserve"> закон</w:t>
      </w:r>
      <w:r w:rsidR="00B12BE0">
        <w:rPr>
          <w:rFonts w:cs="Times New Roman"/>
          <w:sz w:val="22"/>
          <w:szCs w:val="22"/>
        </w:rPr>
        <w:t>а</w:t>
      </w:r>
      <w:r w:rsidR="002D2B61" w:rsidRPr="00AA2F3B">
        <w:rPr>
          <w:rFonts w:cs="Times New Roman"/>
          <w:sz w:val="22"/>
          <w:szCs w:val="22"/>
        </w:rPr>
        <w:t xml:space="preserve"> </w:t>
      </w:r>
      <w:r w:rsidR="00F6271B">
        <w:rPr>
          <w:rFonts w:cs="Times New Roman"/>
          <w:sz w:val="22"/>
          <w:szCs w:val="22"/>
        </w:rPr>
        <w:t>«</w:t>
      </w:r>
      <w:r w:rsidR="002D2B61" w:rsidRPr="00AA2F3B">
        <w:rPr>
          <w:rFonts w:cs="Times New Roman"/>
          <w:sz w:val="22"/>
          <w:szCs w:val="22"/>
        </w:rPr>
        <w:t>О рынке ценных бумаг</w:t>
      </w:r>
      <w:r w:rsidR="00F6271B">
        <w:rPr>
          <w:rFonts w:cs="Times New Roman"/>
          <w:sz w:val="22"/>
          <w:szCs w:val="22"/>
        </w:rPr>
        <w:t>»</w:t>
      </w:r>
      <w:r w:rsidR="002D2B61" w:rsidRPr="00001998">
        <w:rPr>
          <w:vertAlign w:val="superscript"/>
        </w:rPr>
        <w:footnoteReference w:id="2"/>
      </w:r>
      <w:r w:rsidR="002D2B61" w:rsidRPr="00AA2F3B">
        <w:rPr>
          <w:rFonts w:cs="Times New Roman"/>
          <w:sz w:val="22"/>
          <w:szCs w:val="22"/>
        </w:rPr>
        <w:t xml:space="preserve"> </w:t>
      </w:r>
      <w:r w:rsidR="00042473" w:rsidRPr="00820F02">
        <w:rPr>
          <w:rFonts w:eastAsia="Times New Roman" w:cs="Times New Roman"/>
          <w:sz w:val="22"/>
          <w:szCs w:val="22"/>
        </w:rPr>
        <w:t xml:space="preserve">подготовлена и утверждена Наблюдательным советом ПАО Московская Биржа (протокол № 12 от 16.11.2020 г.) </w:t>
      </w:r>
      <w:r w:rsidRPr="00820F02">
        <w:rPr>
          <w:rFonts w:cs="Times New Roman"/>
          <w:sz w:val="22"/>
          <w:szCs w:val="22"/>
        </w:rPr>
        <w:t>новая редакция Правил</w:t>
      </w:r>
      <w:r w:rsidRPr="00AA2F3B">
        <w:rPr>
          <w:rFonts w:cs="Times New Roman"/>
          <w:sz w:val="22"/>
          <w:szCs w:val="22"/>
        </w:rPr>
        <w:t xml:space="preserve"> листинга ПАО Московская </w:t>
      </w:r>
      <w:r w:rsidRPr="00513A09">
        <w:rPr>
          <w:rFonts w:cs="Times New Roman"/>
          <w:sz w:val="22"/>
          <w:szCs w:val="22"/>
        </w:rPr>
        <w:t>Биржа</w:t>
      </w:r>
      <w:r w:rsidR="00513A09" w:rsidRPr="00513A09">
        <w:rPr>
          <w:rFonts w:cs="Times New Roman"/>
          <w:sz w:val="22"/>
          <w:szCs w:val="22"/>
        </w:rPr>
        <w:t xml:space="preserve"> (далее – Правила)</w:t>
      </w:r>
      <w:r w:rsidRPr="00513A09">
        <w:rPr>
          <w:rFonts w:cs="Times New Roman"/>
          <w:sz w:val="22"/>
          <w:szCs w:val="22"/>
        </w:rPr>
        <w:t>, содержащая</w:t>
      </w:r>
      <w:r w:rsidRPr="00AA2F3B">
        <w:rPr>
          <w:rFonts w:cs="Times New Roman"/>
          <w:sz w:val="22"/>
          <w:szCs w:val="22"/>
        </w:rPr>
        <w:t xml:space="preserve"> сле</w:t>
      </w:r>
      <w:bookmarkStart w:id="0" w:name="_GoBack"/>
      <w:bookmarkEnd w:id="0"/>
      <w:r w:rsidRPr="00AA2F3B">
        <w:rPr>
          <w:rFonts w:cs="Times New Roman"/>
          <w:sz w:val="22"/>
          <w:szCs w:val="22"/>
        </w:rPr>
        <w:t xml:space="preserve">дующие </w:t>
      </w:r>
      <w:r w:rsidR="001F7400">
        <w:rPr>
          <w:rFonts w:cs="Times New Roman"/>
          <w:sz w:val="22"/>
          <w:szCs w:val="22"/>
        </w:rPr>
        <w:t xml:space="preserve">основные </w:t>
      </w:r>
      <w:r w:rsidRPr="00AA2F3B">
        <w:rPr>
          <w:rFonts w:cs="Times New Roman"/>
          <w:sz w:val="22"/>
          <w:szCs w:val="22"/>
        </w:rPr>
        <w:t>изменения</w:t>
      </w:r>
      <w:r w:rsidR="00B12BE0">
        <w:rPr>
          <w:rFonts w:cs="Times New Roman"/>
          <w:sz w:val="22"/>
          <w:szCs w:val="22"/>
        </w:rPr>
        <w:t>:</w:t>
      </w:r>
    </w:p>
    <w:p w14:paraId="6C952B1B" w14:textId="4CC3B520" w:rsidR="00B12BE0" w:rsidRPr="001F7400" w:rsidRDefault="004B5756" w:rsidP="00977E6B">
      <w:pPr>
        <w:pStyle w:val="a6"/>
        <w:numPr>
          <w:ilvl w:val="0"/>
          <w:numId w:val="6"/>
        </w:numPr>
        <w:spacing w:before="120" w:after="12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Устанавливается </w:t>
      </w:r>
      <w:r w:rsidR="00703BC8">
        <w:rPr>
          <w:rFonts w:ascii="Times New Roman" w:hAnsi="Times New Roman" w:cs="Times New Roman"/>
          <w:bCs/>
        </w:rPr>
        <w:t>нов</w:t>
      </w:r>
      <w:r w:rsidR="00F474B4">
        <w:rPr>
          <w:rFonts w:ascii="Times New Roman" w:hAnsi="Times New Roman" w:cs="Times New Roman"/>
          <w:bCs/>
        </w:rPr>
        <w:t>о</w:t>
      </w:r>
      <w:r w:rsidR="00703BC8">
        <w:rPr>
          <w:rFonts w:ascii="Times New Roman" w:hAnsi="Times New Roman" w:cs="Times New Roman"/>
          <w:bCs/>
        </w:rPr>
        <w:t xml:space="preserve">е </w:t>
      </w:r>
      <w:r w:rsidR="00E070C3">
        <w:rPr>
          <w:rFonts w:ascii="Times New Roman" w:hAnsi="Times New Roman" w:cs="Times New Roman"/>
          <w:bCs/>
        </w:rPr>
        <w:t xml:space="preserve">требование </w:t>
      </w:r>
      <w:r w:rsidR="00703BC8">
        <w:rPr>
          <w:rFonts w:ascii="Times New Roman" w:hAnsi="Times New Roman" w:cs="Times New Roman"/>
          <w:bCs/>
        </w:rPr>
        <w:t xml:space="preserve">к формированию Комитета по аудиту </w:t>
      </w:r>
      <w:r w:rsidR="00E070C3">
        <w:rPr>
          <w:rFonts w:ascii="Times New Roman" w:hAnsi="Times New Roman" w:cs="Times New Roman"/>
          <w:bCs/>
        </w:rPr>
        <w:t xml:space="preserve">для эмитентов, акции которых </w:t>
      </w:r>
      <w:r w:rsidR="00E070C3" w:rsidRPr="004E1027">
        <w:rPr>
          <w:rFonts w:ascii="Times New Roman" w:hAnsi="Times New Roman" w:cs="Times New Roman"/>
          <w:bCs/>
        </w:rPr>
        <w:t>включен</w:t>
      </w:r>
      <w:r w:rsidR="00E070C3">
        <w:rPr>
          <w:rFonts w:ascii="Times New Roman" w:hAnsi="Times New Roman" w:cs="Times New Roman"/>
          <w:bCs/>
        </w:rPr>
        <w:t>ы</w:t>
      </w:r>
      <w:r w:rsidR="00B12BE0" w:rsidRPr="004E1027">
        <w:rPr>
          <w:rFonts w:ascii="Times New Roman" w:hAnsi="Times New Roman" w:cs="Times New Roman"/>
          <w:b/>
          <w:bCs/>
        </w:rPr>
        <w:t xml:space="preserve"> </w:t>
      </w:r>
      <w:r w:rsidR="00B12BE0" w:rsidRPr="009D2AFF">
        <w:rPr>
          <w:rFonts w:ascii="Times New Roman" w:hAnsi="Times New Roman" w:cs="Times New Roman"/>
          <w:bCs/>
        </w:rPr>
        <w:t>во Второй уровень</w:t>
      </w:r>
      <w:r w:rsidR="00703BC8">
        <w:rPr>
          <w:rFonts w:ascii="Times New Roman" w:hAnsi="Times New Roman" w:cs="Times New Roman"/>
          <w:bCs/>
        </w:rPr>
        <w:t xml:space="preserve"> (</w:t>
      </w:r>
      <w:r w:rsidR="00B12BE0" w:rsidRPr="004E1027">
        <w:rPr>
          <w:rFonts w:ascii="Times New Roman" w:hAnsi="Times New Roman" w:cs="Times New Roman"/>
          <w:bCs/>
        </w:rPr>
        <w:t xml:space="preserve">Комитет по аудиту </w:t>
      </w:r>
      <w:r w:rsidR="00703BC8" w:rsidRPr="00BE7AFA">
        <w:rPr>
          <w:rFonts w:ascii="Times New Roman" w:eastAsia="Times New Roman" w:hAnsi="Times New Roman" w:cs="Times New Roman"/>
          <w:bCs/>
        </w:rPr>
        <w:t xml:space="preserve">должен состоять </w:t>
      </w:r>
      <w:r w:rsidR="00B12BE0" w:rsidRPr="004E1027">
        <w:rPr>
          <w:rFonts w:ascii="Times New Roman" w:hAnsi="Times New Roman" w:cs="Times New Roman"/>
          <w:bCs/>
        </w:rPr>
        <w:t xml:space="preserve">из </w:t>
      </w:r>
      <w:r w:rsidR="001F7400" w:rsidRPr="00BE7AFA">
        <w:rPr>
          <w:rFonts w:ascii="Times New Roman" w:eastAsia="Times New Roman" w:hAnsi="Times New Roman" w:cs="Times New Roman"/>
          <w:bCs/>
        </w:rPr>
        <w:t>независимых</w:t>
      </w:r>
      <w:r w:rsidR="001F7400">
        <w:rPr>
          <w:rFonts w:ascii="Times New Roman" w:eastAsia="Times New Roman" w:hAnsi="Times New Roman" w:cs="Times New Roman"/>
          <w:bCs/>
        </w:rPr>
        <w:t xml:space="preserve"> </w:t>
      </w:r>
      <w:r w:rsidR="001F7400" w:rsidRPr="00BE7AFA">
        <w:rPr>
          <w:rFonts w:ascii="Times New Roman" w:eastAsia="Times New Roman" w:hAnsi="Times New Roman" w:cs="Times New Roman"/>
          <w:bCs/>
        </w:rPr>
        <w:t>директоров, а если это невозможно в силу объективных причин, – большинство членов комитета должны составлять независимые директора, а остальными членами комитета могут быть члены совета директоров, не являющиеся единоличным исполнительным органом и (или) членами коллегиального исполнительного органа эмитента</w:t>
      </w:r>
      <w:r w:rsidR="00703BC8">
        <w:rPr>
          <w:rFonts w:ascii="Times New Roman" w:eastAsia="Times New Roman" w:hAnsi="Times New Roman" w:cs="Times New Roman"/>
          <w:bCs/>
        </w:rPr>
        <w:t>)</w:t>
      </w:r>
      <w:r w:rsidR="001F7400">
        <w:rPr>
          <w:rFonts w:ascii="Times New Roman" w:hAnsi="Times New Roman" w:cs="Times New Roman"/>
          <w:bCs/>
        </w:rPr>
        <w:t xml:space="preserve"> </w:t>
      </w:r>
      <w:r w:rsidR="001F7400" w:rsidRPr="001F7400">
        <w:rPr>
          <w:rFonts w:ascii="Times New Roman" w:hAnsi="Times New Roman" w:cs="Times New Roman"/>
          <w:bCs/>
          <w:i/>
        </w:rPr>
        <w:t>(п. 2.19 Правил)</w:t>
      </w:r>
      <w:r w:rsidR="00B12BE0" w:rsidRPr="004E1027">
        <w:rPr>
          <w:rFonts w:ascii="Times New Roman" w:hAnsi="Times New Roman" w:cs="Times New Roman"/>
          <w:bCs/>
        </w:rPr>
        <w:t>.</w:t>
      </w:r>
      <w:r w:rsidR="00E974FA">
        <w:rPr>
          <w:rFonts w:ascii="Times New Roman" w:hAnsi="Times New Roman" w:cs="Times New Roman"/>
          <w:bCs/>
        </w:rPr>
        <w:t xml:space="preserve"> Изменения внесены с учетом </w:t>
      </w:r>
      <w:r w:rsidR="00E974FA" w:rsidRPr="004E1027">
        <w:rPr>
          <w:rFonts w:ascii="Times New Roman" w:hAnsi="Times New Roman" w:cs="Times New Roman"/>
        </w:rPr>
        <w:t>рекомендаци</w:t>
      </w:r>
      <w:r w:rsidR="00B45B06">
        <w:rPr>
          <w:rFonts w:ascii="Times New Roman" w:hAnsi="Times New Roman" w:cs="Times New Roman"/>
        </w:rPr>
        <w:t xml:space="preserve">и </w:t>
      </w:r>
      <w:r w:rsidR="00E974FA" w:rsidRPr="004E1027">
        <w:rPr>
          <w:rFonts w:ascii="Times New Roman" w:hAnsi="Times New Roman" w:cs="Times New Roman"/>
        </w:rPr>
        <w:t>Экспертного совета по листингу (решение от 18.12.2019).</w:t>
      </w:r>
    </w:p>
    <w:p w14:paraId="31A39AFA" w14:textId="77777777" w:rsidR="00160E6E" w:rsidRDefault="00D720C6" w:rsidP="00977E6B">
      <w:pPr>
        <w:pStyle w:val="a6"/>
        <w:numPr>
          <w:ilvl w:val="0"/>
          <w:numId w:val="6"/>
        </w:numPr>
        <w:spacing w:before="120" w:after="12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Изменены </w:t>
      </w:r>
      <w:r w:rsidR="00B45B06">
        <w:rPr>
          <w:rFonts w:ascii="Times New Roman" w:hAnsi="Times New Roman" w:cs="Times New Roman"/>
        </w:rPr>
        <w:t xml:space="preserve">условия </w:t>
      </w:r>
      <w:r>
        <w:rPr>
          <w:rFonts w:ascii="Times New Roman" w:hAnsi="Times New Roman" w:cs="Times New Roman"/>
        </w:rPr>
        <w:t xml:space="preserve">для </w:t>
      </w:r>
      <w:r w:rsidR="00B45B06" w:rsidRPr="00B45B06">
        <w:rPr>
          <w:rFonts w:ascii="Times New Roman" w:hAnsi="Times New Roman" w:cs="Times New Roman"/>
        </w:rPr>
        <w:t xml:space="preserve">одновременного </w:t>
      </w:r>
      <w:r w:rsidR="00B45B06">
        <w:rPr>
          <w:rFonts w:ascii="Times New Roman" w:hAnsi="Times New Roman" w:cs="Times New Roman"/>
        </w:rPr>
        <w:t>включения и поддержания</w:t>
      </w:r>
      <w:r w:rsidR="00B45B06" w:rsidRPr="00B45B06">
        <w:rPr>
          <w:rFonts w:ascii="Times New Roman" w:hAnsi="Times New Roman" w:cs="Times New Roman"/>
        </w:rPr>
        <w:t xml:space="preserve"> ценных бумаг в разных секторах/сегментах, предусмотренных Правилами</w:t>
      </w:r>
      <w:r w:rsidR="00B45B06">
        <w:rPr>
          <w:rFonts w:ascii="Times New Roman" w:hAnsi="Times New Roman" w:cs="Times New Roman"/>
        </w:rPr>
        <w:t xml:space="preserve"> </w:t>
      </w:r>
      <w:r w:rsidR="00B45B06" w:rsidRPr="00B45B06">
        <w:rPr>
          <w:rFonts w:ascii="Times New Roman" w:hAnsi="Times New Roman" w:cs="Times New Roman"/>
          <w:i/>
        </w:rPr>
        <w:t>(п. 15.1.1 и 15.1.2 Правил)</w:t>
      </w:r>
      <w:r w:rsidR="00B45B06">
        <w:rPr>
          <w:rFonts w:ascii="Times New Roman" w:hAnsi="Times New Roman" w:cs="Times New Roman"/>
        </w:rPr>
        <w:t>.</w:t>
      </w:r>
      <w:r w:rsidR="00160E6E" w:rsidRPr="00160E6E">
        <w:rPr>
          <w:rFonts w:ascii="Times New Roman" w:hAnsi="Times New Roman" w:cs="Times New Roman"/>
        </w:rPr>
        <w:t xml:space="preserve"> </w:t>
      </w:r>
    </w:p>
    <w:p w14:paraId="6C7D3F83" w14:textId="77777777" w:rsidR="00160E6E" w:rsidRDefault="00160E6E" w:rsidP="00977E6B">
      <w:pPr>
        <w:pStyle w:val="a6"/>
        <w:numPr>
          <w:ilvl w:val="0"/>
          <w:numId w:val="6"/>
        </w:numPr>
        <w:spacing w:before="120" w:after="12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Исключены особенности для включения в Сектор Роста и </w:t>
      </w:r>
      <w:r w:rsidRPr="00160E6E">
        <w:rPr>
          <w:rFonts w:ascii="Times New Roman" w:hAnsi="Times New Roman" w:cs="Times New Roman"/>
        </w:rPr>
        <w:t>Сектор компаний повышенного инвестиционного риска</w:t>
      </w:r>
      <w:r>
        <w:rPr>
          <w:rFonts w:ascii="Times New Roman" w:hAnsi="Times New Roman" w:cs="Times New Roman"/>
        </w:rPr>
        <w:t xml:space="preserve"> ценных бумаг эмитентов, входящих в единый реестр субъектов малого и среднего предпринимательства </w:t>
      </w:r>
      <w:r w:rsidRPr="00001998">
        <w:rPr>
          <w:rFonts w:ascii="Times New Roman" w:hAnsi="Times New Roman" w:cs="Times New Roman"/>
          <w:i/>
        </w:rPr>
        <w:t>(п. 6.8. Правил)</w:t>
      </w:r>
      <w:r>
        <w:rPr>
          <w:rFonts w:ascii="Times New Roman" w:hAnsi="Times New Roman" w:cs="Times New Roman"/>
        </w:rPr>
        <w:t xml:space="preserve">. </w:t>
      </w:r>
    </w:p>
    <w:p w14:paraId="1BFA6480" w14:textId="5E161376" w:rsidR="00B45B06" w:rsidRDefault="00B45B06" w:rsidP="003A65D4">
      <w:pPr>
        <w:pStyle w:val="a6"/>
        <w:numPr>
          <w:ilvl w:val="0"/>
          <w:numId w:val="6"/>
        </w:numPr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У</w:t>
      </w:r>
      <w:r w:rsidRPr="004E1027">
        <w:rPr>
          <w:rFonts w:ascii="Times New Roman" w:hAnsi="Times New Roman" w:cs="Times New Roman"/>
          <w:bCs/>
        </w:rPr>
        <w:t>станавливается возможность включения облигаций в Сектор Роста эмитентов субъектов-МСП без требования по наличию рейтинга в случае п</w:t>
      </w:r>
      <w:r w:rsidRPr="004E1027">
        <w:rPr>
          <w:rFonts w:ascii="Times New Roman" w:hAnsi="Times New Roman" w:cs="Times New Roman"/>
        </w:rPr>
        <w:t>риобретения АО «МСП Банк» облигаций</w:t>
      </w:r>
      <w:r w:rsidRPr="004E1027">
        <w:rPr>
          <w:rFonts w:ascii="Times New Roman" w:hAnsi="Times New Roman"/>
        </w:rPr>
        <w:t xml:space="preserve"> (доли выпуска облигаций) эмитента</w:t>
      </w:r>
      <w:r>
        <w:rPr>
          <w:rFonts w:ascii="Times New Roman" w:hAnsi="Times New Roman"/>
        </w:rPr>
        <w:t>, в т.ч. в случае</w:t>
      </w:r>
      <w:r w:rsidR="00F474B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если </w:t>
      </w:r>
      <w:r w:rsidRPr="004E1027">
        <w:rPr>
          <w:rFonts w:ascii="Times New Roman" w:hAnsi="Times New Roman" w:cs="Times New Roman"/>
        </w:rPr>
        <w:t>АО «МСП Банк» планирует приобрести облигации выпуска в процессе его размещения</w:t>
      </w:r>
      <w:r>
        <w:rPr>
          <w:rFonts w:ascii="Times New Roman" w:hAnsi="Times New Roman" w:cs="Times New Roman"/>
        </w:rPr>
        <w:t xml:space="preserve"> </w:t>
      </w:r>
      <w:r w:rsidRPr="00FA0B79">
        <w:rPr>
          <w:rFonts w:ascii="Times New Roman" w:hAnsi="Times New Roman" w:cs="Times New Roman"/>
          <w:i/>
        </w:rPr>
        <w:t>(</w:t>
      </w:r>
      <w:r w:rsidR="00FA0B79" w:rsidRPr="00FA0B79">
        <w:rPr>
          <w:rFonts w:ascii="Times New Roman" w:hAnsi="Times New Roman" w:cs="Times New Roman"/>
          <w:i/>
        </w:rPr>
        <w:t>п. 3.4.3 Приложения 3 к Правилам</w:t>
      </w:r>
      <w:r w:rsidRPr="00FA0B79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.</w:t>
      </w:r>
    </w:p>
    <w:p w14:paraId="6FEE4928" w14:textId="0B086738" w:rsidR="00FA0B79" w:rsidRDefault="004524BC" w:rsidP="003A65D4">
      <w:pPr>
        <w:pStyle w:val="a6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Т</w:t>
      </w:r>
      <w:r w:rsidRPr="004E1027">
        <w:rPr>
          <w:rFonts w:ascii="Times New Roman" w:hAnsi="Times New Roman" w:cs="Times New Roman"/>
          <w:bCs/>
        </w:rPr>
        <w:t>ребование о наличии рейтинга (</w:t>
      </w:r>
      <w:r w:rsidRPr="004E1027">
        <w:rPr>
          <w:rFonts w:ascii="Times New Roman" w:eastAsia="Times New Roman" w:hAnsi="Times New Roman" w:cs="Times New Roman"/>
          <w:szCs w:val="20"/>
        </w:rPr>
        <w:t xml:space="preserve">либо о </w:t>
      </w:r>
      <w:r w:rsidRPr="004E1027">
        <w:rPr>
          <w:rFonts w:ascii="Times New Roman" w:hAnsi="Times New Roman" w:cs="Times New Roman"/>
        </w:rPr>
        <w:t>приобретении облигаций</w:t>
      </w:r>
      <w:r w:rsidRPr="004E1027">
        <w:rPr>
          <w:rFonts w:ascii="Times New Roman" w:hAnsi="Times New Roman"/>
          <w:color w:val="404040"/>
        </w:rPr>
        <w:t xml:space="preserve"> </w:t>
      </w:r>
      <w:r w:rsidRPr="004E1027">
        <w:rPr>
          <w:rFonts w:ascii="Times New Roman" w:hAnsi="Times New Roman" w:cs="Times New Roman"/>
        </w:rPr>
        <w:t>АО «МСП Банк»)</w:t>
      </w:r>
      <w:r w:rsidRPr="004E1027">
        <w:rPr>
          <w:rFonts w:ascii="Times New Roman" w:hAnsi="Times New Roman" w:cs="Times New Roman"/>
          <w:bCs/>
        </w:rPr>
        <w:t xml:space="preserve"> будет распространяться на новые выпуски облигаций, включаемые в Сектор Роста с момента вступления в силу новой редакции Правил</w:t>
      </w:r>
      <w:r>
        <w:rPr>
          <w:rFonts w:ascii="Times New Roman" w:hAnsi="Times New Roman" w:cs="Times New Roman"/>
          <w:bCs/>
        </w:rPr>
        <w:t>.</w:t>
      </w:r>
      <w:r w:rsidRPr="004524B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Н</w:t>
      </w:r>
      <w:r w:rsidRPr="004E1027">
        <w:rPr>
          <w:rFonts w:ascii="Times New Roman" w:hAnsi="Times New Roman" w:cs="Times New Roman"/>
          <w:bCs/>
        </w:rPr>
        <w:t xml:space="preserve">а облигации, включенные </w:t>
      </w:r>
      <w:r w:rsidR="00D720C6">
        <w:rPr>
          <w:rFonts w:ascii="Times New Roman" w:hAnsi="Times New Roman" w:cs="Times New Roman"/>
          <w:bCs/>
        </w:rPr>
        <w:t xml:space="preserve">в </w:t>
      </w:r>
      <w:r w:rsidRPr="004E1027">
        <w:rPr>
          <w:rFonts w:ascii="Times New Roman" w:hAnsi="Times New Roman" w:cs="Times New Roman"/>
          <w:bCs/>
        </w:rPr>
        <w:t>Сектор Роста на момент вступления в силу новой редакции Правил</w:t>
      </w:r>
      <w:r>
        <w:rPr>
          <w:rFonts w:ascii="Times New Roman" w:hAnsi="Times New Roman" w:cs="Times New Roman"/>
          <w:bCs/>
        </w:rPr>
        <w:t xml:space="preserve">, указанные </w:t>
      </w:r>
      <w:r w:rsidRPr="004E1027">
        <w:rPr>
          <w:rFonts w:ascii="Times New Roman" w:hAnsi="Times New Roman" w:cs="Times New Roman"/>
          <w:bCs/>
        </w:rPr>
        <w:t>требовани</w:t>
      </w:r>
      <w:r>
        <w:rPr>
          <w:rFonts w:ascii="Times New Roman" w:hAnsi="Times New Roman" w:cs="Times New Roman"/>
          <w:bCs/>
        </w:rPr>
        <w:t>я</w:t>
      </w:r>
      <w:r w:rsidRPr="004E1027">
        <w:rPr>
          <w:rFonts w:ascii="Times New Roman" w:hAnsi="Times New Roman" w:cs="Times New Roman"/>
          <w:bCs/>
        </w:rPr>
        <w:t xml:space="preserve"> не распространя</w:t>
      </w:r>
      <w:r>
        <w:rPr>
          <w:rFonts w:ascii="Times New Roman" w:hAnsi="Times New Roman" w:cs="Times New Roman"/>
          <w:bCs/>
        </w:rPr>
        <w:t>ю</w:t>
      </w:r>
      <w:r w:rsidRPr="004E1027">
        <w:rPr>
          <w:rFonts w:ascii="Times New Roman" w:hAnsi="Times New Roman" w:cs="Times New Roman"/>
          <w:bCs/>
        </w:rPr>
        <w:t>тся</w:t>
      </w:r>
      <w:r w:rsidR="004608D7">
        <w:rPr>
          <w:rFonts w:ascii="Times New Roman" w:hAnsi="Times New Roman" w:cs="Times New Roman"/>
          <w:bCs/>
        </w:rPr>
        <w:t xml:space="preserve"> </w:t>
      </w:r>
      <w:r w:rsidR="004608D7" w:rsidRPr="00FA0B79">
        <w:rPr>
          <w:rFonts w:ascii="Times New Roman" w:hAnsi="Times New Roman" w:cs="Times New Roman"/>
          <w:i/>
        </w:rPr>
        <w:t>(п. 3.4.3 Приложения 3 к Правилам)</w:t>
      </w:r>
      <w:r>
        <w:rPr>
          <w:rFonts w:ascii="Times New Roman" w:hAnsi="Times New Roman" w:cs="Times New Roman"/>
          <w:bCs/>
        </w:rPr>
        <w:t>.</w:t>
      </w:r>
    </w:p>
    <w:p w14:paraId="23796863" w14:textId="77777777" w:rsidR="00111B51" w:rsidRDefault="00111B51" w:rsidP="003A65D4">
      <w:pPr>
        <w:pStyle w:val="a6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Внесено уточнение порядка применения </w:t>
      </w:r>
      <w:r w:rsidR="004608D7">
        <w:rPr>
          <w:rFonts w:ascii="Times New Roman" w:hAnsi="Times New Roman" w:cs="Times New Roman"/>
          <w:bCs/>
        </w:rPr>
        <w:t xml:space="preserve">кредитного рейтинга у </w:t>
      </w:r>
      <w:r>
        <w:rPr>
          <w:rFonts w:ascii="Times New Roman" w:hAnsi="Times New Roman" w:cs="Times New Roman"/>
          <w:bCs/>
        </w:rPr>
        <w:t>поручител</w:t>
      </w:r>
      <w:r w:rsidR="004608D7">
        <w:rPr>
          <w:rFonts w:ascii="Times New Roman" w:hAnsi="Times New Roman" w:cs="Times New Roman"/>
          <w:bCs/>
        </w:rPr>
        <w:t xml:space="preserve">ей </w:t>
      </w:r>
      <w:r>
        <w:rPr>
          <w:rFonts w:ascii="Times New Roman" w:hAnsi="Times New Roman" w:cs="Times New Roman"/>
          <w:bCs/>
        </w:rPr>
        <w:t>(гарант</w:t>
      </w:r>
      <w:r w:rsidR="004608D7">
        <w:rPr>
          <w:rFonts w:ascii="Times New Roman" w:hAnsi="Times New Roman" w:cs="Times New Roman"/>
          <w:bCs/>
        </w:rPr>
        <w:t xml:space="preserve">ов) при включении и поддержании облигаций в Секторе Роста </w:t>
      </w:r>
      <w:r w:rsidR="004608D7" w:rsidRPr="004608D7">
        <w:rPr>
          <w:rFonts w:ascii="Times New Roman" w:hAnsi="Times New Roman" w:cs="Times New Roman"/>
          <w:bCs/>
          <w:i/>
        </w:rPr>
        <w:t>(п. 3.4.3 Приложения 3 к Правилам)</w:t>
      </w:r>
      <w:r w:rsidR="004608D7">
        <w:rPr>
          <w:rFonts w:ascii="Times New Roman" w:hAnsi="Times New Roman" w:cs="Times New Roman"/>
          <w:bCs/>
        </w:rPr>
        <w:t>.</w:t>
      </w:r>
    </w:p>
    <w:p w14:paraId="03A66454" w14:textId="77777777" w:rsidR="00193BAE" w:rsidRDefault="00193BAE" w:rsidP="003A65D4">
      <w:pPr>
        <w:pStyle w:val="a6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Изменены требования для включения и поддержания облигаций в Секторе устойчивого развития:</w:t>
      </w:r>
    </w:p>
    <w:p w14:paraId="21638D22" w14:textId="77777777" w:rsidR="004524BC" w:rsidRPr="00193BAE" w:rsidRDefault="00193BAE" w:rsidP="00F9342F">
      <w:pPr>
        <w:pStyle w:val="a6"/>
        <w:numPr>
          <w:ilvl w:val="0"/>
          <w:numId w:val="14"/>
        </w:numPr>
        <w:spacing w:after="0"/>
        <w:ind w:left="709" w:hanging="425"/>
        <w:jc w:val="both"/>
        <w:rPr>
          <w:rFonts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="004524BC" w:rsidRPr="00193BAE">
        <w:rPr>
          <w:rFonts w:ascii="Times New Roman" w:hAnsi="Times New Roman" w:cs="Times New Roman"/>
          <w:bCs/>
        </w:rPr>
        <w:t xml:space="preserve"> целях синхронизации Правил листинга и Стандартов эмиссии ценных бумаг </w:t>
      </w:r>
      <w:r w:rsidRPr="00193BAE">
        <w:rPr>
          <w:rFonts w:ascii="Times New Roman" w:hAnsi="Times New Roman" w:cs="Times New Roman"/>
          <w:bCs/>
        </w:rPr>
        <w:t xml:space="preserve">установлены дополнительные требования </w:t>
      </w:r>
      <w:r w:rsidR="00160E6E" w:rsidRPr="00193BAE">
        <w:rPr>
          <w:rFonts w:ascii="Times New Roman" w:hAnsi="Times New Roman" w:cs="Times New Roman"/>
          <w:bCs/>
        </w:rPr>
        <w:t xml:space="preserve">для включения </w:t>
      </w:r>
      <w:r w:rsidRPr="00193BAE">
        <w:rPr>
          <w:rFonts w:ascii="Times New Roman" w:hAnsi="Times New Roman" w:cs="Times New Roman"/>
          <w:bCs/>
        </w:rPr>
        <w:t xml:space="preserve">облигаций </w:t>
      </w:r>
      <w:r w:rsidR="00160E6E" w:rsidRPr="00193BAE">
        <w:rPr>
          <w:rFonts w:ascii="Times New Roman" w:hAnsi="Times New Roman" w:cs="Times New Roman"/>
          <w:bCs/>
        </w:rPr>
        <w:t>в Сегменты зеленых или социальных облигаций</w:t>
      </w:r>
      <w:r w:rsidRPr="00193BAE">
        <w:rPr>
          <w:rFonts w:ascii="Times New Roman" w:hAnsi="Times New Roman" w:cs="Times New Roman"/>
          <w:bCs/>
        </w:rPr>
        <w:t>. Облигации, регистрация выпуска которых осуществляется в соответствии со Стандартами эмиссии ценных бумаг, могут быть включены в указанные сегменты при условии, если выпуск облигаций дополнительно идентифицирован с использованием слов «зеленые облигации»/ «социальные облигации»</w:t>
      </w:r>
      <w:r w:rsidRPr="00193BAE">
        <w:rPr>
          <w:rFonts w:ascii="Times New Roman" w:hAnsi="Times New Roman" w:cs="Times New Roman"/>
        </w:rPr>
        <w:t xml:space="preserve"> </w:t>
      </w:r>
      <w:r w:rsidRPr="00193BAE">
        <w:rPr>
          <w:rFonts w:ascii="Times New Roman" w:hAnsi="Times New Roman" w:cs="Times New Roman"/>
          <w:i/>
        </w:rPr>
        <w:t>(п. 3.6 Приложения 3 к Правилам)</w:t>
      </w:r>
      <w:r>
        <w:rPr>
          <w:rFonts w:ascii="Times New Roman" w:hAnsi="Times New Roman" w:cs="Times New Roman"/>
        </w:rPr>
        <w:t>;</w:t>
      </w:r>
    </w:p>
    <w:p w14:paraId="032A280C" w14:textId="5C6C739C" w:rsidR="00193BAE" w:rsidRPr="001335BC" w:rsidRDefault="002256AA" w:rsidP="00F9342F">
      <w:pPr>
        <w:pStyle w:val="a6"/>
        <w:numPr>
          <w:ilvl w:val="0"/>
          <w:numId w:val="14"/>
        </w:numPr>
        <w:spacing w:after="0"/>
        <w:ind w:left="709" w:hanging="425"/>
        <w:jc w:val="both"/>
        <w:rPr>
          <w:rFonts w:cs="Times New Roman"/>
          <w:bCs/>
        </w:rPr>
      </w:pPr>
      <w:r w:rsidRPr="004E1027">
        <w:rPr>
          <w:rFonts w:ascii="Times New Roman" w:hAnsi="Times New Roman" w:cs="Times New Roman"/>
        </w:rPr>
        <w:t xml:space="preserve">введены новые основания исключения из соответствующего </w:t>
      </w:r>
      <w:r>
        <w:rPr>
          <w:rFonts w:ascii="Times New Roman" w:hAnsi="Times New Roman" w:cs="Times New Roman"/>
        </w:rPr>
        <w:t>с</w:t>
      </w:r>
      <w:r w:rsidRPr="004E1027">
        <w:rPr>
          <w:rFonts w:ascii="Times New Roman" w:hAnsi="Times New Roman" w:cs="Times New Roman"/>
        </w:rPr>
        <w:t xml:space="preserve">егмента </w:t>
      </w:r>
      <w:r>
        <w:rPr>
          <w:rFonts w:ascii="Times New Roman" w:hAnsi="Times New Roman" w:cs="Times New Roman"/>
          <w:bCs/>
        </w:rPr>
        <w:t>Сектор</w:t>
      </w:r>
      <w:r w:rsidR="00F474B4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 xml:space="preserve"> устойчивого развития (в связи с установлением дополнительных требований по включению)</w:t>
      </w:r>
      <w:r w:rsidR="001335BC">
        <w:rPr>
          <w:rFonts w:ascii="Times New Roman" w:hAnsi="Times New Roman" w:cs="Times New Roman"/>
          <w:bCs/>
        </w:rPr>
        <w:t xml:space="preserve"> </w:t>
      </w:r>
      <w:r w:rsidR="001335BC" w:rsidRPr="00001998">
        <w:rPr>
          <w:rFonts w:ascii="Times New Roman" w:hAnsi="Times New Roman" w:cs="Times New Roman"/>
          <w:i/>
        </w:rPr>
        <w:t xml:space="preserve">(п. </w:t>
      </w:r>
      <w:r w:rsidR="001335BC">
        <w:rPr>
          <w:rFonts w:ascii="Times New Roman" w:hAnsi="Times New Roman" w:cs="Times New Roman"/>
          <w:i/>
        </w:rPr>
        <w:t>15.4.</w:t>
      </w:r>
      <w:r w:rsidR="004753C8">
        <w:rPr>
          <w:rFonts w:ascii="Times New Roman" w:hAnsi="Times New Roman" w:cs="Times New Roman"/>
          <w:i/>
        </w:rPr>
        <w:t>5</w:t>
      </w:r>
      <w:r w:rsidR="001335BC" w:rsidRPr="00001998">
        <w:rPr>
          <w:rFonts w:ascii="Times New Roman" w:hAnsi="Times New Roman" w:cs="Times New Roman"/>
          <w:i/>
        </w:rPr>
        <w:t xml:space="preserve"> Правил)</w:t>
      </w:r>
      <w:r w:rsidR="0082689F">
        <w:rPr>
          <w:rFonts w:ascii="Times New Roman" w:hAnsi="Times New Roman" w:cs="Times New Roman"/>
          <w:i/>
        </w:rPr>
        <w:t xml:space="preserve">, </w:t>
      </w:r>
      <w:r w:rsidR="0082689F" w:rsidRPr="0082689F">
        <w:rPr>
          <w:rFonts w:ascii="Times New Roman" w:hAnsi="Times New Roman" w:cs="Times New Roman"/>
        </w:rPr>
        <w:t xml:space="preserve">а также </w:t>
      </w:r>
      <w:r w:rsidR="00977E6B">
        <w:rPr>
          <w:rFonts w:ascii="Times New Roman" w:hAnsi="Times New Roman" w:cs="Times New Roman"/>
        </w:rPr>
        <w:t xml:space="preserve">введена </w:t>
      </w:r>
      <w:r w:rsidR="0082689F" w:rsidRPr="0082689F">
        <w:rPr>
          <w:rFonts w:ascii="Times New Roman" w:hAnsi="Times New Roman" w:cs="Times New Roman"/>
        </w:rPr>
        <w:t>обязанность</w:t>
      </w:r>
      <w:r w:rsidR="0082689F" w:rsidRPr="004E1027">
        <w:rPr>
          <w:rFonts w:ascii="Times New Roman" w:hAnsi="Times New Roman" w:cs="Times New Roman"/>
          <w:bCs/>
        </w:rPr>
        <w:t xml:space="preserve"> эмитента </w:t>
      </w:r>
      <w:r w:rsidR="0082689F" w:rsidRPr="004E1027">
        <w:rPr>
          <w:rFonts w:ascii="Times New Roman" w:hAnsi="Times New Roman" w:cs="Times New Roman"/>
        </w:rPr>
        <w:t>по представлению</w:t>
      </w:r>
      <w:r w:rsidR="0082689F">
        <w:rPr>
          <w:rFonts w:ascii="Times New Roman" w:hAnsi="Times New Roman" w:cs="Times New Roman"/>
        </w:rPr>
        <w:t xml:space="preserve"> дополнительной </w:t>
      </w:r>
      <w:r w:rsidR="0082689F" w:rsidRPr="004E1027">
        <w:rPr>
          <w:rFonts w:ascii="Times New Roman" w:hAnsi="Times New Roman" w:cs="Times New Roman"/>
        </w:rPr>
        <w:t>информации</w:t>
      </w:r>
      <w:r w:rsidR="0082689F">
        <w:rPr>
          <w:rFonts w:ascii="Times New Roman" w:hAnsi="Times New Roman" w:cs="Times New Roman"/>
        </w:rPr>
        <w:t xml:space="preserve"> </w:t>
      </w:r>
      <w:r w:rsidR="0082689F" w:rsidRPr="00001998">
        <w:rPr>
          <w:rFonts w:ascii="Times New Roman" w:hAnsi="Times New Roman" w:cs="Times New Roman"/>
          <w:i/>
        </w:rPr>
        <w:t xml:space="preserve">(п. </w:t>
      </w:r>
      <w:r w:rsidR="0082689F">
        <w:rPr>
          <w:rFonts w:ascii="Times New Roman" w:hAnsi="Times New Roman" w:cs="Times New Roman"/>
          <w:i/>
        </w:rPr>
        <w:t>7.6</w:t>
      </w:r>
      <w:r w:rsidR="0082689F" w:rsidRPr="00001998">
        <w:rPr>
          <w:rFonts w:ascii="Times New Roman" w:hAnsi="Times New Roman" w:cs="Times New Roman"/>
          <w:i/>
        </w:rPr>
        <w:t xml:space="preserve"> Правил)</w:t>
      </w:r>
      <w:r w:rsidR="0082689F">
        <w:rPr>
          <w:rFonts w:ascii="Times New Roman" w:hAnsi="Times New Roman" w:cs="Times New Roman"/>
        </w:rPr>
        <w:t>;</w:t>
      </w:r>
    </w:p>
    <w:p w14:paraId="034F0DE9" w14:textId="77777777" w:rsidR="001335BC" w:rsidRPr="0082689F" w:rsidRDefault="00AE3F61" w:rsidP="00F9342F">
      <w:pPr>
        <w:pStyle w:val="a6"/>
        <w:numPr>
          <w:ilvl w:val="0"/>
          <w:numId w:val="14"/>
        </w:numPr>
        <w:spacing w:after="0"/>
        <w:ind w:left="709" w:hanging="425"/>
        <w:jc w:val="both"/>
        <w:rPr>
          <w:rFonts w:cs="Times New Roman"/>
          <w:bCs/>
        </w:rPr>
      </w:pPr>
      <w:r w:rsidRPr="004E1027">
        <w:rPr>
          <w:rFonts w:ascii="Times New Roman" w:hAnsi="Times New Roman" w:cs="Times New Roman"/>
          <w:bCs/>
        </w:rPr>
        <w:t xml:space="preserve">определены требования к содержанию </w:t>
      </w:r>
      <w:r w:rsidRPr="004E1027">
        <w:rPr>
          <w:rFonts w:ascii="Times New Roman" w:eastAsia="Times New Roman" w:hAnsi="Times New Roman" w:cs="Times New Roman"/>
        </w:rPr>
        <w:t>отчета о надлежащем (целевом) использовании денежных средств, полученных от размещения облигаций</w:t>
      </w:r>
      <w:r>
        <w:rPr>
          <w:rFonts w:ascii="Times New Roman" w:eastAsia="Times New Roman" w:hAnsi="Times New Roman" w:cs="Times New Roman"/>
        </w:rPr>
        <w:t>;</w:t>
      </w:r>
      <w:r w:rsidRPr="004E102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также </w:t>
      </w:r>
      <w:r w:rsidR="00977E6B">
        <w:rPr>
          <w:rFonts w:ascii="Times New Roman" w:eastAsia="Times New Roman" w:hAnsi="Times New Roman" w:cs="Times New Roman"/>
        </w:rPr>
        <w:t>с</w:t>
      </w:r>
      <w:r w:rsidRPr="004E1027">
        <w:rPr>
          <w:rFonts w:ascii="Times New Roman" w:eastAsia="Times New Roman" w:hAnsi="Times New Roman" w:cs="Times New Roman"/>
        </w:rPr>
        <w:t>корректир</w:t>
      </w:r>
      <w:r w:rsidR="00977E6B">
        <w:rPr>
          <w:rFonts w:ascii="Times New Roman" w:eastAsia="Times New Roman" w:hAnsi="Times New Roman" w:cs="Times New Roman"/>
        </w:rPr>
        <w:t>ованы</w:t>
      </w:r>
      <w:r w:rsidRPr="004E1027">
        <w:rPr>
          <w:rFonts w:ascii="Times New Roman" w:eastAsia="Times New Roman" w:hAnsi="Times New Roman" w:cs="Times New Roman"/>
        </w:rPr>
        <w:t xml:space="preserve"> сроки его раскрытия</w:t>
      </w:r>
      <w:r>
        <w:rPr>
          <w:rFonts w:ascii="Times New Roman" w:eastAsia="Times New Roman" w:hAnsi="Times New Roman" w:cs="Times New Roman"/>
        </w:rPr>
        <w:t xml:space="preserve"> (</w:t>
      </w:r>
      <w:r w:rsidR="0082689F" w:rsidRPr="00193BAE">
        <w:rPr>
          <w:rFonts w:ascii="Times New Roman" w:hAnsi="Times New Roman" w:cs="Times New Roman"/>
          <w:i/>
        </w:rPr>
        <w:t>п.</w:t>
      </w:r>
      <w:r w:rsidR="0082689F">
        <w:rPr>
          <w:rFonts w:ascii="Times New Roman" w:hAnsi="Times New Roman" w:cs="Times New Roman"/>
          <w:i/>
        </w:rPr>
        <w:t> </w:t>
      </w:r>
      <w:r w:rsidR="0082689F" w:rsidRPr="00193BAE">
        <w:rPr>
          <w:rFonts w:ascii="Times New Roman" w:hAnsi="Times New Roman" w:cs="Times New Roman"/>
          <w:i/>
        </w:rPr>
        <w:t>3.</w:t>
      </w:r>
      <w:r w:rsidR="0082689F">
        <w:rPr>
          <w:rFonts w:ascii="Times New Roman" w:hAnsi="Times New Roman" w:cs="Times New Roman"/>
          <w:i/>
        </w:rPr>
        <w:t>8</w:t>
      </w:r>
      <w:r w:rsidR="0082689F" w:rsidRPr="00193BAE">
        <w:rPr>
          <w:rFonts w:ascii="Times New Roman" w:hAnsi="Times New Roman" w:cs="Times New Roman"/>
          <w:i/>
        </w:rPr>
        <w:t xml:space="preserve"> Приложения 3 к Правилам</w:t>
      </w:r>
      <w:r>
        <w:rPr>
          <w:rFonts w:ascii="Times New Roman" w:eastAsia="Times New Roman" w:hAnsi="Times New Roman" w:cs="Times New Roman"/>
        </w:rPr>
        <w:t>)</w:t>
      </w:r>
      <w:r w:rsidRPr="004E1027">
        <w:rPr>
          <w:rFonts w:ascii="Times New Roman" w:eastAsia="Times New Roman" w:hAnsi="Times New Roman" w:cs="Times New Roman"/>
        </w:rPr>
        <w:t>;</w:t>
      </w:r>
    </w:p>
    <w:p w14:paraId="0AD543F2" w14:textId="77777777" w:rsidR="0082689F" w:rsidRPr="00193BAE" w:rsidRDefault="0082689F" w:rsidP="00F9342F">
      <w:pPr>
        <w:pStyle w:val="a6"/>
        <w:numPr>
          <w:ilvl w:val="0"/>
          <w:numId w:val="14"/>
        </w:numPr>
        <w:spacing w:after="0"/>
        <w:ind w:left="709" w:hanging="425"/>
        <w:jc w:val="both"/>
        <w:rPr>
          <w:rFonts w:cs="Times New Roman"/>
          <w:bCs/>
        </w:rPr>
      </w:pPr>
      <w:r w:rsidRPr="004E1027">
        <w:rPr>
          <w:rFonts w:ascii="Times New Roman" w:hAnsi="Times New Roman" w:cs="Times New Roman"/>
          <w:bCs/>
        </w:rPr>
        <w:t xml:space="preserve">скорректирован </w:t>
      </w:r>
      <w:r w:rsidRPr="004E1027">
        <w:rPr>
          <w:rFonts w:ascii="Times New Roman" w:eastAsia="Times New Roman" w:hAnsi="Times New Roman" w:cs="Times New Roman"/>
        </w:rPr>
        <w:t xml:space="preserve">список лиц, независимая внешняя оценка которых принимается для включения облигаций в </w:t>
      </w:r>
      <w:r>
        <w:rPr>
          <w:rFonts w:ascii="Times New Roman" w:hAnsi="Times New Roman" w:cs="Times New Roman"/>
          <w:bCs/>
        </w:rPr>
        <w:t xml:space="preserve">Сектор устойчивого развития </w:t>
      </w:r>
      <w:r>
        <w:rPr>
          <w:rFonts w:ascii="Times New Roman" w:eastAsia="Times New Roman" w:hAnsi="Times New Roman" w:cs="Times New Roman"/>
        </w:rPr>
        <w:t>(</w:t>
      </w:r>
      <w:r w:rsidRPr="00193BAE">
        <w:rPr>
          <w:rFonts w:ascii="Times New Roman" w:hAnsi="Times New Roman" w:cs="Times New Roman"/>
          <w:i/>
        </w:rPr>
        <w:t>п. 3.</w:t>
      </w:r>
      <w:r>
        <w:rPr>
          <w:rFonts w:ascii="Times New Roman" w:hAnsi="Times New Roman" w:cs="Times New Roman"/>
          <w:i/>
        </w:rPr>
        <w:t>7</w:t>
      </w:r>
      <w:r w:rsidRPr="00193BAE">
        <w:rPr>
          <w:rFonts w:ascii="Times New Roman" w:hAnsi="Times New Roman" w:cs="Times New Roman"/>
          <w:i/>
        </w:rPr>
        <w:t xml:space="preserve"> Приложения 3 к Правилам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  <w:bCs/>
        </w:rPr>
        <w:t>.</w:t>
      </w:r>
    </w:p>
    <w:p w14:paraId="329C4A0A" w14:textId="77777777" w:rsidR="00C57F53" w:rsidRDefault="00C57F53" w:rsidP="00977E6B">
      <w:pPr>
        <w:pStyle w:val="a6"/>
        <w:numPr>
          <w:ilvl w:val="0"/>
          <w:numId w:val="6"/>
        </w:numPr>
        <w:spacing w:before="120" w:after="120"/>
        <w:ind w:left="0"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Введена обязанность </w:t>
      </w:r>
      <w:r w:rsidR="00054F2B">
        <w:rPr>
          <w:rFonts w:ascii="Times New Roman" w:hAnsi="Times New Roman" w:cs="Times New Roman"/>
          <w:bCs/>
        </w:rPr>
        <w:t>организации представлять Бирже и</w:t>
      </w:r>
      <w:r w:rsidR="00054F2B" w:rsidRPr="00054F2B">
        <w:rPr>
          <w:rFonts w:ascii="Times New Roman" w:hAnsi="Times New Roman" w:cs="Times New Roman"/>
          <w:bCs/>
        </w:rPr>
        <w:t>нформацию для представления Экспертному совету РИИ в целях осуществления экспертизы соответствия организации требованиям для включения и поддержания в Секторе РИИ/Сегменте РИИ-Прайм</w:t>
      </w:r>
      <w:r w:rsidR="00054F2B">
        <w:rPr>
          <w:rFonts w:ascii="Times New Roman" w:hAnsi="Times New Roman" w:cs="Times New Roman"/>
          <w:bCs/>
        </w:rPr>
        <w:t xml:space="preserve"> и получения рекомендации</w:t>
      </w:r>
      <w:r w:rsidR="00054F2B" w:rsidRPr="00054F2B">
        <w:rPr>
          <w:rFonts w:ascii="Times New Roman" w:hAnsi="Times New Roman" w:cs="Times New Roman"/>
          <w:bCs/>
        </w:rPr>
        <w:t xml:space="preserve"> </w:t>
      </w:r>
      <w:r w:rsidR="00054F2B" w:rsidRPr="00054F2B">
        <w:rPr>
          <w:rFonts w:ascii="Times New Roman" w:hAnsi="Times New Roman" w:cs="Times New Roman"/>
          <w:bCs/>
          <w:i/>
        </w:rPr>
        <w:t xml:space="preserve">(п. 3.3 Приложения 3 к </w:t>
      </w:r>
      <w:r w:rsidR="00054F2B" w:rsidRPr="00054F2B">
        <w:rPr>
          <w:rFonts w:ascii="Times New Roman" w:hAnsi="Times New Roman" w:cs="Times New Roman"/>
          <w:bCs/>
          <w:i/>
        </w:rPr>
        <w:lastRenderedPageBreak/>
        <w:t>Правилам)</w:t>
      </w:r>
      <w:r w:rsidR="00054F2B">
        <w:rPr>
          <w:rFonts w:ascii="Times New Roman" w:hAnsi="Times New Roman" w:cs="Times New Roman"/>
          <w:bCs/>
        </w:rPr>
        <w:t xml:space="preserve">. Также установлена возможность приостановки срока рассмотрения заявления о включении в Список в случае обращения к </w:t>
      </w:r>
      <w:r w:rsidR="00054F2B" w:rsidRPr="00054F2B">
        <w:rPr>
          <w:rFonts w:ascii="Times New Roman" w:hAnsi="Times New Roman" w:cs="Times New Roman"/>
          <w:bCs/>
        </w:rPr>
        <w:t>Экспертному совету РИИ</w:t>
      </w:r>
      <w:r w:rsidR="00054F2B">
        <w:rPr>
          <w:rFonts w:ascii="Times New Roman" w:hAnsi="Times New Roman" w:cs="Times New Roman"/>
          <w:bCs/>
        </w:rPr>
        <w:t xml:space="preserve"> за рекомендацией </w:t>
      </w:r>
      <w:r w:rsidR="00054F2B" w:rsidRPr="00054F2B">
        <w:rPr>
          <w:rFonts w:ascii="Times New Roman" w:hAnsi="Times New Roman" w:cs="Times New Roman"/>
          <w:bCs/>
          <w:i/>
        </w:rPr>
        <w:t>(п. 7.3.3 Правил).</w:t>
      </w:r>
    </w:p>
    <w:p w14:paraId="30D13D84" w14:textId="77777777" w:rsidR="00D95095" w:rsidRPr="00D95095" w:rsidRDefault="00D95095" w:rsidP="00977E6B">
      <w:pPr>
        <w:pStyle w:val="a6"/>
        <w:numPr>
          <w:ilvl w:val="0"/>
          <w:numId w:val="6"/>
        </w:numPr>
        <w:spacing w:before="120" w:after="120"/>
        <w:ind w:left="0" w:firstLine="426"/>
        <w:jc w:val="both"/>
        <w:rPr>
          <w:rFonts w:ascii="Times New Roman" w:hAnsi="Times New Roman" w:cs="Times New Roman"/>
          <w:bCs/>
        </w:rPr>
      </w:pPr>
      <w:r w:rsidRPr="00D95095">
        <w:rPr>
          <w:rFonts w:ascii="Times New Roman" w:hAnsi="Times New Roman" w:cs="Times New Roman"/>
          <w:bCs/>
        </w:rPr>
        <w:t>Установлен</w:t>
      </w:r>
      <w:r w:rsidR="00AD6A7D">
        <w:rPr>
          <w:rFonts w:ascii="Times New Roman" w:hAnsi="Times New Roman" w:cs="Times New Roman"/>
          <w:bCs/>
        </w:rPr>
        <w:t>о</w:t>
      </w:r>
      <w:r w:rsidRPr="00D95095">
        <w:rPr>
          <w:rFonts w:ascii="Times New Roman" w:hAnsi="Times New Roman" w:cs="Times New Roman"/>
          <w:bCs/>
        </w:rPr>
        <w:t xml:space="preserve"> дополнительн</w:t>
      </w:r>
      <w:r w:rsidR="006A6736">
        <w:rPr>
          <w:rFonts w:ascii="Times New Roman" w:hAnsi="Times New Roman" w:cs="Times New Roman"/>
          <w:bCs/>
        </w:rPr>
        <w:t>ое</w:t>
      </w:r>
      <w:r w:rsidRPr="00D95095">
        <w:rPr>
          <w:rFonts w:ascii="Times New Roman" w:hAnsi="Times New Roman" w:cs="Times New Roman"/>
          <w:bCs/>
        </w:rPr>
        <w:t xml:space="preserve"> требовани</w:t>
      </w:r>
      <w:r w:rsidR="00AD6A7D">
        <w:rPr>
          <w:rFonts w:ascii="Times New Roman" w:hAnsi="Times New Roman" w:cs="Times New Roman"/>
          <w:bCs/>
        </w:rPr>
        <w:t>е</w:t>
      </w:r>
      <w:r w:rsidRPr="00D95095">
        <w:rPr>
          <w:rFonts w:ascii="Times New Roman" w:hAnsi="Times New Roman" w:cs="Times New Roman"/>
          <w:bCs/>
        </w:rPr>
        <w:t xml:space="preserve"> </w:t>
      </w:r>
      <w:r w:rsidR="00AD6A7D" w:rsidRPr="00D95095">
        <w:rPr>
          <w:rFonts w:ascii="Times New Roman" w:hAnsi="Times New Roman" w:cs="Times New Roman"/>
          <w:bCs/>
        </w:rPr>
        <w:t>по раскрытию Управляющи</w:t>
      </w:r>
      <w:r w:rsidR="006A6736">
        <w:rPr>
          <w:rFonts w:ascii="Times New Roman" w:hAnsi="Times New Roman" w:cs="Times New Roman"/>
          <w:bCs/>
        </w:rPr>
        <w:t>ми</w:t>
      </w:r>
      <w:r w:rsidR="00AD6A7D" w:rsidRPr="00D95095">
        <w:rPr>
          <w:rFonts w:ascii="Times New Roman" w:hAnsi="Times New Roman" w:cs="Times New Roman"/>
          <w:bCs/>
        </w:rPr>
        <w:t xml:space="preserve"> компани</w:t>
      </w:r>
      <w:r w:rsidR="006A6736">
        <w:rPr>
          <w:rFonts w:ascii="Times New Roman" w:hAnsi="Times New Roman" w:cs="Times New Roman"/>
          <w:bCs/>
        </w:rPr>
        <w:t>ями</w:t>
      </w:r>
      <w:r w:rsidR="00F918B2">
        <w:rPr>
          <w:rFonts w:ascii="Times New Roman" w:hAnsi="Times New Roman" w:cs="Times New Roman"/>
          <w:bCs/>
        </w:rPr>
        <w:t>, паи которых включены в Третий уровень</w:t>
      </w:r>
      <w:r w:rsidR="0053107D">
        <w:rPr>
          <w:rFonts w:ascii="Times New Roman" w:hAnsi="Times New Roman" w:cs="Times New Roman"/>
          <w:bCs/>
        </w:rPr>
        <w:t>,</w:t>
      </w:r>
      <w:r w:rsidR="00AD6A7D" w:rsidRPr="00D95095">
        <w:rPr>
          <w:rFonts w:ascii="Times New Roman" w:hAnsi="Times New Roman" w:cs="Times New Roman"/>
          <w:bCs/>
        </w:rPr>
        <w:t xml:space="preserve"> </w:t>
      </w:r>
      <w:r w:rsidR="0053107D">
        <w:rPr>
          <w:rFonts w:ascii="Times New Roman" w:hAnsi="Times New Roman" w:cs="Times New Roman"/>
          <w:bCs/>
        </w:rPr>
        <w:t xml:space="preserve">информации в ленте новостей и документов на </w:t>
      </w:r>
      <w:r w:rsidR="0053107D" w:rsidRPr="0053107D">
        <w:rPr>
          <w:rFonts w:ascii="Times New Roman" w:hAnsi="Times New Roman" w:cs="Times New Roman"/>
          <w:bCs/>
        </w:rPr>
        <w:t>странице, предоставляемой одним из распространителей информации на рынке ценных бумаг (</w:t>
      </w:r>
      <w:r w:rsidR="00977E6B">
        <w:rPr>
          <w:rFonts w:ascii="Times New Roman" w:hAnsi="Times New Roman" w:cs="Times New Roman"/>
          <w:bCs/>
        </w:rPr>
        <w:t xml:space="preserve">изменения внесены </w:t>
      </w:r>
      <w:r w:rsidR="0053107D" w:rsidRPr="0053107D">
        <w:rPr>
          <w:rFonts w:ascii="Times New Roman" w:hAnsi="Times New Roman" w:cs="Times New Roman"/>
          <w:bCs/>
        </w:rPr>
        <w:t xml:space="preserve">в развитие </w:t>
      </w:r>
      <w:r w:rsidR="00977E6B">
        <w:rPr>
          <w:rFonts w:ascii="Times New Roman" w:hAnsi="Times New Roman" w:cs="Times New Roman"/>
          <w:bCs/>
        </w:rPr>
        <w:t>норм</w:t>
      </w:r>
      <w:r w:rsidR="0053107D" w:rsidRPr="0053107D">
        <w:rPr>
          <w:rFonts w:ascii="Times New Roman" w:hAnsi="Times New Roman" w:cs="Times New Roman"/>
          <w:bCs/>
        </w:rPr>
        <w:t xml:space="preserve">, внесенных в статью 14 Федерального закона </w:t>
      </w:r>
      <w:r w:rsidR="0053107D">
        <w:rPr>
          <w:rFonts w:ascii="Times New Roman" w:hAnsi="Times New Roman" w:cs="Times New Roman"/>
          <w:bCs/>
        </w:rPr>
        <w:t>«</w:t>
      </w:r>
      <w:r w:rsidR="0053107D" w:rsidRPr="0053107D">
        <w:rPr>
          <w:rFonts w:ascii="Times New Roman" w:hAnsi="Times New Roman" w:cs="Times New Roman"/>
          <w:bCs/>
        </w:rPr>
        <w:t>О рынке ценных бумаг»). Указанные требования не распространяются на паевые инвестиционные фонды, инвестиционные паи которых предназначены для квалифицированных инвесторов.</w:t>
      </w:r>
    </w:p>
    <w:p w14:paraId="6631B716" w14:textId="467455F4" w:rsidR="0053107D" w:rsidRPr="0053107D" w:rsidRDefault="0053107D" w:rsidP="00977E6B">
      <w:pPr>
        <w:pStyle w:val="a6"/>
        <w:numPr>
          <w:ilvl w:val="0"/>
          <w:numId w:val="6"/>
        </w:numPr>
        <w:spacing w:before="120" w:after="12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Удалено </w:t>
      </w:r>
      <w:r w:rsidR="00D95095" w:rsidRPr="00D95095">
        <w:rPr>
          <w:rFonts w:ascii="Times New Roman" w:hAnsi="Times New Roman" w:cs="Times New Roman"/>
          <w:bCs/>
        </w:rPr>
        <w:t>положени</w:t>
      </w:r>
      <w:r w:rsidR="006C4513">
        <w:rPr>
          <w:rFonts w:ascii="Times New Roman" w:hAnsi="Times New Roman" w:cs="Times New Roman"/>
          <w:bCs/>
        </w:rPr>
        <w:t>е</w:t>
      </w:r>
      <w:r w:rsidR="00D95095" w:rsidRPr="00D95095">
        <w:rPr>
          <w:rFonts w:ascii="Times New Roman" w:hAnsi="Times New Roman" w:cs="Times New Roman"/>
          <w:bCs/>
        </w:rPr>
        <w:t xml:space="preserve"> </w:t>
      </w:r>
      <w:r w:rsidR="00EA3217">
        <w:rPr>
          <w:rFonts w:ascii="Times New Roman" w:hAnsi="Times New Roman" w:cs="Times New Roman"/>
          <w:bCs/>
        </w:rPr>
        <w:t>о</w:t>
      </w:r>
      <w:r w:rsidR="00D95095" w:rsidRPr="00D95095">
        <w:rPr>
          <w:rFonts w:ascii="Times New Roman" w:hAnsi="Times New Roman" w:cs="Times New Roman"/>
          <w:bCs/>
        </w:rPr>
        <w:t xml:space="preserve">б </w:t>
      </w:r>
      <w:r>
        <w:rPr>
          <w:rFonts w:ascii="Times New Roman" w:hAnsi="Times New Roman" w:cs="Times New Roman"/>
          <w:bCs/>
        </w:rPr>
        <w:t>исключении облигаций из Списка, е</w:t>
      </w:r>
      <w:r w:rsidRPr="00BE7AFA">
        <w:rPr>
          <w:rFonts w:ascii="Times New Roman" w:eastAsia="Times New Roman" w:hAnsi="Times New Roman" w:cs="Times New Roman"/>
        </w:rPr>
        <w:t>сли в течени</w:t>
      </w:r>
      <w:r w:rsidR="006C4513">
        <w:rPr>
          <w:rFonts w:ascii="Times New Roman" w:eastAsia="Times New Roman" w:hAnsi="Times New Roman" w:cs="Times New Roman"/>
        </w:rPr>
        <w:t>е</w:t>
      </w:r>
      <w:r w:rsidRPr="00BE7AFA">
        <w:rPr>
          <w:rFonts w:ascii="Times New Roman" w:eastAsia="Times New Roman" w:hAnsi="Times New Roman" w:cs="Times New Roman"/>
        </w:rPr>
        <w:t xml:space="preserve"> 1 года с даты истечения срока обращения облигаций </w:t>
      </w:r>
      <w:r w:rsidR="00977E6B" w:rsidRPr="00BE7AFA">
        <w:rPr>
          <w:rFonts w:ascii="Times New Roman" w:eastAsia="Times New Roman" w:hAnsi="Times New Roman" w:cs="Times New Roman"/>
        </w:rPr>
        <w:t>эмитентом не были исполнены</w:t>
      </w:r>
      <w:r w:rsidR="00977E6B" w:rsidRPr="00D67440">
        <w:rPr>
          <w:rFonts w:ascii="Times New Roman" w:hAnsi="Times New Roman" w:cs="Times New Roman"/>
          <w:bCs/>
          <w:i/>
        </w:rPr>
        <w:t xml:space="preserve"> </w:t>
      </w:r>
      <w:r w:rsidRPr="00BE7AFA">
        <w:rPr>
          <w:rFonts w:ascii="Times New Roman" w:eastAsia="Times New Roman" w:hAnsi="Times New Roman" w:cs="Times New Roman"/>
        </w:rPr>
        <w:t xml:space="preserve">обязательства по полному погашению номинальной стоимости </w:t>
      </w:r>
      <w:r>
        <w:rPr>
          <w:rFonts w:ascii="Times New Roman" w:eastAsia="Times New Roman" w:hAnsi="Times New Roman" w:cs="Times New Roman"/>
        </w:rPr>
        <w:t xml:space="preserve">облигаций </w:t>
      </w:r>
      <w:r w:rsidR="00D67440" w:rsidRPr="00D95095">
        <w:rPr>
          <w:rFonts w:ascii="Times New Roman" w:hAnsi="Times New Roman" w:cs="Times New Roman"/>
          <w:bCs/>
          <w:i/>
        </w:rPr>
        <w:t>(п. 21.4.5 Правил)</w:t>
      </w:r>
      <w:r w:rsidR="00D67440">
        <w:rPr>
          <w:rFonts w:ascii="Times New Roman" w:hAnsi="Times New Roman" w:cs="Times New Roman"/>
          <w:bCs/>
          <w:i/>
        </w:rPr>
        <w:t>.</w:t>
      </w:r>
    </w:p>
    <w:p w14:paraId="1C49A16F" w14:textId="78124089" w:rsidR="00645DA4" w:rsidRPr="00D213BE" w:rsidRDefault="0053107D" w:rsidP="00977E6B">
      <w:pPr>
        <w:pStyle w:val="a6"/>
        <w:numPr>
          <w:ilvl w:val="0"/>
          <w:numId w:val="6"/>
        </w:numPr>
        <w:spacing w:before="120" w:after="120"/>
        <w:ind w:left="0" w:firstLine="426"/>
        <w:jc w:val="both"/>
        <w:rPr>
          <w:rFonts w:ascii="Times New Roman" w:hAnsi="Times New Roman" w:cs="Times New Roman"/>
          <w:i/>
        </w:rPr>
      </w:pPr>
      <w:r w:rsidRPr="00D95095">
        <w:rPr>
          <w:rFonts w:ascii="Times New Roman" w:hAnsi="Times New Roman" w:cs="Times New Roman"/>
          <w:bCs/>
        </w:rPr>
        <w:t xml:space="preserve"> </w:t>
      </w:r>
      <w:r w:rsidR="00645DA4">
        <w:rPr>
          <w:rFonts w:ascii="Times New Roman" w:hAnsi="Times New Roman" w:cs="Times New Roman"/>
          <w:bCs/>
        </w:rPr>
        <w:t xml:space="preserve">Скорректированы сроки </w:t>
      </w:r>
      <w:r w:rsidR="00645DA4" w:rsidRPr="00645DA4">
        <w:rPr>
          <w:rFonts w:ascii="Times New Roman" w:hAnsi="Times New Roman" w:cs="Times New Roman"/>
          <w:bCs/>
        </w:rPr>
        <w:t>оказани</w:t>
      </w:r>
      <w:r w:rsidR="00645DA4">
        <w:rPr>
          <w:rFonts w:ascii="Times New Roman" w:hAnsi="Times New Roman" w:cs="Times New Roman"/>
          <w:bCs/>
        </w:rPr>
        <w:t xml:space="preserve">я отдельных </w:t>
      </w:r>
      <w:r w:rsidR="00645DA4" w:rsidRPr="00645DA4">
        <w:rPr>
          <w:rFonts w:ascii="Times New Roman" w:hAnsi="Times New Roman" w:cs="Times New Roman"/>
          <w:bCs/>
        </w:rPr>
        <w:t>услуг листинга</w:t>
      </w:r>
      <w:r w:rsidR="00645DA4">
        <w:rPr>
          <w:rFonts w:ascii="Times New Roman" w:hAnsi="Times New Roman" w:cs="Times New Roman"/>
          <w:bCs/>
        </w:rPr>
        <w:t xml:space="preserve"> </w:t>
      </w:r>
      <w:r w:rsidR="00645DA4" w:rsidRPr="004E1027">
        <w:rPr>
          <w:rFonts w:ascii="Times New Roman" w:hAnsi="Times New Roman" w:cs="Times New Roman"/>
        </w:rPr>
        <w:t>(в зависимости от вида ценных бумаг, особенност</w:t>
      </w:r>
      <w:r w:rsidR="006C4513">
        <w:rPr>
          <w:rFonts w:ascii="Times New Roman" w:hAnsi="Times New Roman" w:cs="Times New Roman"/>
        </w:rPr>
        <w:t>ей комплектов</w:t>
      </w:r>
      <w:r w:rsidR="00645DA4" w:rsidRPr="004E1027">
        <w:rPr>
          <w:rFonts w:ascii="Times New Roman" w:hAnsi="Times New Roman" w:cs="Times New Roman"/>
        </w:rPr>
        <w:t xml:space="preserve"> </w:t>
      </w:r>
      <w:r w:rsidR="00645DA4">
        <w:rPr>
          <w:rFonts w:ascii="Times New Roman" w:hAnsi="Times New Roman" w:cs="Times New Roman"/>
        </w:rPr>
        <w:t xml:space="preserve">документов, представляемых для проведения </w:t>
      </w:r>
      <w:r w:rsidR="00645DA4" w:rsidRPr="004E1027">
        <w:rPr>
          <w:rFonts w:ascii="Times New Roman" w:hAnsi="Times New Roman" w:cs="Times New Roman"/>
        </w:rPr>
        <w:t>регистрационных действий</w:t>
      </w:r>
      <w:r w:rsidR="00645DA4">
        <w:rPr>
          <w:rFonts w:ascii="Times New Roman" w:hAnsi="Times New Roman" w:cs="Times New Roman"/>
        </w:rPr>
        <w:t xml:space="preserve"> и иных процедур</w:t>
      </w:r>
      <w:r w:rsidR="00645DA4" w:rsidRPr="004E1027">
        <w:rPr>
          <w:rFonts w:ascii="Times New Roman" w:hAnsi="Times New Roman" w:cs="Times New Roman"/>
        </w:rPr>
        <w:t>)</w:t>
      </w:r>
      <w:r w:rsidR="00645DA4">
        <w:rPr>
          <w:rFonts w:ascii="Times New Roman" w:hAnsi="Times New Roman" w:cs="Times New Roman"/>
        </w:rPr>
        <w:t xml:space="preserve">, в т.ч. в отношении решений по </w:t>
      </w:r>
      <w:r w:rsidR="00645DA4" w:rsidRPr="004E1027">
        <w:rPr>
          <w:rFonts w:ascii="Times New Roman" w:eastAsia="Times New Roman" w:hAnsi="Times New Roman" w:cs="Times New Roman"/>
          <w:bCs/>
          <w:iCs/>
        </w:rPr>
        <w:t>в</w:t>
      </w:r>
      <w:r w:rsidR="00645DA4" w:rsidRPr="004E1027">
        <w:rPr>
          <w:rFonts w:ascii="Times New Roman" w:eastAsia="Times New Roman" w:hAnsi="Times New Roman" w:cs="Times New Roman"/>
        </w:rPr>
        <w:t>ключени</w:t>
      </w:r>
      <w:r w:rsidR="00645DA4">
        <w:rPr>
          <w:rFonts w:ascii="Times New Roman" w:eastAsia="Times New Roman" w:hAnsi="Times New Roman" w:cs="Times New Roman"/>
        </w:rPr>
        <w:t xml:space="preserve">ю ценных бумаг </w:t>
      </w:r>
      <w:r w:rsidR="00645DA4" w:rsidRPr="004E1027">
        <w:rPr>
          <w:rFonts w:ascii="Times New Roman" w:eastAsia="Times New Roman" w:hAnsi="Times New Roman" w:cs="Times New Roman"/>
        </w:rPr>
        <w:t>в Список</w:t>
      </w:r>
      <w:r w:rsidR="00645DA4">
        <w:rPr>
          <w:rFonts w:ascii="Times New Roman" w:eastAsia="Times New Roman" w:hAnsi="Times New Roman" w:cs="Times New Roman"/>
        </w:rPr>
        <w:t>/</w:t>
      </w:r>
      <w:r w:rsidR="00645DA4" w:rsidRPr="004E1027">
        <w:rPr>
          <w:rFonts w:ascii="Times New Roman" w:eastAsia="Times New Roman" w:hAnsi="Times New Roman" w:cs="Times New Roman"/>
        </w:rPr>
        <w:t xml:space="preserve"> </w:t>
      </w:r>
      <w:r w:rsidR="00645DA4">
        <w:rPr>
          <w:rFonts w:ascii="Times New Roman" w:eastAsia="Times New Roman" w:hAnsi="Times New Roman" w:cs="Times New Roman"/>
        </w:rPr>
        <w:t xml:space="preserve">по изменению уровня листинга </w:t>
      </w:r>
      <w:r w:rsidR="00977E6B">
        <w:rPr>
          <w:rFonts w:ascii="Times New Roman" w:eastAsia="Times New Roman" w:hAnsi="Times New Roman" w:cs="Times New Roman"/>
        </w:rPr>
        <w:t>(</w:t>
      </w:r>
      <w:r w:rsidR="00645DA4">
        <w:rPr>
          <w:rFonts w:ascii="Times New Roman" w:eastAsia="Times New Roman" w:hAnsi="Times New Roman" w:cs="Times New Roman"/>
        </w:rPr>
        <w:t>по заявлению организации</w:t>
      </w:r>
      <w:r w:rsidR="00977E6B">
        <w:rPr>
          <w:rFonts w:ascii="Times New Roman" w:eastAsia="Times New Roman" w:hAnsi="Times New Roman" w:cs="Times New Roman"/>
        </w:rPr>
        <w:t>)</w:t>
      </w:r>
      <w:r w:rsidR="00645DA4">
        <w:rPr>
          <w:rFonts w:ascii="Times New Roman" w:eastAsia="Times New Roman" w:hAnsi="Times New Roman" w:cs="Times New Roman"/>
        </w:rPr>
        <w:t xml:space="preserve">, </w:t>
      </w:r>
      <w:r w:rsidR="00645DA4" w:rsidRPr="004E1027">
        <w:rPr>
          <w:rFonts w:ascii="Times New Roman" w:eastAsia="Times New Roman" w:hAnsi="Times New Roman" w:cs="Times New Roman"/>
          <w:bCs/>
          <w:iCs/>
        </w:rPr>
        <w:t xml:space="preserve">по </w:t>
      </w:r>
      <w:r w:rsidR="00645DA4">
        <w:rPr>
          <w:rFonts w:ascii="Times New Roman" w:eastAsia="Times New Roman" w:hAnsi="Times New Roman" w:cs="Times New Roman"/>
          <w:bCs/>
          <w:iCs/>
        </w:rPr>
        <w:t xml:space="preserve">отдельным </w:t>
      </w:r>
      <w:r w:rsidR="00645DA4" w:rsidRPr="004E1027">
        <w:rPr>
          <w:rFonts w:ascii="Times New Roman" w:eastAsia="Times New Roman" w:hAnsi="Times New Roman" w:cs="Times New Roman"/>
          <w:bCs/>
          <w:iCs/>
        </w:rPr>
        <w:t xml:space="preserve">регистрационным действиям по биржевым облигациям, по </w:t>
      </w:r>
      <w:r w:rsidR="00645DA4" w:rsidRPr="004E1027">
        <w:rPr>
          <w:rFonts w:ascii="Times New Roman" w:hAnsi="Times New Roman" w:cs="Times New Roman"/>
        </w:rPr>
        <w:t>предварительному рассмотрению эмиссионных документов по биржевым облигациям</w:t>
      </w:r>
      <w:r w:rsidR="00645DA4">
        <w:rPr>
          <w:rFonts w:ascii="Times New Roman" w:hAnsi="Times New Roman" w:cs="Times New Roman"/>
        </w:rPr>
        <w:t xml:space="preserve"> </w:t>
      </w:r>
      <w:r w:rsidR="00645DA4" w:rsidRPr="00001998">
        <w:rPr>
          <w:rFonts w:ascii="Times New Roman" w:hAnsi="Times New Roman" w:cs="Times New Roman"/>
          <w:i/>
        </w:rPr>
        <w:t xml:space="preserve">(п. </w:t>
      </w:r>
      <w:r w:rsidR="00D213BE" w:rsidRPr="00D213BE">
        <w:rPr>
          <w:rFonts w:ascii="Times New Roman" w:hAnsi="Times New Roman" w:cs="Times New Roman"/>
          <w:i/>
        </w:rPr>
        <w:t>7.1, 11.2.8, 11.2.9, 11.3.3, 11.4.5, 11.5.3</w:t>
      </w:r>
      <w:r w:rsidR="00645DA4" w:rsidRPr="00001998">
        <w:rPr>
          <w:rFonts w:ascii="Times New Roman" w:hAnsi="Times New Roman" w:cs="Times New Roman"/>
          <w:i/>
        </w:rPr>
        <w:t xml:space="preserve"> Правил)</w:t>
      </w:r>
      <w:r w:rsidR="00645DA4" w:rsidRPr="00D213BE">
        <w:rPr>
          <w:rFonts w:ascii="Times New Roman" w:hAnsi="Times New Roman" w:cs="Times New Roman"/>
          <w:i/>
        </w:rPr>
        <w:t>.</w:t>
      </w:r>
    </w:p>
    <w:p w14:paraId="4FC2DC04" w14:textId="77777777" w:rsidR="00645DA4" w:rsidRPr="004E1027" w:rsidRDefault="00645DA4" w:rsidP="00977E6B">
      <w:pPr>
        <w:pStyle w:val="a6"/>
        <w:numPr>
          <w:ilvl w:val="0"/>
          <w:numId w:val="6"/>
        </w:numPr>
        <w:spacing w:before="120" w:after="120"/>
        <w:ind w:left="0"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Устанавливается </w:t>
      </w:r>
      <w:r w:rsidRPr="004E1027">
        <w:rPr>
          <w:rFonts w:ascii="Times New Roman" w:hAnsi="Times New Roman" w:cs="Times New Roman"/>
          <w:bCs/>
        </w:rPr>
        <w:t>обязанност</w:t>
      </w:r>
      <w:r>
        <w:rPr>
          <w:rFonts w:ascii="Times New Roman" w:hAnsi="Times New Roman" w:cs="Times New Roman"/>
          <w:bCs/>
        </w:rPr>
        <w:t>ь</w:t>
      </w:r>
      <w:r w:rsidRPr="004E1027">
        <w:rPr>
          <w:rFonts w:ascii="Times New Roman" w:hAnsi="Times New Roman" w:cs="Times New Roman"/>
          <w:bCs/>
        </w:rPr>
        <w:t xml:space="preserve"> эмитент</w:t>
      </w:r>
      <w:r>
        <w:rPr>
          <w:rFonts w:ascii="Times New Roman" w:hAnsi="Times New Roman" w:cs="Times New Roman"/>
          <w:bCs/>
        </w:rPr>
        <w:t>а</w:t>
      </w:r>
      <w:r w:rsidRPr="004E1027">
        <w:rPr>
          <w:rFonts w:ascii="Times New Roman" w:hAnsi="Times New Roman" w:cs="Times New Roman"/>
          <w:bCs/>
        </w:rPr>
        <w:t xml:space="preserve"> по согласованию с Биржей документа, содержащего условия размещения ценных бумаг</w:t>
      </w:r>
      <w:r w:rsidR="00D213BE">
        <w:rPr>
          <w:rFonts w:ascii="Times New Roman" w:hAnsi="Times New Roman" w:cs="Times New Roman"/>
          <w:bCs/>
        </w:rPr>
        <w:t xml:space="preserve">, а также срок для представления такого документа </w:t>
      </w:r>
      <w:r w:rsidR="00D213BE" w:rsidRPr="00D213BE">
        <w:rPr>
          <w:rFonts w:ascii="Times New Roman" w:hAnsi="Times New Roman" w:cs="Times New Roman"/>
          <w:bCs/>
          <w:i/>
        </w:rPr>
        <w:t>(п. 8.3, п. 1.1. Приложения 1</w:t>
      </w:r>
      <w:r w:rsidR="00656D8B">
        <w:rPr>
          <w:rFonts w:ascii="Times New Roman" w:hAnsi="Times New Roman" w:cs="Times New Roman"/>
          <w:bCs/>
          <w:i/>
        </w:rPr>
        <w:t xml:space="preserve"> к Правилам</w:t>
      </w:r>
      <w:r w:rsidR="00D213BE" w:rsidRPr="00D213BE">
        <w:rPr>
          <w:rFonts w:ascii="Times New Roman" w:hAnsi="Times New Roman" w:cs="Times New Roman"/>
          <w:bCs/>
          <w:i/>
        </w:rPr>
        <w:t>)</w:t>
      </w:r>
      <w:r w:rsidR="00D213BE">
        <w:rPr>
          <w:rFonts w:ascii="Times New Roman" w:hAnsi="Times New Roman" w:cs="Times New Roman"/>
          <w:bCs/>
        </w:rPr>
        <w:t>.</w:t>
      </w:r>
    </w:p>
    <w:p w14:paraId="017F643E" w14:textId="77777777" w:rsidR="00656D8B" w:rsidRPr="00656D8B" w:rsidRDefault="00F808CE" w:rsidP="00977E6B">
      <w:pPr>
        <w:pStyle w:val="a6"/>
        <w:numPr>
          <w:ilvl w:val="0"/>
          <w:numId w:val="6"/>
        </w:numPr>
        <w:tabs>
          <w:tab w:val="left" w:pos="851"/>
        </w:tabs>
        <w:spacing w:before="120" w:after="120"/>
        <w:ind w:left="0"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Устанавливается условие </w:t>
      </w:r>
      <w:r w:rsidR="00656D8B">
        <w:rPr>
          <w:rFonts w:ascii="Times New Roman" w:hAnsi="Times New Roman" w:cs="Times New Roman"/>
          <w:bCs/>
        </w:rPr>
        <w:t>для случаев допуска ценных бумаг в процессе размещения (</w:t>
      </w:r>
      <w:r w:rsidRPr="00BE7AFA">
        <w:rPr>
          <w:rFonts w:ascii="Times New Roman" w:eastAsia="Times New Roman" w:hAnsi="Times New Roman" w:cs="Times New Roman"/>
        </w:rPr>
        <w:t>сведени</w:t>
      </w:r>
      <w:r w:rsidR="00656D8B">
        <w:rPr>
          <w:rFonts w:ascii="Times New Roman" w:eastAsia="Times New Roman" w:hAnsi="Times New Roman" w:cs="Times New Roman"/>
        </w:rPr>
        <w:t>я</w:t>
      </w:r>
      <w:r w:rsidRPr="00BE7AFA">
        <w:rPr>
          <w:rFonts w:ascii="Times New Roman" w:eastAsia="Times New Roman" w:hAnsi="Times New Roman" w:cs="Times New Roman"/>
        </w:rPr>
        <w:t>, определяющи</w:t>
      </w:r>
      <w:r w:rsidR="00B9750F">
        <w:rPr>
          <w:rFonts w:ascii="Times New Roman" w:eastAsia="Times New Roman" w:hAnsi="Times New Roman" w:cs="Times New Roman"/>
        </w:rPr>
        <w:t>е</w:t>
      </w:r>
      <w:r w:rsidRPr="00BE7AFA">
        <w:rPr>
          <w:rFonts w:ascii="Times New Roman" w:eastAsia="Times New Roman" w:hAnsi="Times New Roman" w:cs="Times New Roman"/>
        </w:rPr>
        <w:t xml:space="preserve"> порядок размещения на торгах Биржи, содержащиеся в проспекте ценных бумаг или в отдельном документе, должны соответствовать Правилами проведения торгов на фондовом рынке и рынке депозитов ПАО Московская Биржа</w:t>
      </w:r>
      <w:r w:rsidR="00B9750F">
        <w:rPr>
          <w:rFonts w:ascii="Times New Roman" w:eastAsia="Times New Roman" w:hAnsi="Times New Roman" w:cs="Times New Roman"/>
        </w:rPr>
        <w:t>)</w:t>
      </w:r>
      <w:r w:rsidR="00656D8B">
        <w:rPr>
          <w:rFonts w:ascii="Times New Roman" w:eastAsia="Times New Roman" w:hAnsi="Times New Roman" w:cs="Times New Roman"/>
        </w:rPr>
        <w:t xml:space="preserve"> </w:t>
      </w:r>
      <w:r w:rsidR="00656D8B" w:rsidRPr="00D95095">
        <w:rPr>
          <w:rFonts w:ascii="Times New Roman" w:hAnsi="Times New Roman" w:cs="Times New Roman"/>
          <w:bCs/>
          <w:i/>
        </w:rPr>
        <w:t xml:space="preserve">(п. </w:t>
      </w:r>
      <w:r w:rsidR="00656D8B">
        <w:rPr>
          <w:rFonts w:ascii="Times New Roman" w:hAnsi="Times New Roman" w:cs="Times New Roman"/>
          <w:bCs/>
          <w:i/>
        </w:rPr>
        <w:t>8.4</w:t>
      </w:r>
      <w:r w:rsidR="00656D8B" w:rsidRPr="00D95095">
        <w:rPr>
          <w:rFonts w:ascii="Times New Roman" w:hAnsi="Times New Roman" w:cs="Times New Roman"/>
          <w:bCs/>
          <w:i/>
        </w:rPr>
        <w:t xml:space="preserve"> Правил)</w:t>
      </w:r>
      <w:r w:rsidRPr="00BE7AFA">
        <w:rPr>
          <w:rFonts w:ascii="Times New Roman" w:eastAsia="Times New Roman" w:hAnsi="Times New Roman" w:cs="Times New Roman"/>
        </w:rPr>
        <w:t>.</w:t>
      </w:r>
    </w:p>
    <w:p w14:paraId="0F354963" w14:textId="77777777" w:rsidR="00AE47A6" w:rsidRPr="00AE47A6" w:rsidRDefault="00AE47A6" w:rsidP="00977E6B">
      <w:pPr>
        <w:pStyle w:val="a6"/>
        <w:numPr>
          <w:ilvl w:val="0"/>
          <w:numId w:val="6"/>
        </w:numPr>
        <w:tabs>
          <w:tab w:val="left" w:pos="851"/>
        </w:tabs>
        <w:spacing w:before="120" w:after="120"/>
        <w:ind w:left="0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</w:t>
      </w:r>
      <w:r w:rsidRPr="00AE47A6">
        <w:rPr>
          <w:rFonts w:ascii="Times New Roman" w:eastAsia="Times New Roman" w:hAnsi="Times New Roman" w:cs="Times New Roman"/>
        </w:rPr>
        <w:t>ребовани</w:t>
      </w:r>
      <w:r>
        <w:rPr>
          <w:rFonts w:ascii="Times New Roman" w:eastAsia="Times New Roman" w:hAnsi="Times New Roman" w:cs="Times New Roman"/>
        </w:rPr>
        <w:t>я</w:t>
      </w:r>
      <w:r w:rsidRPr="00AE47A6">
        <w:rPr>
          <w:rFonts w:ascii="Times New Roman" w:eastAsia="Times New Roman" w:hAnsi="Times New Roman" w:cs="Times New Roman"/>
        </w:rPr>
        <w:t xml:space="preserve"> по размещению и обращению ценных бумаг иностранных эмитентов </w:t>
      </w:r>
      <w:r>
        <w:rPr>
          <w:rFonts w:ascii="Times New Roman" w:eastAsia="Times New Roman" w:hAnsi="Times New Roman" w:cs="Times New Roman"/>
        </w:rPr>
        <w:t>п</w:t>
      </w:r>
      <w:r w:rsidRPr="00AE47A6">
        <w:rPr>
          <w:rFonts w:ascii="Times New Roman" w:eastAsia="Times New Roman" w:hAnsi="Times New Roman" w:cs="Times New Roman"/>
        </w:rPr>
        <w:t>риведен</w:t>
      </w:r>
      <w:r>
        <w:rPr>
          <w:rFonts w:ascii="Times New Roman" w:eastAsia="Times New Roman" w:hAnsi="Times New Roman" w:cs="Times New Roman"/>
        </w:rPr>
        <w:t>ы</w:t>
      </w:r>
      <w:r w:rsidRPr="00AE47A6">
        <w:rPr>
          <w:rFonts w:ascii="Times New Roman" w:eastAsia="Times New Roman" w:hAnsi="Times New Roman" w:cs="Times New Roman"/>
        </w:rPr>
        <w:t xml:space="preserve"> в соответствие с изменениями</w:t>
      </w:r>
      <w:r>
        <w:rPr>
          <w:rFonts w:ascii="Times New Roman" w:eastAsia="Times New Roman" w:hAnsi="Times New Roman" w:cs="Times New Roman"/>
        </w:rPr>
        <w:t xml:space="preserve">, внесенными в </w:t>
      </w:r>
      <w:r w:rsidRPr="00AE47A6">
        <w:rPr>
          <w:rFonts w:ascii="Times New Roman" w:eastAsia="Times New Roman" w:hAnsi="Times New Roman" w:cs="Times New Roman"/>
        </w:rPr>
        <w:t xml:space="preserve">ст. 51.1. Федерального закона «О рынке ценных бумаг» </w:t>
      </w:r>
      <w:r w:rsidR="00937FD7" w:rsidRPr="00D95095">
        <w:rPr>
          <w:rFonts w:ascii="Times New Roman" w:hAnsi="Times New Roman" w:cs="Times New Roman"/>
          <w:bCs/>
          <w:i/>
        </w:rPr>
        <w:t xml:space="preserve">(п. </w:t>
      </w:r>
      <w:r w:rsidR="00937FD7">
        <w:rPr>
          <w:rFonts w:ascii="Times New Roman" w:hAnsi="Times New Roman" w:cs="Times New Roman"/>
          <w:bCs/>
          <w:i/>
        </w:rPr>
        <w:t>8.2</w:t>
      </w:r>
      <w:r w:rsidR="00937FD7" w:rsidRPr="00D95095">
        <w:rPr>
          <w:rFonts w:ascii="Times New Roman" w:hAnsi="Times New Roman" w:cs="Times New Roman"/>
          <w:bCs/>
          <w:i/>
        </w:rPr>
        <w:t xml:space="preserve"> Правил)</w:t>
      </w:r>
      <w:r w:rsidR="00937FD7">
        <w:rPr>
          <w:rFonts w:ascii="Times New Roman" w:hAnsi="Times New Roman" w:cs="Times New Roman"/>
          <w:bCs/>
          <w:i/>
        </w:rPr>
        <w:t>.</w:t>
      </w:r>
    </w:p>
    <w:p w14:paraId="0A4D0A8D" w14:textId="77777777" w:rsidR="00937FD7" w:rsidRPr="00937FD7" w:rsidRDefault="00937FD7" w:rsidP="003A65D4">
      <w:pPr>
        <w:pStyle w:val="a6"/>
        <w:numPr>
          <w:ilvl w:val="0"/>
          <w:numId w:val="6"/>
        </w:numPr>
        <w:tabs>
          <w:tab w:val="left" w:pos="851"/>
        </w:tabs>
        <w:spacing w:before="120" w:after="0"/>
        <w:ind w:left="0" w:firstLine="426"/>
        <w:jc w:val="both"/>
        <w:rPr>
          <w:rFonts w:ascii="Times New Roman" w:hAnsi="Times New Roman" w:cs="Times New Roman"/>
        </w:rPr>
      </w:pPr>
      <w:r w:rsidRPr="00937FD7">
        <w:rPr>
          <w:rFonts w:ascii="Times New Roman" w:hAnsi="Times New Roman" w:cs="Times New Roman"/>
        </w:rPr>
        <w:t>По тексту Правил внесены изменения, уточняющие проведение установленных процедур листинга и/или имеющие редакционный характер, в т.ч.:</w:t>
      </w:r>
    </w:p>
    <w:p w14:paraId="489A68F3" w14:textId="77777777" w:rsidR="00937FD7" w:rsidRPr="00F67264" w:rsidRDefault="00937FD7" w:rsidP="00F9342F">
      <w:pPr>
        <w:pStyle w:val="a6"/>
        <w:numPr>
          <w:ilvl w:val="0"/>
          <w:numId w:val="17"/>
        </w:numPr>
        <w:adjustRightInd w:val="0"/>
        <w:spacing w:after="0"/>
        <w:ind w:left="567" w:right="153" w:hanging="425"/>
        <w:jc w:val="both"/>
        <w:rPr>
          <w:rFonts w:ascii="Times New Roman" w:hAnsi="Times New Roman" w:cs="Times New Roman"/>
          <w:bCs/>
        </w:rPr>
      </w:pPr>
      <w:r w:rsidRPr="00F67264">
        <w:rPr>
          <w:rFonts w:ascii="Times New Roman" w:hAnsi="Times New Roman" w:cs="Times New Roman"/>
          <w:bCs/>
        </w:rPr>
        <w:t>устан</w:t>
      </w:r>
      <w:r w:rsidR="00B9750F">
        <w:rPr>
          <w:rFonts w:ascii="Times New Roman" w:hAnsi="Times New Roman" w:cs="Times New Roman"/>
          <w:bCs/>
        </w:rPr>
        <w:t>о</w:t>
      </w:r>
      <w:r w:rsidRPr="00F67264">
        <w:rPr>
          <w:rFonts w:ascii="Times New Roman" w:hAnsi="Times New Roman" w:cs="Times New Roman"/>
          <w:bCs/>
        </w:rPr>
        <w:t>вл</w:t>
      </w:r>
      <w:r w:rsidR="00F67264">
        <w:rPr>
          <w:rFonts w:ascii="Times New Roman" w:hAnsi="Times New Roman" w:cs="Times New Roman"/>
          <w:bCs/>
        </w:rPr>
        <w:t>ен</w:t>
      </w:r>
      <w:r w:rsidRPr="00F67264">
        <w:rPr>
          <w:rFonts w:ascii="Times New Roman" w:hAnsi="Times New Roman" w:cs="Times New Roman"/>
          <w:bCs/>
        </w:rPr>
        <w:t xml:space="preserve"> порядок подачи уведомления о составлении проспекта биржевых облигаций впоследствии </w:t>
      </w:r>
      <w:r w:rsidRPr="00F67264">
        <w:rPr>
          <w:rFonts w:ascii="Times New Roman" w:hAnsi="Times New Roman" w:cs="Times New Roman"/>
          <w:bCs/>
          <w:i/>
        </w:rPr>
        <w:t xml:space="preserve">(п. 11.5.6, </w:t>
      </w:r>
      <w:r w:rsidRPr="00F67264">
        <w:rPr>
          <w:rFonts w:ascii="Times New Roman" w:hAnsi="Times New Roman" w:cs="Times New Roman"/>
          <w:i/>
        </w:rPr>
        <w:t>п. 1.1.3</w:t>
      </w:r>
      <w:r w:rsidR="00B9750F">
        <w:rPr>
          <w:rFonts w:ascii="Times New Roman" w:hAnsi="Times New Roman" w:cs="Times New Roman"/>
          <w:i/>
        </w:rPr>
        <w:t xml:space="preserve"> (Таблица 2)</w:t>
      </w:r>
      <w:r w:rsidRPr="00F67264">
        <w:rPr>
          <w:rFonts w:ascii="Times New Roman" w:hAnsi="Times New Roman" w:cs="Times New Roman"/>
          <w:i/>
        </w:rPr>
        <w:t xml:space="preserve"> Приложение 1</w:t>
      </w:r>
      <w:r w:rsidR="00F67264">
        <w:rPr>
          <w:rFonts w:ascii="Times New Roman" w:hAnsi="Times New Roman" w:cs="Times New Roman"/>
          <w:i/>
        </w:rPr>
        <w:t xml:space="preserve"> к Правилам</w:t>
      </w:r>
      <w:r w:rsidRPr="00F67264">
        <w:rPr>
          <w:rFonts w:ascii="Times New Roman" w:hAnsi="Times New Roman" w:cs="Times New Roman"/>
          <w:bCs/>
          <w:i/>
        </w:rPr>
        <w:t>)</w:t>
      </w:r>
      <w:r w:rsidRPr="00F67264">
        <w:rPr>
          <w:rFonts w:ascii="Times New Roman" w:hAnsi="Times New Roman" w:cs="Times New Roman"/>
          <w:bCs/>
        </w:rPr>
        <w:t>;</w:t>
      </w:r>
    </w:p>
    <w:p w14:paraId="66B90A6E" w14:textId="77777777" w:rsidR="00937FD7" w:rsidRPr="00F67264" w:rsidRDefault="00937FD7" w:rsidP="00F9342F">
      <w:pPr>
        <w:pStyle w:val="a6"/>
        <w:numPr>
          <w:ilvl w:val="0"/>
          <w:numId w:val="17"/>
        </w:numPr>
        <w:adjustRightInd w:val="0"/>
        <w:spacing w:after="0"/>
        <w:ind w:left="567" w:right="153" w:hanging="425"/>
        <w:jc w:val="both"/>
        <w:rPr>
          <w:rFonts w:ascii="Times New Roman" w:hAnsi="Times New Roman" w:cs="Times New Roman"/>
        </w:rPr>
      </w:pPr>
      <w:r w:rsidRPr="00F67264">
        <w:rPr>
          <w:rFonts w:ascii="Times New Roman" w:hAnsi="Times New Roman" w:cs="Times New Roman"/>
          <w:bCs/>
        </w:rPr>
        <w:t xml:space="preserve">систематизированы </w:t>
      </w:r>
      <w:r w:rsidR="00F67264" w:rsidRPr="00F67264">
        <w:rPr>
          <w:rFonts w:ascii="Times New Roman" w:hAnsi="Times New Roman" w:cs="Times New Roman"/>
          <w:bCs/>
        </w:rPr>
        <w:t>события,</w:t>
      </w:r>
      <w:r w:rsidRPr="00F67264">
        <w:rPr>
          <w:rFonts w:ascii="Times New Roman" w:hAnsi="Times New Roman" w:cs="Times New Roman"/>
          <w:bCs/>
        </w:rPr>
        <w:t xml:space="preserve"> при </w:t>
      </w:r>
      <w:r w:rsidRPr="00F67264">
        <w:rPr>
          <w:rFonts w:ascii="Times New Roman" w:hAnsi="Times New Roman" w:cs="Times New Roman"/>
        </w:rPr>
        <w:t xml:space="preserve">наступлении которых прекращение торгов осуществляется путем внесения соответствующих изменений в Систему торгов и решение о прекращении торгов ценными бумагами не принимается </w:t>
      </w:r>
      <w:r w:rsidRPr="00F67264">
        <w:rPr>
          <w:rFonts w:ascii="Times New Roman" w:hAnsi="Times New Roman" w:cs="Times New Roman"/>
          <w:i/>
        </w:rPr>
        <w:t>(п. 21.6</w:t>
      </w:r>
      <w:r w:rsidR="00F67264" w:rsidRPr="00F67264">
        <w:rPr>
          <w:rFonts w:ascii="Times New Roman" w:hAnsi="Times New Roman" w:cs="Times New Roman"/>
          <w:i/>
        </w:rPr>
        <w:t xml:space="preserve"> Правил</w:t>
      </w:r>
      <w:r w:rsidRPr="00F67264">
        <w:rPr>
          <w:rFonts w:ascii="Times New Roman" w:hAnsi="Times New Roman" w:cs="Times New Roman"/>
          <w:i/>
        </w:rPr>
        <w:t>)</w:t>
      </w:r>
      <w:r w:rsidR="00F67264" w:rsidRPr="00F67264">
        <w:rPr>
          <w:rFonts w:ascii="Times New Roman" w:hAnsi="Times New Roman" w:cs="Times New Roman"/>
        </w:rPr>
        <w:t>;</w:t>
      </w:r>
    </w:p>
    <w:p w14:paraId="63D1FF84" w14:textId="77777777" w:rsidR="00937FD7" w:rsidRPr="00F67264" w:rsidRDefault="00937FD7" w:rsidP="00F9342F">
      <w:pPr>
        <w:pStyle w:val="a6"/>
        <w:numPr>
          <w:ilvl w:val="0"/>
          <w:numId w:val="17"/>
        </w:numPr>
        <w:adjustRightInd w:val="0"/>
        <w:spacing w:after="0"/>
        <w:ind w:left="567" w:right="153" w:hanging="425"/>
        <w:jc w:val="both"/>
        <w:rPr>
          <w:rFonts w:ascii="Times New Roman" w:hAnsi="Times New Roman" w:cs="Times New Roman"/>
        </w:rPr>
      </w:pPr>
      <w:r w:rsidRPr="00F67264">
        <w:rPr>
          <w:rFonts w:ascii="Times New Roman" w:hAnsi="Times New Roman" w:cs="Times New Roman"/>
        </w:rPr>
        <w:t>скорректированы требования к формату и составу, представляем</w:t>
      </w:r>
      <w:r w:rsidR="00B9750F">
        <w:rPr>
          <w:rFonts w:ascii="Times New Roman" w:hAnsi="Times New Roman" w:cs="Times New Roman"/>
        </w:rPr>
        <w:t>ых</w:t>
      </w:r>
      <w:r w:rsidRPr="00F67264">
        <w:rPr>
          <w:rFonts w:ascii="Times New Roman" w:hAnsi="Times New Roman" w:cs="Times New Roman"/>
        </w:rPr>
        <w:t xml:space="preserve"> Бирже информации </w:t>
      </w:r>
      <w:r w:rsidR="00B9750F">
        <w:rPr>
          <w:rFonts w:ascii="Times New Roman" w:hAnsi="Times New Roman" w:cs="Times New Roman"/>
        </w:rPr>
        <w:t xml:space="preserve">и документов </w:t>
      </w:r>
      <w:r w:rsidRPr="00F67264">
        <w:rPr>
          <w:rFonts w:ascii="Times New Roman" w:hAnsi="Times New Roman" w:cs="Times New Roman"/>
          <w:i/>
        </w:rPr>
        <w:t>(Приложение А, Приложение 1, Приложение 3</w:t>
      </w:r>
      <w:r w:rsidR="00B9750F">
        <w:rPr>
          <w:rFonts w:ascii="Times New Roman" w:hAnsi="Times New Roman" w:cs="Times New Roman"/>
          <w:i/>
        </w:rPr>
        <w:t xml:space="preserve"> к Правилам</w:t>
      </w:r>
      <w:r w:rsidRPr="00F67264">
        <w:rPr>
          <w:rFonts w:ascii="Times New Roman" w:hAnsi="Times New Roman" w:cs="Times New Roman"/>
          <w:i/>
        </w:rPr>
        <w:t>)</w:t>
      </w:r>
      <w:r w:rsidRPr="00F67264">
        <w:rPr>
          <w:rFonts w:ascii="Times New Roman" w:hAnsi="Times New Roman" w:cs="Times New Roman"/>
        </w:rPr>
        <w:t>;</w:t>
      </w:r>
    </w:p>
    <w:p w14:paraId="0A4457D4" w14:textId="77777777" w:rsidR="00937FD7" w:rsidRPr="00F67264" w:rsidRDefault="00937FD7" w:rsidP="00F9342F">
      <w:pPr>
        <w:pStyle w:val="a6"/>
        <w:numPr>
          <w:ilvl w:val="0"/>
          <w:numId w:val="17"/>
        </w:numPr>
        <w:adjustRightInd w:val="0"/>
        <w:spacing w:after="0"/>
        <w:ind w:left="567" w:right="153" w:hanging="425"/>
        <w:jc w:val="both"/>
        <w:rPr>
          <w:rFonts w:ascii="Times New Roman" w:hAnsi="Times New Roman" w:cs="Times New Roman"/>
        </w:rPr>
      </w:pPr>
      <w:r w:rsidRPr="00F67264">
        <w:rPr>
          <w:rFonts w:ascii="Times New Roman" w:hAnsi="Times New Roman" w:cs="Times New Roman"/>
        </w:rPr>
        <w:t xml:space="preserve">в основании исключения соответствующих облигаций исключено требование о </w:t>
      </w:r>
      <w:r w:rsidRPr="00F67264">
        <w:rPr>
          <w:rFonts w:ascii="Times New Roman" w:eastAsia="Times New Roman" w:hAnsi="Times New Roman" w:cs="Times New Roman"/>
        </w:rPr>
        <w:t>пересмотре рейтинговым агентством кредитного рейтинга не реже, чем один раз в год в связи с наличием данного требования в ст</w:t>
      </w:r>
      <w:r w:rsidR="00F67264">
        <w:rPr>
          <w:rFonts w:ascii="Times New Roman" w:eastAsia="Times New Roman" w:hAnsi="Times New Roman" w:cs="Times New Roman"/>
        </w:rPr>
        <w:t>атье</w:t>
      </w:r>
      <w:r w:rsidRPr="00F67264">
        <w:rPr>
          <w:rFonts w:ascii="Times New Roman" w:eastAsia="Times New Roman" w:hAnsi="Times New Roman" w:cs="Times New Roman"/>
        </w:rPr>
        <w:t xml:space="preserve"> 12 Федерального закона от 13.07.2015 № 222-ФЗ</w:t>
      </w:r>
      <w:r w:rsidR="00F67264">
        <w:rPr>
          <w:rStyle w:val="af4"/>
          <w:rFonts w:ascii="Times New Roman" w:eastAsia="Times New Roman" w:hAnsi="Times New Roman" w:cs="Times New Roman"/>
        </w:rPr>
        <w:footnoteReference w:id="3"/>
      </w:r>
      <w:r w:rsidRPr="00F67264">
        <w:rPr>
          <w:rFonts w:ascii="Times New Roman" w:hAnsi="Times New Roman" w:cs="Times New Roman"/>
        </w:rPr>
        <w:t xml:space="preserve"> </w:t>
      </w:r>
      <w:r w:rsidRPr="00F67264">
        <w:rPr>
          <w:rFonts w:ascii="Times New Roman" w:hAnsi="Times New Roman" w:cs="Times New Roman"/>
          <w:i/>
        </w:rPr>
        <w:t>(Приложение 2</w:t>
      </w:r>
      <w:r w:rsidR="00B9750F">
        <w:rPr>
          <w:rFonts w:ascii="Times New Roman" w:hAnsi="Times New Roman" w:cs="Times New Roman"/>
          <w:i/>
        </w:rPr>
        <w:t xml:space="preserve"> к Правилам</w:t>
      </w:r>
      <w:r w:rsidRPr="00F67264">
        <w:rPr>
          <w:rFonts w:ascii="Times New Roman" w:hAnsi="Times New Roman" w:cs="Times New Roman"/>
          <w:i/>
        </w:rPr>
        <w:t>)</w:t>
      </w:r>
      <w:r w:rsidRPr="00F67264">
        <w:rPr>
          <w:rFonts w:ascii="Times New Roman" w:hAnsi="Times New Roman" w:cs="Times New Roman"/>
        </w:rPr>
        <w:t>;</w:t>
      </w:r>
    </w:p>
    <w:p w14:paraId="7AEA1091" w14:textId="6F42D23C" w:rsidR="007F4F9D" w:rsidRPr="00F67264" w:rsidRDefault="00937FD7" w:rsidP="00F9342F">
      <w:pPr>
        <w:pStyle w:val="a6"/>
        <w:numPr>
          <w:ilvl w:val="0"/>
          <w:numId w:val="17"/>
        </w:numPr>
        <w:adjustRightInd w:val="0"/>
        <w:spacing w:after="0"/>
        <w:ind w:left="567" w:right="153" w:hanging="425"/>
        <w:jc w:val="both"/>
        <w:rPr>
          <w:rFonts w:ascii="Times New Roman" w:hAnsi="Times New Roman" w:cs="Times New Roman"/>
        </w:rPr>
      </w:pPr>
      <w:r w:rsidRPr="00F67264">
        <w:rPr>
          <w:rFonts w:ascii="Times New Roman" w:hAnsi="Times New Roman" w:cs="Times New Roman"/>
        </w:rPr>
        <w:t>исключен</w:t>
      </w:r>
      <w:r w:rsidR="00F67264">
        <w:rPr>
          <w:rFonts w:ascii="Times New Roman" w:hAnsi="Times New Roman" w:cs="Times New Roman"/>
        </w:rPr>
        <w:t>о</w:t>
      </w:r>
      <w:r w:rsidRPr="00F67264">
        <w:rPr>
          <w:rFonts w:ascii="Times New Roman" w:hAnsi="Times New Roman" w:cs="Times New Roman"/>
        </w:rPr>
        <w:t xml:space="preserve"> требовани</w:t>
      </w:r>
      <w:r w:rsidR="00F67264">
        <w:rPr>
          <w:rFonts w:ascii="Times New Roman" w:hAnsi="Times New Roman" w:cs="Times New Roman"/>
        </w:rPr>
        <w:t>е</w:t>
      </w:r>
      <w:r w:rsidRPr="00F67264">
        <w:rPr>
          <w:rFonts w:ascii="Times New Roman" w:hAnsi="Times New Roman" w:cs="Times New Roman"/>
        </w:rPr>
        <w:t xml:space="preserve"> о наличии у эмитента (у выпуска облигаций) или у поручителя (гаранта) кредитного рейтинга одного из рейтинговых агентств для облигаций/биржевых облигаций, включенных в Сегмент РИИ-Прайм в связи со вступлением в силу с 01.10.2020 требований к наличию кредитного рейтинга для облигаций, включенных во Второй уровень </w:t>
      </w:r>
      <w:r w:rsidRPr="00F67264">
        <w:rPr>
          <w:rFonts w:ascii="Times New Roman" w:hAnsi="Times New Roman" w:cs="Times New Roman"/>
          <w:i/>
        </w:rPr>
        <w:t>(п. 3.2.2 Приложение 3</w:t>
      </w:r>
      <w:r w:rsidR="00B9750F">
        <w:rPr>
          <w:rFonts w:ascii="Times New Roman" w:hAnsi="Times New Roman" w:cs="Times New Roman"/>
          <w:i/>
        </w:rPr>
        <w:t xml:space="preserve"> к Правилам</w:t>
      </w:r>
      <w:r w:rsidRPr="00F67264">
        <w:rPr>
          <w:rFonts w:ascii="Times New Roman" w:hAnsi="Times New Roman" w:cs="Times New Roman"/>
          <w:i/>
        </w:rPr>
        <w:t>)</w:t>
      </w:r>
      <w:r w:rsidRPr="00F67264">
        <w:rPr>
          <w:rFonts w:ascii="Times New Roman" w:hAnsi="Times New Roman" w:cs="Times New Roman"/>
        </w:rPr>
        <w:t>.</w:t>
      </w:r>
    </w:p>
    <w:p w14:paraId="008A7F7E" w14:textId="77777777" w:rsidR="00937FD7" w:rsidRPr="00937FD7" w:rsidRDefault="00937FD7" w:rsidP="00977E6B">
      <w:pPr>
        <w:pStyle w:val="a6"/>
        <w:numPr>
          <w:ilvl w:val="0"/>
          <w:numId w:val="6"/>
        </w:numPr>
        <w:spacing w:before="120" w:after="120"/>
        <w:ind w:left="0" w:firstLine="426"/>
        <w:jc w:val="both"/>
        <w:rPr>
          <w:rFonts w:ascii="Times New Roman" w:hAnsi="Times New Roman" w:cs="Times New Roman"/>
        </w:rPr>
      </w:pPr>
      <w:r w:rsidRPr="00937FD7">
        <w:rPr>
          <w:rFonts w:ascii="Times New Roman" w:eastAsia="Times New Roman" w:hAnsi="Times New Roman" w:cs="Times New Roman"/>
        </w:rPr>
        <w:t>Также по тексту Правил внесены отдельные уточнения юридико-технического и редакционного характера.</w:t>
      </w:r>
    </w:p>
    <w:sectPr w:rsidR="00937FD7" w:rsidRPr="00937FD7" w:rsidSect="003A65D4">
      <w:footerReference w:type="default" r:id="rId8"/>
      <w:pgSz w:w="11900" w:h="16840"/>
      <w:pgMar w:top="568" w:right="851" w:bottom="284" w:left="851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71CCB" w14:textId="77777777" w:rsidR="0093043D" w:rsidRDefault="0093043D">
      <w:r>
        <w:separator/>
      </w:r>
    </w:p>
  </w:endnote>
  <w:endnote w:type="continuationSeparator" w:id="0">
    <w:p w14:paraId="1D62C9B6" w14:textId="77777777" w:rsidR="0093043D" w:rsidRDefault="0093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45A9C" w14:textId="77777777" w:rsidR="00683CC7" w:rsidRDefault="002572AA">
    <w:pPr>
      <w:pStyle w:val="a5"/>
      <w:jc w:val="center"/>
    </w:pPr>
    <w:r>
      <w:fldChar w:fldCharType="begin"/>
    </w:r>
    <w:r w:rsidR="00F53D0A">
      <w:instrText xml:space="preserve"> PAGE </w:instrText>
    </w:r>
    <w:r>
      <w:fldChar w:fldCharType="separate"/>
    </w:r>
    <w:r w:rsidR="000252C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7E45A" w14:textId="77777777" w:rsidR="0093043D" w:rsidRDefault="0093043D">
      <w:r>
        <w:separator/>
      </w:r>
    </w:p>
  </w:footnote>
  <w:footnote w:type="continuationSeparator" w:id="0">
    <w:p w14:paraId="2FEF5A35" w14:textId="77777777" w:rsidR="0093043D" w:rsidRDefault="0093043D">
      <w:r>
        <w:continuationSeparator/>
      </w:r>
    </w:p>
  </w:footnote>
  <w:footnote w:type="continuationNotice" w:id="1">
    <w:p w14:paraId="02909C64" w14:textId="77777777" w:rsidR="0093043D" w:rsidRDefault="0093043D"/>
  </w:footnote>
  <w:footnote w:id="2">
    <w:p w14:paraId="07760B66" w14:textId="77777777" w:rsidR="002D2B61" w:rsidRPr="002D2B61" w:rsidRDefault="002D2B61">
      <w:pPr>
        <w:pStyle w:val="a8"/>
        <w:rPr>
          <w:rFonts w:ascii="Times New Roman" w:hAnsi="Times New Roman" w:cs="Times New Roman"/>
        </w:rPr>
      </w:pPr>
      <w:r w:rsidRPr="002D2B61">
        <w:rPr>
          <w:rStyle w:val="af4"/>
          <w:rFonts w:ascii="Times New Roman" w:hAnsi="Times New Roman" w:cs="Times New Roman"/>
        </w:rPr>
        <w:footnoteRef/>
      </w:r>
      <w:r w:rsidRPr="002D2B61">
        <w:rPr>
          <w:rFonts w:ascii="Times New Roman" w:hAnsi="Times New Roman" w:cs="Times New Roman"/>
        </w:rPr>
        <w:t xml:space="preserve"> </w:t>
      </w:r>
      <w:r w:rsidR="00B12BE0" w:rsidRPr="00B12BE0">
        <w:rPr>
          <w:rFonts w:ascii="Times New Roman" w:hAnsi="Times New Roman" w:cs="Times New Roman"/>
        </w:rPr>
        <w:t xml:space="preserve">Федеральный закон от 31.07.2020 </w:t>
      </w:r>
      <w:r w:rsidR="00B12BE0">
        <w:rPr>
          <w:rFonts w:ascii="Times New Roman" w:hAnsi="Times New Roman" w:cs="Times New Roman"/>
        </w:rPr>
        <w:t>№</w:t>
      </w:r>
      <w:r w:rsidR="00B12BE0" w:rsidRPr="00B12BE0">
        <w:rPr>
          <w:rFonts w:ascii="Times New Roman" w:hAnsi="Times New Roman" w:cs="Times New Roman"/>
        </w:rPr>
        <w:t xml:space="preserve"> 306-ФЗ "О внесении изменений в Федеральный закон "О рынке ценных бумаг" и отдельные законодательные акты Российской Федерации"</w:t>
      </w:r>
    </w:p>
  </w:footnote>
  <w:footnote w:id="3">
    <w:p w14:paraId="56A006C5" w14:textId="4FBEDEF9" w:rsidR="00F67264" w:rsidRDefault="00F67264" w:rsidP="00D70E0A">
      <w:pPr>
        <w:pStyle w:val="a8"/>
        <w:ind w:right="-292"/>
      </w:pPr>
      <w:r>
        <w:rPr>
          <w:rStyle w:val="af4"/>
        </w:rPr>
        <w:footnoteRef/>
      </w:r>
      <w:r>
        <w:t xml:space="preserve"> </w:t>
      </w:r>
      <w:r w:rsidRPr="00F67264">
        <w:rPr>
          <w:rFonts w:ascii="Times New Roman" w:hAnsi="Times New Roman" w:cs="Times New Roman"/>
        </w:rPr>
        <w:t>Федеральный закон от 13.07.2015 N 222-ФЗ "О деятельности кредитных рейтинговых агентств в Российской Федерации, о внесении изменения в статью 76.1 Федерального закона "О Центральном банке Российской Федерации (Банке России)" и признании утратившими силу отдельных положений законодательных актов Российской Федерации"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9CC"/>
    <w:multiLevelType w:val="hybridMultilevel"/>
    <w:tmpl w:val="4BB838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757B07"/>
    <w:multiLevelType w:val="hybridMultilevel"/>
    <w:tmpl w:val="12FA72C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DE5D03"/>
    <w:multiLevelType w:val="hybridMultilevel"/>
    <w:tmpl w:val="15BC2992"/>
    <w:styleLink w:val="4"/>
    <w:lvl w:ilvl="0" w:tplc="0F429DEC">
      <w:start w:val="1"/>
      <w:numFmt w:val="bullet"/>
      <w:lvlText w:val="·"/>
      <w:lvlJc w:val="left"/>
      <w:pPr>
        <w:tabs>
          <w:tab w:val="left" w:pos="851"/>
        </w:tabs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77421EE">
      <w:start w:val="1"/>
      <w:numFmt w:val="bullet"/>
      <w:lvlText w:val="o"/>
      <w:lvlJc w:val="left"/>
      <w:pPr>
        <w:tabs>
          <w:tab w:val="left" w:pos="851"/>
        </w:tabs>
        <w:ind w:left="21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2941D9A">
      <w:start w:val="1"/>
      <w:numFmt w:val="bullet"/>
      <w:lvlText w:val="▪"/>
      <w:lvlJc w:val="left"/>
      <w:pPr>
        <w:tabs>
          <w:tab w:val="left" w:pos="851"/>
        </w:tabs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ACE9CF4">
      <w:start w:val="1"/>
      <w:numFmt w:val="bullet"/>
      <w:lvlText w:val="·"/>
      <w:lvlJc w:val="left"/>
      <w:pPr>
        <w:tabs>
          <w:tab w:val="left" w:pos="851"/>
        </w:tabs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D40E69C">
      <w:start w:val="1"/>
      <w:numFmt w:val="bullet"/>
      <w:lvlText w:val="o"/>
      <w:lvlJc w:val="left"/>
      <w:pPr>
        <w:tabs>
          <w:tab w:val="left" w:pos="851"/>
        </w:tabs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3089B74">
      <w:start w:val="1"/>
      <w:numFmt w:val="bullet"/>
      <w:lvlText w:val="▪"/>
      <w:lvlJc w:val="left"/>
      <w:pPr>
        <w:tabs>
          <w:tab w:val="left" w:pos="851"/>
        </w:tabs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2B8BF8C">
      <w:start w:val="1"/>
      <w:numFmt w:val="bullet"/>
      <w:lvlText w:val="·"/>
      <w:lvlJc w:val="left"/>
      <w:pPr>
        <w:tabs>
          <w:tab w:val="left" w:pos="851"/>
        </w:tabs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AC8CB8">
      <w:start w:val="1"/>
      <w:numFmt w:val="bullet"/>
      <w:lvlText w:val="o"/>
      <w:lvlJc w:val="left"/>
      <w:pPr>
        <w:tabs>
          <w:tab w:val="left" w:pos="851"/>
        </w:tabs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E25042">
      <w:start w:val="1"/>
      <w:numFmt w:val="bullet"/>
      <w:lvlText w:val="▪"/>
      <w:lvlJc w:val="left"/>
      <w:pPr>
        <w:tabs>
          <w:tab w:val="left" w:pos="851"/>
        </w:tabs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EF5F2C"/>
    <w:multiLevelType w:val="hybridMultilevel"/>
    <w:tmpl w:val="B022946C"/>
    <w:lvl w:ilvl="0" w:tplc="12A80FC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A2743C"/>
    <w:multiLevelType w:val="hybridMultilevel"/>
    <w:tmpl w:val="DFAC78DE"/>
    <w:lvl w:ilvl="0" w:tplc="68308324">
      <w:start w:val="1"/>
      <w:numFmt w:val="decimal"/>
      <w:lvlText w:val="%1)"/>
      <w:lvlJc w:val="left"/>
      <w:pPr>
        <w:ind w:left="4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" w15:restartNumberingAfterBreak="0">
    <w:nsid w:val="160D2142"/>
    <w:multiLevelType w:val="multilevel"/>
    <w:tmpl w:val="238C091A"/>
    <w:styleLink w:val="1"/>
    <w:lvl w:ilvl="0">
      <w:start w:val="1"/>
      <w:numFmt w:val="decimal"/>
      <w:lvlText w:val="%1."/>
      <w:lvlJc w:val="left"/>
      <w:pPr>
        <w:tabs>
          <w:tab w:val="num" w:pos="709"/>
        </w:tabs>
        <w:ind w:left="283" w:firstLine="14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E9581C"/>
    <w:multiLevelType w:val="hybridMultilevel"/>
    <w:tmpl w:val="D2C67CFE"/>
    <w:styleLink w:val="2"/>
    <w:lvl w:ilvl="0" w:tplc="BDEA72D8">
      <w:start w:val="1"/>
      <w:numFmt w:val="bullet"/>
      <w:lvlText w:val="•"/>
      <w:lvlJc w:val="left"/>
      <w:pPr>
        <w:tabs>
          <w:tab w:val="left" w:pos="993"/>
        </w:tabs>
        <w:ind w:left="396" w:hanging="3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9164AAC">
      <w:start w:val="1"/>
      <w:numFmt w:val="bullet"/>
      <w:lvlText w:val="·"/>
      <w:lvlJc w:val="left"/>
      <w:pPr>
        <w:tabs>
          <w:tab w:val="left" w:pos="993"/>
        </w:tabs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57EBB5E">
      <w:start w:val="1"/>
      <w:numFmt w:val="bullet"/>
      <w:lvlText w:val="·"/>
      <w:lvlJc w:val="left"/>
      <w:pPr>
        <w:tabs>
          <w:tab w:val="left" w:pos="993"/>
        </w:tabs>
        <w:ind w:left="14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BE62A54">
      <w:start w:val="1"/>
      <w:numFmt w:val="bullet"/>
      <w:lvlText w:val="·"/>
      <w:lvlJc w:val="left"/>
      <w:pPr>
        <w:tabs>
          <w:tab w:val="left" w:pos="993"/>
        </w:tabs>
        <w:ind w:left="20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21E349E">
      <w:start w:val="1"/>
      <w:numFmt w:val="bullet"/>
      <w:lvlText w:val="·"/>
      <w:lvlJc w:val="left"/>
      <w:pPr>
        <w:tabs>
          <w:tab w:val="left" w:pos="993"/>
        </w:tabs>
        <w:ind w:left="26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F124506">
      <w:start w:val="1"/>
      <w:numFmt w:val="bullet"/>
      <w:lvlText w:val="·"/>
      <w:lvlJc w:val="left"/>
      <w:pPr>
        <w:tabs>
          <w:tab w:val="left" w:pos="993"/>
        </w:tabs>
        <w:ind w:left="31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F1648A0">
      <w:start w:val="1"/>
      <w:numFmt w:val="bullet"/>
      <w:lvlText w:val="·"/>
      <w:lvlJc w:val="left"/>
      <w:pPr>
        <w:tabs>
          <w:tab w:val="left" w:pos="993"/>
        </w:tabs>
        <w:ind w:left="37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B3CE104">
      <w:start w:val="1"/>
      <w:numFmt w:val="bullet"/>
      <w:lvlText w:val="·"/>
      <w:lvlJc w:val="left"/>
      <w:pPr>
        <w:tabs>
          <w:tab w:val="left" w:pos="993"/>
        </w:tabs>
        <w:ind w:left="43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6B40334">
      <w:start w:val="1"/>
      <w:numFmt w:val="bullet"/>
      <w:lvlText w:val="·"/>
      <w:lvlJc w:val="left"/>
      <w:pPr>
        <w:tabs>
          <w:tab w:val="left" w:pos="993"/>
        </w:tabs>
        <w:ind w:left="48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3F6A7A"/>
    <w:multiLevelType w:val="hybridMultilevel"/>
    <w:tmpl w:val="139A41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6DA0934"/>
    <w:multiLevelType w:val="hybridMultilevel"/>
    <w:tmpl w:val="6AF0DF0A"/>
    <w:lvl w:ilvl="0" w:tplc="04190011">
      <w:start w:val="1"/>
      <w:numFmt w:val="decimal"/>
      <w:lvlText w:val="%1)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9" w15:restartNumberingAfterBreak="0">
    <w:nsid w:val="3B8D5F8C"/>
    <w:multiLevelType w:val="multilevel"/>
    <w:tmpl w:val="BA12F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0" w15:restartNumberingAfterBreak="0">
    <w:nsid w:val="4A86353B"/>
    <w:multiLevelType w:val="hybridMultilevel"/>
    <w:tmpl w:val="9CE68D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BF0A4C"/>
    <w:multiLevelType w:val="hybridMultilevel"/>
    <w:tmpl w:val="D2C67CFE"/>
    <w:numStyleLink w:val="2"/>
  </w:abstractNum>
  <w:abstractNum w:abstractNumId="12" w15:restartNumberingAfterBreak="0">
    <w:nsid w:val="58487FDE"/>
    <w:multiLevelType w:val="hybridMultilevel"/>
    <w:tmpl w:val="8BBE9E12"/>
    <w:lvl w:ilvl="0" w:tplc="12A80FC2">
      <w:start w:val="1"/>
      <w:numFmt w:val="bullet"/>
      <w:lvlText w:val="-"/>
      <w:lvlJc w:val="left"/>
      <w:pPr>
        <w:ind w:left="83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6B9D4124"/>
    <w:multiLevelType w:val="hybridMultilevel"/>
    <w:tmpl w:val="A24CC27A"/>
    <w:styleLink w:val="3"/>
    <w:lvl w:ilvl="0" w:tplc="592EC262">
      <w:start w:val="1"/>
      <w:numFmt w:val="bullet"/>
      <w:lvlText w:val="·"/>
      <w:lvlJc w:val="left"/>
      <w:pPr>
        <w:tabs>
          <w:tab w:val="left" w:pos="851"/>
        </w:tabs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6DC7342">
      <w:start w:val="1"/>
      <w:numFmt w:val="bullet"/>
      <w:lvlText w:val="o"/>
      <w:lvlJc w:val="left"/>
      <w:pPr>
        <w:tabs>
          <w:tab w:val="left" w:pos="851"/>
        </w:tabs>
        <w:ind w:left="21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6041F88">
      <w:start w:val="1"/>
      <w:numFmt w:val="bullet"/>
      <w:lvlText w:val="▪"/>
      <w:lvlJc w:val="left"/>
      <w:pPr>
        <w:tabs>
          <w:tab w:val="left" w:pos="851"/>
        </w:tabs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16EC40C">
      <w:start w:val="1"/>
      <w:numFmt w:val="bullet"/>
      <w:lvlText w:val="·"/>
      <w:lvlJc w:val="left"/>
      <w:pPr>
        <w:tabs>
          <w:tab w:val="left" w:pos="851"/>
        </w:tabs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43CAA58">
      <w:start w:val="1"/>
      <w:numFmt w:val="bullet"/>
      <w:lvlText w:val="o"/>
      <w:lvlJc w:val="left"/>
      <w:pPr>
        <w:tabs>
          <w:tab w:val="left" w:pos="851"/>
        </w:tabs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CCE6752">
      <w:start w:val="1"/>
      <w:numFmt w:val="bullet"/>
      <w:lvlText w:val="▪"/>
      <w:lvlJc w:val="left"/>
      <w:pPr>
        <w:tabs>
          <w:tab w:val="left" w:pos="851"/>
        </w:tabs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1D43144">
      <w:start w:val="1"/>
      <w:numFmt w:val="bullet"/>
      <w:lvlText w:val="·"/>
      <w:lvlJc w:val="left"/>
      <w:pPr>
        <w:tabs>
          <w:tab w:val="left" w:pos="851"/>
        </w:tabs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3FE89F0">
      <w:start w:val="1"/>
      <w:numFmt w:val="bullet"/>
      <w:lvlText w:val="o"/>
      <w:lvlJc w:val="left"/>
      <w:pPr>
        <w:tabs>
          <w:tab w:val="left" w:pos="851"/>
        </w:tabs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E7420E8">
      <w:start w:val="1"/>
      <w:numFmt w:val="bullet"/>
      <w:lvlText w:val="▪"/>
      <w:lvlJc w:val="left"/>
      <w:pPr>
        <w:tabs>
          <w:tab w:val="left" w:pos="851"/>
        </w:tabs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FF43BD7"/>
    <w:multiLevelType w:val="hybridMultilevel"/>
    <w:tmpl w:val="15BC2992"/>
    <w:numStyleLink w:val="4"/>
  </w:abstractNum>
  <w:abstractNum w:abstractNumId="15" w15:restartNumberingAfterBreak="0">
    <w:nsid w:val="7628359B"/>
    <w:multiLevelType w:val="hybridMultilevel"/>
    <w:tmpl w:val="B79A1DEC"/>
    <w:lvl w:ilvl="0" w:tplc="F08E0276">
      <w:start w:val="1"/>
      <w:numFmt w:val="decimal"/>
      <w:lvlText w:val="%1)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6" w15:restartNumberingAfterBreak="0">
    <w:nsid w:val="7A833378"/>
    <w:multiLevelType w:val="hybridMultilevel"/>
    <w:tmpl w:val="C0DEB1FC"/>
    <w:lvl w:ilvl="0" w:tplc="892A7E0E">
      <w:start w:val="1"/>
      <w:numFmt w:val="decimal"/>
      <w:lvlText w:val="1.%1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2"/>
  </w:num>
  <w:num w:numId="5">
    <w:abstractNumId w:val="14"/>
    <w:lvlOverride w:ilvl="0">
      <w:lvl w:ilvl="0" w:tplc="1DA0FC02">
        <w:start w:val="1"/>
        <w:numFmt w:val="bullet"/>
        <w:lvlText w:val="·"/>
        <w:lvlJc w:val="left"/>
        <w:pPr>
          <w:tabs>
            <w:tab w:val="left" w:pos="709"/>
          </w:tabs>
          <w:ind w:left="1276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509C44">
        <w:start w:val="1"/>
        <w:numFmt w:val="bullet"/>
        <w:lvlText w:val="o"/>
        <w:lvlJc w:val="left"/>
        <w:pPr>
          <w:tabs>
            <w:tab w:val="left" w:pos="709"/>
          </w:tabs>
          <w:ind w:left="199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8CB9C0">
        <w:start w:val="1"/>
        <w:numFmt w:val="bullet"/>
        <w:lvlText w:val="▪"/>
        <w:lvlJc w:val="left"/>
        <w:pPr>
          <w:tabs>
            <w:tab w:val="left" w:pos="709"/>
          </w:tabs>
          <w:ind w:left="271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B0113A">
        <w:start w:val="1"/>
        <w:numFmt w:val="bullet"/>
        <w:lvlText w:val="·"/>
        <w:lvlJc w:val="left"/>
        <w:pPr>
          <w:tabs>
            <w:tab w:val="left" w:pos="709"/>
          </w:tabs>
          <w:ind w:left="3436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928C24">
        <w:start w:val="1"/>
        <w:numFmt w:val="bullet"/>
        <w:lvlText w:val="o"/>
        <w:lvlJc w:val="left"/>
        <w:pPr>
          <w:tabs>
            <w:tab w:val="left" w:pos="709"/>
          </w:tabs>
          <w:ind w:left="415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487E8E">
        <w:start w:val="1"/>
        <w:numFmt w:val="bullet"/>
        <w:lvlText w:val="▪"/>
        <w:lvlJc w:val="left"/>
        <w:pPr>
          <w:tabs>
            <w:tab w:val="left" w:pos="709"/>
          </w:tabs>
          <w:ind w:left="487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2CC18E">
        <w:start w:val="1"/>
        <w:numFmt w:val="bullet"/>
        <w:lvlText w:val="·"/>
        <w:lvlJc w:val="left"/>
        <w:pPr>
          <w:tabs>
            <w:tab w:val="left" w:pos="709"/>
          </w:tabs>
          <w:ind w:left="5596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9434AA">
        <w:start w:val="1"/>
        <w:numFmt w:val="bullet"/>
        <w:lvlText w:val="o"/>
        <w:lvlJc w:val="left"/>
        <w:pPr>
          <w:tabs>
            <w:tab w:val="left" w:pos="709"/>
          </w:tabs>
          <w:ind w:left="631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D45CBC">
        <w:start w:val="1"/>
        <w:numFmt w:val="bullet"/>
        <w:lvlText w:val="▪"/>
        <w:lvlJc w:val="left"/>
        <w:pPr>
          <w:tabs>
            <w:tab w:val="left" w:pos="709"/>
          </w:tabs>
          <w:ind w:left="703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1"/>
    <w:lvlOverride w:ilvl="0">
      <w:lvl w:ilvl="0" w:tplc="D8608792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i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1EFA5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5B8C902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384F34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560533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D08D13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AABED9C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446D76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D6A7C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10"/>
  </w:num>
  <w:num w:numId="8">
    <w:abstractNumId w:val="1"/>
  </w:num>
  <w:num w:numId="9">
    <w:abstractNumId w:val="16"/>
  </w:num>
  <w:num w:numId="10">
    <w:abstractNumId w:val="8"/>
  </w:num>
  <w:num w:numId="11">
    <w:abstractNumId w:val="0"/>
  </w:num>
  <w:num w:numId="12">
    <w:abstractNumId w:val="9"/>
  </w:num>
  <w:num w:numId="13">
    <w:abstractNumId w:val="7"/>
  </w:num>
  <w:num w:numId="14">
    <w:abstractNumId w:val="3"/>
  </w:num>
  <w:num w:numId="15">
    <w:abstractNumId w:val="4"/>
  </w:num>
  <w:num w:numId="16">
    <w:abstractNumId w:val="15"/>
  </w:num>
  <w:num w:numId="1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C7"/>
    <w:rsid w:val="00001998"/>
    <w:rsid w:val="000252C9"/>
    <w:rsid w:val="000258FF"/>
    <w:rsid w:val="00033B3F"/>
    <w:rsid w:val="000404E7"/>
    <w:rsid w:val="00042473"/>
    <w:rsid w:val="00054F2B"/>
    <w:rsid w:val="0005745F"/>
    <w:rsid w:val="000715B3"/>
    <w:rsid w:val="00090E4F"/>
    <w:rsid w:val="00097883"/>
    <w:rsid w:val="000A25E6"/>
    <w:rsid w:val="000C147E"/>
    <w:rsid w:val="000D1D26"/>
    <w:rsid w:val="000D4129"/>
    <w:rsid w:val="000E3EED"/>
    <w:rsid w:val="000E4D97"/>
    <w:rsid w:val="000F4D1D"/>
    <w:rsid w:val="001046CC"/>
    <w:rsid w:val="0010763C"/>
    <w:rsid w:val="00111B51"/>
    <w:rsid w:val="001128E8"/>
    <w:rsid w:val="001162D6"/>
    <w:rsid w:val="0012729C"/>
    <w:rsid w:val="00132ED5"/>
    <w:rsid w:val="001335BC"/>
    <w:rsid w:val="001609ED"/>
    <w:rsid w:val="00160E6E"/>
    <w:rsid w:val="001854FD"/>
    <w:rsid w:val="00193BAE"/>
    <w:rsid w:val="001B472D"/>
    <w:rsid w:val="001C47AF"/>
    <w:rsid w:val="001C5A98"/>
    <w:rsid w:val="001C71AE"/>
    <w:rsid w:val="001D183C"/>
    <w:rsid w:val="001E481B"/>
    <w:rsid w:val="001F7400"/>
    <w:rsid w:val="002019BE"/>
    <w:rsid w:val="002114FE"/>
    <w:rsid w:val="00215713"/>
    <w:rsid w:val="0021671B"/>
    <w:rsid w:val="00221780"/>
    <w:rsid w:val="002256AA"/>
    <w:rsid w:val="002428A2"/>
    <w:rsid w:val="00244CBA"/>
    <w:rsid w:val="00250B2F"/>
    <w:rsid w:val="002572AA"/>
    <w:rsid w:val="002833ED"/>
    <w:rsid w:val="00284871"/>
    <w:rsid w:val="002A2BD1"/>
    <w:rsid w:val="002A72F8"/>
    <w:rsid w:val="002C0DBE"/>
    <w:rsid w:val="002D0C50"/>
    <w:rsid w:val="002D2B61"/>
    <w:rsid w:val="002D6222"/>
    <w:rsid w:val="002D7E71"/>
    <w:rsid w:val="002E0966"/>
    <w:rsid w:val="002E5056"/>
    <w:rsid w:val="002E72C6"/>
    <w:rsid w:val="002F2130"/>
    <w:rsid w:val="00304E39"/>
    <w:rsid w:val="00341E5D"/>
    <w:rsid w:val="00346708"/>
    <w:rsid w:val="00352DEC"/>
    <w:rsid w:val="0036456A"/>
    <w:rsid w:val="00372A32"/>
    <w:rsid w:val="00375AFA"/>
    <w:rsid w:val="003A65D4"/>
    <w:rsid w:val="003B7670"/>
    <w:rsid w:val="003F6037"/>
    <w:rsid w:val="003F632E"/>
    <w:rsid w:val="00445357"/>
    <w:rsid w:val="00447495"/>
    <w:rsid w:val="004524BC"/>
    <w:rsid w:val="004536DC"/>
    <w:rsid w:val="004608D7"/>
    <w:rsid w:val="0046700F"/>
    <w:rsid w:val="00467389"/>
    <w:rsid w:val="004753C8"/>
    <w:rsid w:val="004B3995"/>
    <w:rsid w:val="004B5756"/>
    <w:rsid w:val="004D7D4B"/>
    <w:rsid w:val="004E115C"/>
    <w:rsid w:val="004F292D"/>
    <w:rsid w:val="00501E49"/>
    <w:rsid w:val="00505F99"/>
    <w:rsid w:val="00507284"/>
    <w:rsid w:val="00512E1C"/>
    <w:rsid w:val="00512F32"/>
    <w:rsid w:val="00513A09"/>
    <w:rsid w:val="00517E82"/>
    <w:rsid w:val="0053107D"/>
    <w:rsid w:val="00541DE7"/>
    <w:rsid w:val="00545D45"/>
    <w:rsid w:val="00565945"/>
    <w:rsid w:val="00567242"/>
    <w:rsid w:val="005778C7"/>
    <w:rsid w:val="005824FD"/>
    <w:rsid w:val="0058291A"/>
    <w:rsid w:val="00587F03"/>
    <w:rsid w:val="00596B90"/>
    <w:rsid w:val="005A7275"/>
    <w:rsid w:val="005B119E"/>
    <w:rsid w:val="005B6CC4"/>
    <w:rsid w:val="005C2CBA"/>
    <w:rsid w:val="005F42B6"/>
    <w:rsid w:val="00603273"/>
    <w:rsid w:val="00620AA7"/>
    <w:rsid w:val="00632B8F"/>
    <w:rsid w:val="00633597"/>
    <w:rsid w:val="00637F26"/>
    <w:rsid w:val="00645DA4"/>
    <w:rsid w:val="0065001A"/>
    <w:rsid w:val="00656D8B"/>
    <w:rsid w:val="0066593C"/>
    <w:rsid w:val="00680966"/>
    <w:rsid w:val="00683CC7"/>
    <w:rsid w:val="006A24E0"/>
    <w:rsid w:val="006A2D20"/>
    <w:rsid w:val="006A6736"/>
    <w:rsid w:val="006B0A31"/>
    <w:rsid w:val="006B11B1"/>
    <w:rsid w:val="006B680B"/>
    <w:rsid w:val="006C4513"/>
    <w:rsid w:val="006D2E58"/>
    <w:rsid w:val="006E0D2E"/>
    <w:rsid w:val="006E2343"/>
    <w:rsid w:val="006F4CF6"/>
    <w:rsid w:val="006F5207"/>
    <w:rsid w:val="006F59E4"/>
    <w:rsid w:val="00703BC8"/>
    <w:rsid w:val="0071496C"/>
    <w:rsid w:val="00721F7A"/>
    <w:rsid w:val="0072425B"/>
    <w:rsid w:val="00731B45"/>
    <w:rsid w:val="0074208D"/>
    <w:rsid w:val="00754EA8"/>
    <w:rsid w:val="00764842"/>
    <w:rsid w:val="00774A22"/>
    <w:rsid w:val="00791308"/>
    <w:rsid w:val="00794CD0"/>
    <w:rsid w:val="007A2A78"/>
    <w:rsid w:val="007A6D35"/>
    <w:rsid w:val="007B303E"/>
    <w:rsid w:val="007C0333"/>
    <w:rsid w:val="007C48DA"/>
    <w:rsid w:val="007D76CB"/>
    <w:rsid w:val="007E4B7C"/>
    <w:rsid w:val="007F4F9D"/>
    <w:rsid w:val="00803C5A"/>
    <w:rsid w:val="00820F02"/>
    <w:rsid w:val="0082689F"/>
    <w:rsid w:val="00843162"/>
    <w:rsid w:val="00857FF2"/>
    <w:rsid w:val="008818DB"/>
    <w:rsid w:val="00883EA9"/>
    <w:rsid w:val="008A4A51"/>
    <w:rsid w:val="008A4A99"/>
    <w:rsid w:val="008A69D0"/>
    <w:rsid w:val="008D2A9F"/>
    <w:rsid w:val="008E271D"/>
    <w:rsid w:val="00904D8F"/>
    <w:rsid w:val="009056E8"/>
    <w:rsid w:val="009104EC"/>
    <w:rsid w:val="009140E6"/>
    <w:rsid w:val="0093043D"/>
    <w:rsid w:val="009321A1"/>
    <w:rsid w:val="00937FD7"/>
    <w:rsid w:val="009400A9"/>
    <w:rsid w:val="00965CCC"/>
    <w:rsid w:val="00972406"/>
    <w:rsid w:val="00972786"/>
    <w:rsid w:val="00974EF9"/>
    <w:rsid w:val="00976112"/>
    <w:rsid w:val="00977E6B"/>
    <w:rsid w:val="009918C8"/>
    <w:rsid w:val="00991FF3"/>
    <w:rsid w:val="00997E78"/>
    <w:rsid w:val="009A1BA9"/>
    <w:rsid w:val="009A54B1"/>
    <w:rsid w:val="009B1365"/>
    <w:rsid w:val="009C1688"/>
    <w:rsid w:val="009D26B8"/>
    <w:rsid w:val="009D2AFF"/>
    <w:rsid w:val="009D449F"/>
    <w:rsid w:val="009E4338"/>
    <w:rsid w:val="009F5CE1"/>
    <w:rsid w:val="009F71A2"/>
    <w:rsid w:val="00A00893"/>
    <w:rsid w:val="00A10B15"/>
    <w:rsid w:val="00A212E0"/>
    <w:rsid w:val="00A22A20"/>
    <w:rsid w:val="00A50685"/>
    <w:rsid w:val="00A70CAA"/>
    <w:rsid w:val="00A82390"/>
    <w:rsid w:val="00A86BC9"/>
    <w:rsid w:val="00AA2033"/>
    <w:rsid w:val="00AA2F3B"/>
    <w:rsid w:val="00AA3AEA"/>
    <w:rsid w:val="00AB12D4"/>
    <w:rsid w:val="00AB401B"/>
    <w:rsid w:val="00AB5F89"/>
    <w:rsid w:val="00AC2F26"/>
    <w:rsid w:val="00AC3C64"/>
    <w:rsid w:val="00AC513B"/>
    <w:rsid w:val="00AC5BDD"/>
    <w:rsid w:val="00AC5C41"/>
    <w:rsid w:val="00AC75FE"/>
    <w:rsid w:val="00AD6A7D"/>
    <w:rsid w:val="00AE3F61"/>
    <w:rsid w:val="00AE47A6"/>
    <w:rsid w:val="00AF3694"/>
    <w:rsid w:val="00B0714B"/>
    <w:rsid w:val="00B12BE0"/>
    <w:rsid w:val="00B2438B"/>
    <w:rsid w:val="00B261ED"/>
    <w:rsid w:val="00B3031D"/>
    <w:rsid w:val="00B357CD"/>
    <w:rsid w:val="00B4007D"/>
    <w:rsid w:val="00B4279E"/>
    <w:rsid w:val="00B45B06"/>
    <w:rsid w:val="00B53B47"/>
    <w:rsid w:val="00B6177A"/>
    <w:rsid w:val="00B726C0"/>
    <w:rsid w:val="00B728E5"/>
    <w:rsid w:val="00B86103"/>
    <w:rsid w:val="00B949A8"/>
    <w:rsid w:val="00B9750F"/>
    <w:rsid w:val="00B975BD"/>
    <w:rsid w:val="00BA3E25"/>
    <w:rsid w:val="00BD00CA"/>
    <w:rsid w:val="00BD67C6"/>
    <w:rsid w:val="00BE37F2"/>
    <w:rsid w:val="00BF6DBA"/>
    <w:rsid w:val="00C018D7"/>
    <w:rsid w:val="00C07EC3"/>
    <w:rsid w:val="00C37FB9"/>
    <w:rsid w:val="00C41F0D"/>
    <w:rsid w:val="00C440D3"/>
    <w:rsid w:val="00C45152"/>
    <w:rsid w:val="00C46363"/>
    <w:rsid w:val="00C57F53"/>
    <w:rsid w:val="00C6416F"/>
    <w:rsid w:val="00C65683"/>
    <w:rsid w:val="00C71F88"/>
    <w:rsid w:val="00C82EA2"/>
    <w:rsid w:val="00C87947"/>
    <w:rsid w:val="00CA1A87"/>
    <w:rsid w:val="00CA7815"/>
    <w:rsid w:val="00CD3756"/>
    <w:rsid w:val="00CE2C18"/>
    <w:rsid w:val="00CF561B"/>
    <w:rsid w:val="00D213BE"/>
    <w:rsid w:val="00D3142D"/>
    <w:rsid w:val="00D31599"/>
    <w:rsid w:val="00D450E3"/>
    <w:rsid w:val="00D63468"/>
    <w:rsid w:val="00D67440"/>
    <w:rsid w:val="00D702FF"/>
    <w:rsid w:val="00D70E0A"/>
    <w:rsid w:val="00D720C6"/>
    <w:rsid w:val="00D77F13"/>
    <w:rsid w:val="00D82330"/>
    <w:rsid w:val="00D85AF2"/>
    <w:rsid w:val="00D95095"/>
    <w:rsid w:val="00DA130B"/>
    <w:rsid w:val="00DB788B"/>
    <w:rsid w:val="00DB7BD8"/>
    <w:rsid w:val="00DC1AFD"/>
    <w:rsid w:val="00DC4A2B"/>
    <w:rsid w:val="00DE2D3D"/>
    <w:rsid w:val="00E015C9"/>
    <w:rsid w:val="00E070C3"/>
    <w:rsid w:val="00E14802"/>
    <w:rsid w:val="00E2006E"/>
    <w:rsid w:val="00E73DBF"/>
    <w:rsid w:val="00E85F82"/>
    <w:rsid w:val="00E9408F"/>
    <w:rsid w:val="00E974FA"/>
    <w:rsid w:val="00EA3217"/>
    <w:rsid w:val="00EC5990"/>
    <w:rsid w:val="00EE1B82"/>
    <w:rsid w:val="00EE738A"/>
    <w:rsid w:val="00EF428C"/>
    <w:rsid w:val="00F03C83"/>
    <w:rsid w:val="00F177F0"/>
    <w:rsid w:val="00F22AAB"/>
    <w:rsid w:val="00F27BB7"/>
    <w:rsid w:val="00F43A2A"/>
    <w:rsid w:val="00F474B4"/>
    <w:rsid w:val="00F53D0A"/>
    <w:rsid w:val="00F6271B"/>
    <w:rsid w:val="00F63632"/>
    <w:rsid w:val="00F67264"/>
    <w:rsid w:val="00F76B3F"/>
    <w:rsid w:val="00F808CE"/>
    <w:rsid w:val="00F814AE"/>
    <w:rsid w:val="00F86209"/>
    <w:rsid w:val="00F918B2"/>
    <w:rsid w:val="00F9342F"/>
    <w:rsid w:val="00FA0286"/>
    <w:rsid w:val="00FA0B79"/>
    <w:rsid w:val="00FA2479"/>
    <w:rsid w:val="00FA4114"/>
    <w:rsid w:val="00FC0715"/>
    <w:rsid w:val="00FD2B93"/>
    <w:rsid w:val="00FD75F0"/>
    <w:rsid w:val="00FD7D30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63AC"/>
  <w15:docId w15:val="{682C611C-82D2-4A60-BD89-6A1EDD6E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C1688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1688"/>
    <w:rPr>
      <w:u w:val="single"/>
    </w:rPr>
  </w:style>
  <w:style w:type="table" w:customStyle="1" w:styleId="TableNormal">
    <w:name w:val="Table Normal"/>
    <w:rsid w:val="009C16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9C168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rsid w:val="009C1688"/>
    <w:pPr>
      <w:tabs>
        <w:tab w:val="center" w:pos="4153"/>
        <w:tab w:val="right" w:pos="8306"/>
      </w:tabs>
    </w:pPr>
    <w:rPr>
      <w:rFonts w:cs="Arial Unicode MS"/>
      <w:color w:val="000000"/>
      <w:u w:color="000000"/>
    </w:rPr>
  </w:style>
  <w:style w:type="paragraph" w:styleId="a6">
    <w:name w:val="List Paragraph"/>
    <w:aliases w:val="Table-Normal,RSHB_Table-Normal,List Paragraph,DBN: Обычный. Перечень. Уровень 1,Мой стиль!,Абзац списка◄"/>
    <w:link w:val="a7"/>
    <w:uiPriority w:val="34"/>
    <w:qFormat/>
    <w:rsid w:val="009C1688"/>
    <w:pPr>
      <w:spacing w:after="200" w:line="276" w:lineRule="auto"/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footnote text"/>
    <w:rsid w:val="009C1688"/>
    <w:rPr>
      <w:rFonts w:ascii="Calibri" w:eastAsia="Calibri" w:hAnsi="Calibri" w:cs="Calibri"/>
      <w:color w:val="000000"/>
      <w:u w:color="000000"/>
    </w:rPr>
  </w:style>
  <w:style w:type="numbering" w:customStyle="1" w:styleId="1">
    <w:name w:val="Импортированный стиль 1"/>
    <w:rsid w:val="009C1688"/>
    <w:pPr>
      <w:numPr>
        <w:numId w:val="1"/>
      </w:numPr>
    </w:pPr>
  </w:style>
  <w:style w:type="numbering" w:customStyle="1" w:styleId="2">
    <w:name w:val="Импортированный стиль 2"/>
    <w:rsid w:val="009C1688"/>
    <w:pPr>
      <w:numPr>
        <w:numId w:val="2"/>
      </w:numPr>
    </w:pPr>
  </w:style>
  <w:style w:type="numbering" w:customStyle="1" w:styleId="3">
    <w:name w:val="Импортированный стиль 3"/>
    <w:rsid w:val="009C1688"/>
    <w:pPr>
      <w:numPr>
        <w:numId w:val="3"/>
      </w:numPr>
    </w:pPr>
  </w:style>
  <w:style w:type="numbering" w:customStyle="1" w:styleId="4">
    <w:name w:val="Импортированный стиль 4"/>
    <w:rsid w:val="009C1688"/>
    <w:pPr>
      <w:numPr>
        <w:numId w:val="4"/>
      </w:numPr>
    </w:pPr>
  </w:style>
  <w:style w:type="paragraph" w:customStyle="1" w:styleId="ConsPlusNormal">
    <w:name w:val="ConsPlusNormal"/>
    <w:rsid w:val="009C1688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9">
    <w:name w:val="По умолчанию"/>
    <w:rsid w:val="009C1688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a">
    <w:name w:val="annotation text"/>
    <w:basedOn w:val="a"/>
    <w:link w:val="ab"/>
    <w:uiPriority w:val="99"/>
    <w:unhideWhenUsed/>
    <w:rsid w:val="009C1688"/>
  </w:style>
  <w:style w:type="character" w:customStyle="1" w:styleId="ab">
    <w:name w:val="Текст примечания Знак"/>
    <w:basedOn w:val="a0"/>
    <w:link w:val="aa"/>
    <w:uiPriority w:val="99"/>
    <w:rsid w:val="009C1688"/>
    <w:rPr>
      <w:rFonts w:cs="Arial Unicode MS"/>
      <w:color w:val="000000"/>
      <w:u w:color="000000"/>
    </w:rPr>
  </w:style>
  <w:style w:type="character" w:styleId="ac">
    <w:name w:val="annotation reference"/>
    <w:basedOn w:val="a0"/>
    <w:uiPriority w:val="99"/>
    <w:semiHidden/>
    <w:unhideWhenUsed/>
    <w:rsid w:val="009C1688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A86BC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6BC9"/>
    <w:rPr>
      <w:rFonts w:ascii="Segoe UI" w:hAnsi="Segoe UI" w:cs="Segoe UI"/>
      <w:color w:val="000000"/>
      <w:sz w:val="18"/>
      <w:szCs w:val="18"/>
      <w:u w:color="000000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A86BC9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A86BC9"/>
    <w:rPr>
      <w:rFonts w:cs="Arial Unicode MS"/>
      <w:b/>
      <w:bCs/>
      <w:color w:val="000000"/>
      <w:u w:color="000000"/>
    </w:rPr>
  </w:style>
  <w:style w:type="character" w:customStyle="1" w:styleId="af1">
    <w:name w:val="Гипертекстовая ссылка"/>
    <w:uiPriority w:val="99"/>
    <w:rsid w:val="001C5A98"/>
    <w:rPr>
      <w:color w:val="008000"/>
      <w:sz w:val="20"/>
      <w:szCs w:val="20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A50685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50685"/>
    <w:rPr>
      <w:rFonts w:ascii="Tahoma" w:hAnsi="Tahoma" w:cs="Tahoma"/>
      <w:color w:val="000000"/>
      <w:sz w:val="16"/>
      <w:szCs w:val="16"/>
      <w:u w:color="000000"/>
    </w:rPr>
  </w:style>
  <w:style w:type="character" w:styleId="af4">
    <w:name w:val="footnote reference"/>
    <w:basedOn w:val="a0"/>
    <w:uiPriority w:val="99"/>
    <w:semiHidden/>
    <w:unhideWhenUsed/>
    <w:rsid w:val="002D2B61"/>
    <w:rPr>
      <w:vertAlign w:val="superscript"/>
    </w:rPr>
  </w:style>
  <w:style w:type="character" w:customStyle="1" w:styleId="a7">
    <w:name w:val="Абзац списка Знак"/>
    <w:aliases w:val="Table-Normal Знак,RSHB_Table-Normal Знак,List Paragraph Знак,DBN: Обычный. Перечень. Уровень 1 Знак,Мой стиль! Знак,Абзац списка◄ Знак"/>
    <w:link w:val="a6"/>
    <w:uiPriority w:val="34"/>
    <w:locked/>
    <w:rsid w:val="00DB788B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f5">
    <w:name w:val="Unresolved Mention"/>
    <w:basedOn w:val="a0"/>
    <w:uiPriority w:val="99"/>
    <w:semiHidden/>
    <w:unhideWhenUsed/>
    <w:rsid w:val="00AB1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201E-B0F5-4CA1-B6FA-267DA7DC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Евгения Николаевна</dc:creator>
  <cp:lastModifiedBy>Минакова Евгения Николаевна</cp:lastModifiedBy>
  <cp:revision>6</cp:revision>
  <cp:lastPrinted>2020-10-20T08:04:00Z</cp:lastPrinted>
  <dcterms:created xsi:type="dcterms:W3CDTF">2020-10-20T07:46:00Z</dcterms:created>
  <dcterms:modified xsi:type="dcterms:W3CDTF">2020-11-30T13:28:00Z</dcterms:modified>
</cp:coreProperties>
</file>