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25" w:type="dxa"/>
        <w:jc w:val="center"/>
        <w:tblLook w:val="01E0" w:firstRow="1" w:lastRow="1" w:firstColumn="1" w:lastColumn="1" w:noHBand="0" w:noVBand="0"/>
      </w:tblPr>
      <w:tblGrid>
        <w:gridCol w:w="4111"/>
        <w:gridCol w:w="4414"/>
      </w:tblGrid>
      <w:tr w:rsidR="00657BF4" w:rsidRPr="00033C3D" w14:paraId="6613306D" w14:textId="77777777" w:rsidTr="000E5D8D">
        <w:trPr>
          <w:jc w:val="center"/>
        </w:trPr>
        <w:tc>
          <w:tcPr>
            <w:tcW w:w="4111" w:type="dxa"/>
          </w:tcPr>
          <w:p w14:paraId="7743AA97" w14:textId="77777777" w:rsidR="00657BF4" w:rsidRPr="00170EE7" w:rsidRDefault="00657BF4" w:rsidP="006200DF">
            <w:pPr>
              <w:pStyle w:val="Iauiue"/>
              <w:tabs>
                <w:tab w:val="left" w:pos="4253"/>
              </w:tabs>
              <w:rPr>
                <w:rFonts w:ascii="Tahoma" w:hAnsi="Tahoma" w:cs="Tahoma"/>
                <w:lang w:val="ru-RU"/>
              </w:rPr>
            </w:pPr>
          </w:p>
        </w:tc>
        <w:tc>
          <w:tcPr>
            <w:tcW w:w="4414" w:type="dxa"/>
          </w:tcPr>
          <w:p w14:paraId="79F46288" w14:textId="77777777" w:rsidR="004B0F3C" w:rsidRPr="004D498A" w:rsidRDefault="004B0F3C" w:rsidP="00F767D9">
            <w:pPr>
              <w:pStyle w:val="Iauiue"/>
              <w:rPr>
                <w:b/>
                <w:sz w:val="24"/>
                <w:szCs w:val="24"/>
              </w:rPr>
            </w:pPr>
            <w:r>
              <w:rPr>
                <w:b/>
                <w:sz w:val="24"/>
              </w:rPr>
              <w:t>APPROVED</w:t>
            </w:r>
          </w:p>
          <w:p w14:paraId="2F74E907" w14:textId="77777777" w:rsidR="002175C0" w:rsidRPr="00387F4F" w:rsidRDefault="002175C0" w:rsidP="00F767D9">
            <w:pPr>
              <w:pStyle w:val="Iauiue"/>
              <w:rPr>
                <w:b/>
                <w:sz w:val="24"/>
                <w:szCs w:val="24"/>
                <w:lang w:val="en-US"/>
              </w:rPr>
            </w:pPr>
          </w:p>
          <w:p w14:paraId="331C817E" w14:textId="77777777" w:rsidR="00126E03" w:rsidRDefault="002175C0" w:rsidP="004D498A">
            <w:pPr>
              <w:pStyle w:val="Iauiue"/>
              <w:widowControl w:val="0"/>
              <w:spacing w:before="100" w:after="120"/>
              <w:ind w:left="68"/>
              <w:jc w:val="both"/>
              <w:rPr>
                <w:sz w:val="24"/>
                <w:szCs w:val="24"/>
              </w:rPr>
            </w:pPr>
            <w:r>
              <w:rPr>
                <w:sz w:val="24"/>
              </w:rPr>
              <w:t>by the Executive Board of Moscow Exchange</w:t>
            </w:r>
          </w:p>
          <w:p w14:paraId="67A09158" w14:textId="77777777" w:rsidR="002175C0" w:rsidRPr="00AE00C2" w:rsidRDefault="00707EAF" w:rsidP="00211FF7">
            <w:pPr>
              <w:pStyle w:val="Iauiue"/>
              <w:widowControl w:val="0"/>
              <w:spacing w:before="100" w:after="120"/>
              <w:ind w:left="68"/>
              <w:jc w:val="both"/>
              <w:rPr>
                <w:sz w:val="24"/>
                <w:szCs w:val="24"/>
              </w:rPr>
            </w:pPr>
            <w:r>
              <w:rPr>
                <w:sz w:val="24"/>
              </w:rPr>
              <w:t>2 October 2023, Minutes No.64</w:t>
            </w:r>
          </w:p>
          <w:p w14:paraId="15F4BD41" w14:textId="77777777" w:rsidR="00DC19C8" w:rsidRDefault="002175C0" w:rsidP="002175C0">
            <w:pPr>
              <w:pStyle w:val="Iauiue"/>
              <w:widowControl w:val="0"/>
              <w:spacing w:before="100" w:after="120"/>
              <w:ind w:left="68"/>
              <w:rPr>
                <w:sz w:val="24"/>
                <w:szCs w:val="24"/>
              </w:rPr>
            </w:pPr>
            <w:r>
              <w:rPr>
                <w:sz w:val="24"/>
              </w:rPr>
              <w:t>Chairman of the Executive Board</w:t>
            </w:r>
          </w:p>
          <w:p w14:paraId="690D29BF" w14:textId="77777777" w:rsidR="002175C0" w:rsidRPr="004D498A" w:rsidRDefault="002175C0" w:rsidP="002175C0">
            <w:pPr>
              <w:pStyle w:val="Iauiue"/>
              <w:widowControl w:val="0"/>
              <w:spacing w:before="100" w:after="120"/>
              <w:ind w:left="68"/>
              <w:rPr>
                <w:sz w:val="24"/>
                <w:szCs w:val="24"/>
              </w:rPr>
            </w:pPr>
            <w:r>
              <w:rPr>
                <w:sz w:val="24"/>
              </w:rPr>
              <w:t>Moscow Exchange</w:t>
            </w:r>
          </w:p>
          <w:p w14:paraId="39077B00" w14:textId="77777777" w:rsidR="002175C0" w:rsidRPr="00D82A94" w:rsidRDefault="002175C0" w:rsidP="00F767D9">
            <w:pPr>
              <w:pStyle w:val="Iauiue"/>
              <w:rPr>
                <w:sz w:val="24"/>
                <w:szCs w:val="24"/>
              </w:rPr>
            </w:pPr>
            <w:r>
              <w:rPr>
                <w:sz w:val="24"/>
              </w:rPr>
              <w:t>_______________ Yu.O. Denisov</w:t>
            </w:r>
          </w:p>
          <w:p w14:paraId="6F067714" w14:textId="77777777" w:rsidR="00657BF4" w:rsidRPr="00033C3D" w:rsidRDefault="00657BF4" w:rsidP="002175C0">
            <w:pPr>
              <w:pStyle w:val="Iauiue"/>
              <w:rPr>
                <w:rFonts w:ascii="Tahoma" w:hAnsi="Tahoma" w:cs="Tahoma"/>
                <w:b/>
                <w:sz w:val="24"/>
                <w:szCs w:val="24"/>
                <w:lang w:val="ru-RU"/>
              </w:rPr>
            </w:pPr>
          </w:p>
        </w:tc>
      </w:tr>
    </w:tbl>
    <w:p w14:paraId="0935B0AD" w14:textId="77777777" w:rsidR="00657BF4" w:rsidRPr="00033C3D" w:rsidRDefault="00657BF4" w:rsidP="00315188">
      <w:pPr>
        <w:rPr>
          <w:rFonts w:ascii="Tahoma" w:hAnsi="Tahoma" w:cs="Tahoma"/>
          <w:sz w:val="20"/>
          <w:szCs w:val="20"/>
        </w:rPr>
      </w:pPr>
    </w:p>
    <w:p w14:paraId="6BC77F9D" w14:textId="77777777" w:rsidR="00657BF4" w:rsidRPr="00033C3D" w:rsidRDefault="00657BF4" w:rsidP="00315188">
      <w:pPr>
        <w:rPr>
          <w:rFonts w:ascii="Tahoma" w:hAnsi="Tahoma" w:cs="Tahoma"/>
          <w:sz w:val="20"/>
          <w:szCs w:val="20"/>
        </w:rPr>
      </w:pPr>
    </w:p>
    <w:p w14:paraId="5F778EAA" w14:textId="77777777" w:rsidR="00657BF4" w:rsidRPr="00033C3D" w:rsidRDefault="00657BF4" w:rsidP="00315188">
      <w:pPr>
        <w:rPr>
          <w:rFonts w:ascii="Tahoma" w:hAnsi="Tahoma" w:cs="Tahoma"/>
          <w:sz w:val="20"/>
          <w:szCs w:val="20"/>
        </w:rPr>
      </w:pPr>
    </w:p>
    <w:p w14:paraId="08A8E781" w14:textId="77777777" w:rsidR="00657BF4" w:rsidRPr="00033C3D" w:rsidRDefault="00657BF4" w:rsidP="00315188">
      <w:pPr>
        <w:rPr>
          <w:rFonts w:ascii="Tahoma" w:hAnsi="Tahoma" w:cs="Tahoma"/>
          <w:sz w:val="20"/>
          <w:szCs w:val="20"/>
        </w:rPr>
      </w:pPr>
    </w:p>
    <w:p w14:paraId="52C5E7E0" w14:textId="77777777" w:rsidR="003C416D" w:rsidRPr="00033C3D" w:rsidRDefault="003C416D" w:rsidP="00315188">
      <w:pPr>
        <w:rPr>
          <w:rFonts w:ascii="Tahoma" w:hAnsi="Tahoma" w:cs="Tahoma"/>
          <w:sz w:val="20"/>
          <w:szCs w:val="20"/>
        </w:rPr>
      </w:pPr>
    </w:p>
    <w:p w14:paraId="0D5D5611" w14:textId="77777777" w:rsidR="003C416D" w:rsidRPr="00033C3D" w:rsidRDefault="003C416D" w:rsidP="00315188">
      <w:pPr>
        <w:rPr>
          <w:rFonts w:ascii="Tahoma" w:hAnsi="Tahoma" w:cs="Tahoma"/>
          <w:sz w:val="20"/>
          <w:szCs w:val="20"/>
        </w:rPr>
      </w:pPr>
    </w:p>
    <w:p w14:paraId="50BB8DE9" w14:textId="77777777" w:rsidR="003C416D" w:rsidRPr="00033C3D" w:rsidRDefault="003C416D" w:rsidP="00315188">
      <w:pPr>
        <w:rPr>
          <w:rFonts w:ascii="Tahoma" w:hAnsi="Tahoma" w:cs="Tahoma"/>
          <w:sz w:val="20"/>
          <w:szCs w:val="20"/>
        </w:rPr>
      </w:pPr>
    </w:p>
    <w:p w14:paraId="46400547" w14:textId="77777777" w:rsidR="00657BF4" w:rsidRPr="00033C3D" w:rsidRDefault="00657BF4" w:rsidP="00315188">
      <w:pPr>
        <w:rPr>
          <w:rFonts w:ascii="Tahoma" w:hAnsi="Tahoma" w:cs="Tahoma"/>
          <w:sz w:val="20"/>
          <w:szCs w:val="20"/>
        </w:rPr>
      </w:pPr>
    </w:p>
    <w:p w14:paraId="21174245" w14:textId="77777777" w:rsidR="009910FA" w:rsidRPr="00033C3D" w:rsidRDefault="009910FA" w:rsidP="009910FA">
      <w:pPr>
        <w:rPr>
          <w:rFonts w:ascii="Tahoma" w:hAnsi="Tahoma" w:cs="Tahoma"/>
          <w:sz w:val="20"/>
          <w:szCs w:val="20"/>
        </w:rPr>
      </w:pPr>
    </w:p>
    <w:p w14:paraId="145623DD" w14:textId="77777777" w:rsidR="009910FA" w:rsidRPr="00033C3D" w:rsidRDefault="009910FA" w:rsidP="009910FA">
      <w:pPr>
        <w:rPr>
          <w:rFonts w:ascii="Tahoma" w:hAnsi="Tahoma" w:cs="Tahoma"/>
          <w:sz w:val="20"/>
          <w:szCs w:val="20"/>
        </w:rPr>
      </w:pPr>
    </w:p>
    <w:p w14:paraId="47AAA41C" w14:textId="77777777" w:rsidR="009910FA" w:rsidRPr="00033C3D" w:rsidRDefault="009910FA" w:rsidP="009910FA">
      <w:pPr>
        <w:rPr>
          <w:rFonts w:ascii="Tahoma" w:hAnsi="Tahoma" w:cs="Tahoma"/>
          <w:sz w:val="20"/>
          <w:szCs w:val="20"/>
        </w:rPr>
      </w:pPr>
    </w:p>
    <w:p w14:paraId="7866A34E" w14:textId="77777777" w:rsidR="00501C1F" w:rsidRDefault="009910FA" w:rsidP="009910FA">
      <w:pPr>
        <w:jc w:val="center"/>
        <w:rPr>
          <w:rFonts w:ascii="Tahoma" w:hAnsi="Tahoma" w:cs="Tahoma"/>
          <w:b/>
          <w:sz w:val="28"/>
          <w:szCs w:val="28"/>
        </w:rPr>
      </w:pPr>
      <w:r>
        <w:rPr>
          <w:rFonts w:ascii="Tahoma" w:hAnsi="Tahoma"/>
          <w:b/>
          <w:sz w:val="28"/>
        </w:rPr>
        <w:t>Calculation Methodology for</w:t>
      </w:r>
    </w:p>
    <w:p w14:paraId="1493DF13" w14:textId="77777777" w:rsidR="009115D8" w:rsidRPr="00033C3D" w:rsidRDefault="00E92BEC" w:rsidP="009910FA">
      <w:pPr>
        <w:jc w:val="center"/>
        <w:rPr>
          <w:rFonts w:ascii="Tahoma" w:hAnsi="Tahoma" w:cs="Tahoma"/>
          <w:b/>
          <w:sz w:val="28"/>
          <w:szCs w:val="28"/>
        </w:rPr>
      </w:pPr>
      <w:r>
        <w:rPr>
          <w:rFonts w:ascii="Tahoma" w:hAnsi="Tahoma"/>
          <w:b/>
          <w:sz w:val="28"/>
        </w:rPr>
        <w:t>MOEX Extra Yield Bond index</w:t>
      </w:r>
    </w:p>
    <w:p w14:paraId="07E19992" w14:textId="77777777" w:rsidR="009910FA" w:rsidRPr="00033C3D" w:rsidRDefault="009910FA" w:rsidP="009910FA">
      <w:pPr>
        <w:rPr>
          <w:rFonts w:ascii="Tahoma" w:hAnsi="Tahoma" w:cs="Tahoma"/>
          <w:sz w:val="20"/>
          <w:szCs w:val="20"/>
        </w:rPr>
      </w:pPr>
    </w:p>
    <w:p w14:paraId="74CD3C52" w14:textId="77777777" w:rsidR="009910FA" w:rsidRPr="00033C3D" w:rsidRDefault="009910FA" w:rsidP="009910FA">
      <w:pPr>
        <w:rPr>
          <w:rFonts w:ascii="Tahoma" w:hAnsi="Tahoma" w:cs="Tahoma"/>
          <w:sz w:val="20"/>
          <w:szCs w:val="20"/>
        </w:rPr>
      </w:pPr>
    </w:p>
    <w:p w14:paraId="008FFE2B" w14:textId="77777777" w:rsidR="009910FA" w:rsidRPr="00033C3D" w:rsidRDefault="009910FA" w:rsidP="009910FA">
      <w:pPr>
        <w:rPr>
          <w:rFonts w:ascii="Tahoma" w:hAnsi="Tahoma" w:cs="Tahoma"/>
          <w:sz w:val="20"/>
          <w:szCs w:val="20"/>
        </w:rPr>
      </w:pPr>
    </w:p>
    <w:p w14:paraId="2F166C26" w14:textId="77777777" w:rsidR="009910FA" w:rsidRPr="00033C3D" w:rsidRDefault="009910FA" w:rsidP="009910FA">
      <w:pPr>
        <w:rPr>
          <w:rFonts w:ascii="Tahoma" w:hAnsi="Tahoma" w:cs="Tahoma"/>
          <w:sz w:val="20"/>
          <w:szCs w:val="20"/>
        </w:rPr>
      </w:pPr>
    </w:p>
    <w:p w14:paraId="0A3FADF3" w14:textId="77777777" w:rsidR="009910FA" w:rsidRPr="00033C3D" w:rsidRDefault="009910FA" w:rsidP="009910FA">
      <w:pPr>
        <w:rPr>
          <w:rFonts w:ascii="Tahoma" w:hAnsi="Tahoma" w:cs="Tahoma"/>
          <w:sz w:val="20"/>
          <w:szCs w:val="20"/>
        </w:rPr>
      </w:pPr>
    </w:p>
    <w:p w14:paraId="4800EE79" w14:textId="77777777" w:rsidR="009910FA" w:rsidRPr="00033C3D" w:rsidRDefault="009910FA" w:rsidP="009910FA">
      <w:pPr>
        <w:rPr>
          <w:rFonts w:ascii="Tahoma" w:hAnsi="Tahoma" w:cs="Tahoma"/>
          <w:sz w:val="20"/>
          <w:szCs w:val="20"/>
        </w:rPr>
      </w:pPr>
    </w:p>
    <w:p w14:paraId="66C97A13" w14:textId="77777777" w:rsidR="009910FA" w:rsidRPr="00033C3D" w:rsidRDefault="009910FA" w:rsidP="009910FA">
      <w:pPr>
        <w:rPr>
          <w:rFonts w:ascii="Tahoma" w:hAnsi="Tahoma" w:cs="Tahoma"/>
          <w:sz w:val="20"/>
          <w:szCs w:val="20"/>
        </w:rPr>
      </w:pPr>
    </w:p>
    <w:p w14:paraId="5A5D1274" w14:textId="77777777" w:rsidR="009910FA" w:rsidRPr="00033C3D" w:rsidRDefault="009910FA" w:rsidP="009910FA">
      <w:pPr>
        <w:rPr>
          <w:rFonts w:ascii="Tahoma" w:hAnsi="Tahoma" w:cs="Tahoma"/>
          <w:sz w:val="20"/>
          <w:szCs w:val="20"/>
        </w:rPr>
      </w:pPr>
    </w:p>
    <w:p w14:paraId="3F99C707" w14:textId="77777777" w:rsidR="009910FA" w:rsidRPr="00033C3D" w:rsidRDefault="009910FA" w:rsidP="009910FA">
      <w:pPr>
        <w:rPr>
          <w:rFonts w:ascii="Tahoma" w:hAnsi="Tahoma" w:cs="Tahoma"/>
          <w:sz w:val="20"/>
          <w:szCs w:val="20"/>
        </w:rPr>
      </w:pPr>
    </w:p>
    <w:p w14:paraId="09753E0C" w14:textId="77777777" w:rsidR="009910FA" w:rsidRPr="00033C3D" w:rsidRDefault="009910FA" w:rsidP="009910FA">
      <w:pPr>
        <w:rPr>
          <w:rFonts w:ascii="Tahoma" w:hAnsi="Tahoma" w:cs="Tahoma"/>
          <w:sz w:val="20"/>
          <w:szCs w:val="20"/>
        </w:rPr>
      </w:pPr>
    </w:p>
    <w:p w14:paraId="71DA186A" w14:textId="77777777" w:rsidR="009910FA" w:rsidRPr="00033C3D" w:rsidRDefault="009910FA" w:rsidP="009910FA">
      <w:pPr>
        <w:rPr>
          <w:rFonts w:ascii="Tahoma" w:hAnsi="Tahoma" w:cs="Tahoma"/>
          <w:sz w:val="20"/>
          <w:szCs w:val="20"/>
        </w:rPr>
      </w:pPr>
    </w:p>
    <w:p w14:paraId="56E79457" w14:textId="77777777" w:rsidR="009910FA" w:rsidRPr="00033C3D" w:rsidRDefault="009910FA" w:rsidP="009910FA">
      <w:pPr>
        <w:rPr>
          <w:rFonts w:ascii="Tahoma" w:hAnsi="Tahoma" w:cs="Tahoma"/>
          <w:sz w:val="20"/>
          <w:szCs w:val="20"/>
        </w:rPr>
      </w:pPr>
    </w:p>
    <w:p w14:paraId="0D32B4EF" w14:textId="77777777" w:rsidR="009910FA" w:rsidRPr="00033C3D" w:rsidRDefault="009910FA" w:rsidP="009910FA">
      <w:pPr>
        <w:rPr>
          <w:rFonts w:ascii="Tahoma" w:hAnsi="Tahoma" w:cs="Tahoma"/>
          <w:sz w:val="20"/>
          <w:szCs w:val="20"/>
        </w:rPr>
      </w:pPr>
    </w:p>
    <w:p w14:paraId="6D53FACE" w14:textId="77777777" w:rsidR="009910FA" w:rsidRPr="00033C3D" w:rsidRDefault="009910FA" w:rsidP="009910FA">
      <w:pPr>
        <w:rPr>
          <w:rFonts w:ascii="Tahoma" w:hAnsi="Tahoma" w:cs="Tahoma"/>
          <w:sz w:val="20"/>
          <w:szCs w:val="20"/>
        </w:rPr>
      </w:pPr>
    </w:p>
    <w:p w14:paraId="49C9A3B3" w14:textId="77777777" w:rsidR="009910FA" w:rsidRPr="00033C3D" w:rsidRDefault="009910FA" w:rsidP="009910FA">
      <w:pPr>
        <w:rPr>
          <w:rFonts w:ascii="Tahoma" w:hAnsi="Tahoma" w:cs="Tahoma"/>
          <w:sz w:val="20"/>
          <w:szCs w:val="20"/>
        </w:rPr>
      </w:pPr>
    </w:p>
    <w:p w14:paraId="5799F566" w14:textId="77777777" w:rsidR="009910FA" w:rsidRPr="00033C3D" w:rsidRDefault="009910FA" w:rsidP="009910FA">
      <w:pPr>
        <w:rPr>
          <w:rFonts w:ascii="Tahoma" w:hAnsi="Tahoma" w:cs="Tahoma"/>
          <w:sz w:val="20"/>
          <w:szCs w:val="20"/>
        </w:rPr>
      </w:pPr>
    </w:p>
    <w:p w14:paraId="48682F0F" w14:textId="77777777" w:rsidR="009910FA" w:rsidRPr="00033C3D" w:rsidRDefault="009910FA" w:rsidP="009910FA">
      <w:pPr>
        <w:rPr>
          <w:rFonts w:ascii="Tahoma" w:hAnsi="Tahoma" w:cs="Tahoma"/>
          <w:sz w:val="20"/>
          <w:szCs w:val="20"/>
        </w:rPr>
      </w:pPr>
    </w:p>
    <w:p w14:paraId="5FE22698" w14:textId="77777777" w:rsidR="009910FA" w:rsidRPr="00033C3D" w:rsidRDefault="009910FA" w:rsidP="009910FA">
      <w:pPr>
        <w:rPr>
          <w:rFonts w:ascii="Tahoma" w:hAnsi="Tahoma" w:cs="Tahoma"/>
          <w:sz w:val="20"/>
          <w:szCs w:val="20"/>
        </w:rPr>
      </w:pPr>
    </w:p>
    <w:p w14:paraId="01EF6E63" w14:textId="77777777" w:rsidR="009910FA" w:rsidRPr="00033C3D" w:rsidRDefault="009910FA" w:rsidP="009910FA">
      <w:pPr>
        <w:rPr>
          <w:rFonts w:ascii="Tahoma" w:hAnsi="Tahoma" w:cs="Tahoma"/>
          <w:sz w:val="20"/>
          <w:szCs w:val="20"/>
        </w:rPr>
      </w:pPr>
    </w:p>
    <w:p w14:paraId="596A8549" w14:textId="77777777" w:rsidR="009910FA" w:rsidRPr="00033C3D" w:rsidRDefault="009910FA" w:rsidP="009910FA">
      <w:pPr>
        <w:rPr>
          <w:rFonts w:ascii="Tahoma" w:hAnsi="Tahoma" w:cs="Tahoma"/>
          <w:sz w:val="20"/>
          <w:szCs w:val="20"/>
        </w:rPr>
      </w:pPr>
    </w:p>
    <w:p w14:paraId="668819A3" w14:textId="77777777" w:rsidR="009910FA" w:rsidRPr="00033C3D" w:rsidRDefault="009910FA" w:rsidP="009910FA">
      <w:pPr>
        <w:rPr>
          <w:rFonts w:ascii="Tahoma" w:hAnsi="Tahoma" w:cs="Tahoma"/>
          <w:sz w:val="20"/>
          <w:szCs w:val="20"/>
        </w:rPr>
      </w:pPr>
    </w:p>
    <w:p w14:paraId="0E4C6413" w14:textId="77777777" w:rsidR="009910FA" w:rsidRPr="00033C3D" w:rsidRDefault="009910FA" w:rsidP="009910FA">
      <w:pPr>
        <w:rPr>
          <w:rFonts w:ascii="Tahoma" w:hAnsi="Tahoma" w:cs="Tahoma"/>
          <w:sz w:val="20"/>
          <w:szCs w:val="20"/>
        </w:rPr>
      </w:pPr>
    </w:p>
    <w:p w14:paraId="2E057D92" w14:textId="77777777" w:rsidR="009910FA" w:rsidRPr="00033C3D" w:rsidRDefault="009910FA" w:rsidP="009910FA">
      <w:pPr>
        <w:rPr>
          <w:rFonts w:ascii="Tahoma" w:hAnsi="Tahoma" w:cs="Tahoma"/>
          <w:sz w:val="20"/>
          <w:szCs w:val="20"/>
        </w:rPr>
      </w:pPr>
    </w:p>
    <w:p w14:paraId="23AF1CB0" w14:textId="77777777" w:rsidR="009910FA" w:rsidRPr="00033C3D" w:rsidRDefault="009910FA" w:rsidP="009910FA">
      <w:pPr>
        <w:rPr>
          <w:rFonts w:ascii="Tahoma" w:hAnsi="Tahoma" w:cs="Tahoma"/>
          <w:sz w:val="20"/>
          <w:szCs w:val="20"/>
        </w:rPr>
      </w:pPr>
    </w:p>
    <w:p w14:paraId="0FEC4CD4" w14:textId="77777777" w:rsidR="009910FA" w:rsidRPr="00033C3D" w:rsidRDefault="009910FA" w:rsidP="009910FA">
      <w:pPr>
        <w:rPr>
          <w:rFonts w:ascii="Tahoma" w:hAnsi="Tahoma" w:cs="Tahoma"/>
          <w:sz w:val="20"/>
          <w:szCs w:val="20"/>
        </w:rPr>
      </w:pPr>
    </w:p>
    <w:p w14:paraId="774C2007" w14:textId="77777777" w:rsidR="009910FA" w:rsidRPr="00033C3D" w:rsidRDefault="009910FA" w:rsidP="009910FA">
      <w:pPr>
        <w:rPr>
          <w:rFonts w:ascii="Tahoma" w:hAnsi="Tahoma" w:cs="Tahoma"/>
          <w:sz w:val="20"/>
          <w:szCs w:val="20"/>
        </w:rPr>
      </w:pPr>
    </w:p>
    <w:p w14:paraId="3E75A388" w14:textId="77777777" w:rsidR="009910FA" w:rsidRPr="00033C3D" w:rsidRDefault="009910FA" w:rsidP="009910FA">
      <w:pPr>
        <w:rPr>
          <w:rFonts w:ascii="Tahoma" w:hAnsi="Tahoma" w:cs="Tahoma"/>
          <w:sz w:val="20"/>
          <w:szCs w:val="20"/>
        </w:rPr>
      </w:pPr>
    </w:p>
    <w:p w14:paraId="420F5CF7" w14:textId="77777777" w:rsidR="009910FA" w:rsidRDefault="009910FA" w:rsidP="009910FA">
      <w:pPr>
        <w:rPr>
          <w:rFonts w:ascii="Tahoma" w:hAnsi="Tahoma" w:cs="Tahoma"/>
          <w:sz w:val="20"/>
          <w:szCs w:val="20"/>
        </w:rPr>
      </w:pPr>
    </w:p>
    <w:p w14:paraId="626E5149" w14:textId="77777777" w:rsidR="00860441" w:rsidRPr="00033C3D" w:rsidRDefault="00860441" w:rsidP="009910FA">
      <w:pPr>
        <w:rPr>
          <w:rFonts w:ascii="Tahoma" w:hAnsi="Tahoma" w:cs="Tahoma"/>
          <w:sz w:val="20"/>
          <w:szCs w:val="20"/>
        </w:rPr>
      </w:pPr>
    </w:p>
    <w:p w14:paraId="3D314A64" w14:textId="77777777" w:rsidR="009910FA" w:rsidRPr="00033C3D" w:rsidRDefault="009910FA" w:rsidP="009910FA">
      <w:pPr>
        <w:rPr>
          <w:rFonts w:ascii="Tahoma" w:hAnsi="Tahoma" w:cs="Tahoma"/>
          <w:sz w:val="20"/>
          <w:szCs w:val="20"/>
        </w:rPr>
      </w:pPr>
    </w:p>
    <w:p w14:paraId="26FFB53F" w14:textId="77777777" w:rsidR="009910FA" w:rsidRPr="00033C3D" w:rsidRDefault="009910FA" w:rsidP="009910FA">
      <w:pPr>
        <w:rPr>
          <w:rFonts w:ascii="Tahoma" w:hAnsi="Tahoma" w:cs="Tahoma"/>
          <w:sz w:val="20"/>
          <w:szCs w:val="20"/>
        </w:rPr>
      </w:pPr>
    </w:p>
    <w:p w14:paraId="3AD90056" w14:textId="77777777" w:rsidR="009910FA" w:rsidRPr="00033C3D" w:rsidRDefault="009910FA" w:rsidP="009910FA">
      <w:pPr>
        <w:rPr>
          <w:rFonts w:ascii="Tahoma" w:hAnsi="Tahoma" w:cs="Tahoma"/>
          <w:sz w:val="20"/>
          <w:szCs w:val="20"/>
        </w:rPr>
      </w:pPr>
    </w:p>
    <w:p w14:paraId="31EEC3E7" w14:textId="77777777" w:rsidR="009910FA" w:rsidRPr="00DC19C8" w:rsidRDefault="00132D55" w:rsidP="005F508C">
      <w:pPr>
        <w:pStyle w:val="a3"/>
        <w:spacing w:after="0"/>
        <w:jc w:val="center"/>
        <w:rPr>
          <w:rFonts w:ascii="Tahoma" w:hAnsi="Tahoma" w:cs="Tahoma"/>
          <w:b/>
          <w:sz w:val="20"/>
        </w:rPr>
      </w:pPr>
      <w:r>
        <w:rPr>
          <w:rFonts w:ascii="Tahoma" w:hAnsi="Tahoma"/>
        </w:rPr>
        <w:t>Moscow Exchange, 2023</w:t>
      </w:r>
    </w:p>
    <w:p w14:paraId="2FDE3489" w14:textId="77777777" w:rsidR="00F8685C" w:rsidRPr="00033C3D" w:rsidRDefault="009910FA" w:rsidP="0090301D">
      <w:pPr>
        <w:pStyle w:val="13"/>
      </w:pPr>
      <w:r>
        <w:br w:type="page"/>
      </w:r>
      <w:r>
        <w:lastRenderedPageBreak/>
        <w:t>CONTENTS</w:t>
      </w:r>
    </w:p>
    <w:p w14:paraId="7A922769" w14:textId="77777777" w:rsidR="00387F4F" w:rsidRDefault="009F6C5A">
      <w:pPr>
        <w:pStyle w:val="13"/>
        <w:rPr>
          <w:rFonts w:asciiTheme="minorHAnsi" w:eastAsiaTheme="minorEastAsia" w:hAnsiTheme="minorHAnsi" w:cstheme="minorBidi"/>
          <w:b w:val="0"/>
          <w:bCs w:val="0"/>
          <w:caps w:val="0"/>
          <w:noProof/>
          <w:sz w:val="22"/>
          <w:szCs w:val="22"/>
          <w:lang w:val="ru-RU"/>
        </w:rPr>
      </w:pPr>
      <w:r w:rsidRPr="00033C3D">
        <w:rPr>
          <w:rFonts w:ascii="Tahoma" w:hAnsi="Tahoma" w:cs="Tahoma"/>
        </w:rPr>
        <w:fldChar w:fldCharType="begin"/>
      </w:r>
      <w:r w:rsidRPr="00033C3D">
        <w:rPr>
          <w:rFonts w:ascii="Tahoma" w:hAnsi="Tahoma" w:cs="Tahoma"/>
        </w:rPr>
        <w:instrText xml:space="preserve"> TOC \o "1-1" \h \z \u </w:instrText>
      </w:r>
      <w:r w:rsidRPr="00033C3D">
        <w:rPr>
          <w:rFonts w:ascii="Tahoma" w:hAnsi="Tahoma" w:cs="Tahoma"/>
        </w:rPr>
        <w:fldChar w:fldCharType="separate"/>
      </w:r>
      <w:hyperlink w:anchor="_Toc150862875" w:history="1">
        <w:r w:rsidR="00387F4F" w:rsidRPr="00383491">
          <w:rPr>
            <w:rStyle w:val="a7"/>
            <w:rFonts w:ascii="Tahoma" w:hAnsi="Tahoma"/>
            <w:noProof/>
          </w:rPr>
          <w:t>1.</w:t>
        </w:r>
        <w:r w:rsidR="00387F4F">
          <w:rPr>
            <w:rFonts w:asciiTheme="minorHAnsi" w:eastAsiaTheme="minorEastAsia" w:hAnsiTheme="minorHAnsi" w:cstheme="minorBidi"/>
            <w:b w:val="0"/>
            <w:bCs w:val="0"/>
            <w:caps w:val="0"/>
            <w:noProof/>
            <w:sz w:val="22"/>
            <w:szCs w:val="22"/>
            <w:lang w:val="ru-RU"/>
          </w:rPr>
          <w:tab/>
        </w:r>
        <w:r w:rsidR="00387F4F" w:rsidRPr="00383491">
          <w:rPr>
            <w:rStyle w:val="a7"/>
            <w:rFonts w:ascii="Tahoma" w:hAnsi="Tahoma"/>
            <w:noProof/>
          </w:rPr>
          <w:t>General Provisions</w:t>
        </w:r>
        <w:r w:rsidR="00387F4F">
          <w:rPr>
            <w:noProof/>
            <w:webHidden/>
          </w:rPr>
          <w:tab/>
        </w:r>
        <w:r w:rsidR="00387F4F">
          <w:rPr>
            <w:noProof/>
            <w:webHidden/>
          </w:rPr>
          <w:fldChar w:fldCharType="begin"/>
        </w:r>
        <w:r w:rsidR="00387F4F">
          <w:rPr>
            <w:noProof/>
            <w:webHidden/>
          </w:rPr>
          <w:instrText xml:space="preserve"> PAGEREF _Toc150862875 \h </w:instrText>
        </w:r>
        <w:r w:rsidR="00387F4F">
          <w:rPr>
            <w:noProof/>
            <w:webHidden/>
          </w:rPr>
        </w:r>
        <w:r w:rsidR="00387F4F">
          <w:rPr>
            <w:noProof/>
            <w:webHidden/>
          </w:rPr>
          <w:fldChar w:fldCharType="separate"/>
        </w:r>
        <w:r w:rsidR="00387F4F">
          <w:rPr>
            <w:noProof/>
            <w:webHidden/>
          </w:rPr>
          <w:t>4</w:t>
        </w:r>
        <w:r w:rsidR="00387F4F">
          <w:rPr>
            <w:noProof/>
            <w:webHidden/>
          </w:rPr>
          <w:fldChar w:fldCharType="end"/>
        </w:r>
      </w:hyperlink>
    </w:p>
    <w:p w14:paraId="53FED776" w14:textId="77777777" w:rsidR="00387F4F" w:rsidRDefault="00546B05">
      <w:pPr>
        <w:pStyle w:val="13"/>
        <w:rPr>
          <w:rFonts w:asciiTheme="minorHAnsi" w:eastAsiaTheme="minorEastAsia" w:hAnsiTheme="minorHAnsi" w:cstheme="minorBidi"/>
          <w:b w:val="0"/>
          <w:bCs w:val="0"/>
          <w:caps w:val="0"/>
          <w:noProof/>
          <w:sz w:val="22"/>
          <w:szCs w:val="22"/>
          <w:lang w:val="ru-RU"/>
        </w:rPr>
      </w:pPr>
      <w:hyperlink w:anchor="_Toc150862876" w:history="1">
        <w:r w:rsidR="00387F4F" w:rsidRPr="00383491">
          <w:rPr>
            <w:rStyle w:val="a7"/>
            <w:rFonts w:ascii="Tahoma" w:hAnsi="Tahoma"/>
            <w:noProof/>
          </w:rPr>
          <w:t>2.</w:t>
        </w:r>
        <w:r w:rsidR="00387F4F">
          <w:rPr>
            <w:rFonts w:asciiTheme="minorHAnsi" w:eastAsiaTheme="minorEastAsia" w:hAnsiTheme="minorHAnsi" w:cstheme="minorBidi"/>
            <w:b w:val="0"/>
            <w:bCs w:val="0"/>
            <w:caps w:val="0"/>
            <w:noProof/>
            <w:sz w:val="22"/>
            <w:szCs w:val="22"/>
            <w:lang w:val="ru-RU"/>
          </w:rPr>
          <w:tab/>
        </w:r>
        <w:r w:rsidR="00387F4F" w:rsidRPr="00383491">
          <w:rPr>
            <w:rStyle w:val="a7"/>
            <w:rFonts w:ascii="Tahoma" w:hAnsi="Tahoma"/>
            <w:noProof/>
          </w:rPr>
          <w:t>General Calculation Method</w:t>
        </w:r>
        <w:r w:rsidR="00387F4F">
          <w:rPr>
            <w:noProof/>
            <w:webHidden/>
          </w:rPr>
          <w:tab/>
        </w:r>
        <w:r w:rsidR="00387F4F">
          <w:rPr>
            <w:noProof/>
            <w:webHidden/>
          </w:rPr>
          <w:fldChar w:fldCharType="begin"/>
        </w:r>
        <w:r w:rsidR="00387F4F">
          <w:rPr>
            <w:noProof/>
            <w:webHidden/>
          </w:rPr>
          <w:instrText xml:space="preserve"> PAGEREF _Toc150862876 \h </w:instrText>
        </w:r>
        <w:r w:rsidR="00387F4F">
          <w:rPr>
            <w:noProof/>
            <w:webHidden/>
          </w:rPr>
        </w:r>
        <w:r w:rsidR="00387F4F">
          <w:rPr>
            <w:noProof/>
            <w:webHidden/>
          </w:rPr>
          <w:fldChar w:fldCharType="separate"/>
        </w:r>
        <w:r w:rsidR="00387F4F">
          <w:rPr>
            <w:noProof/>
            <w:webHidden/>
          </w:rPr>
          <w:t>5</w:t>
        </w:r>
        <w:r w:rsidR="00387F4F">
          <w:rPr>
            <w:noProof/>
            <w:webHidden/>
          </w:rPr>
          <w:fldChar w:fldCharType="end"/>
        </w:r>
      </w:hyperlink>
    </w:p>
    <w:p w14:paraId="729CAE7E" w14:textId="77777777" w:rsidR="00387F4F" w:rsidRDefault="00546B05">
      <w:pPr>
        <w:pStyle w:val="13"/>
        <w:rPr>
          <w:rFonts w:asciiTheme="minorHAnsi" w:eastAsiaTheme="minorEastAsia" w:hAnsiTheme="minorHAnsi" w:cstheme="minorBidi"/>
          <w:b w:val="0"/>
          <w:bCs w:val="0"/>
          <w:caps w:val="0"/>
          <w:noProof/>
          <w:sz w:val="22"/>
          <w:szCs w:val="22"/>
          <w:lang w:val="ru-RU"/>
        </w:rPr>
      </w:pPr>
      <w:hyperlink w:anchor="_Toc150862877" w:history="1">
        <w:r w:rsidR="00387F4F" w:rsidRPr="00383491">
          <w:rPr>
            <w:rStyle w:val="a7"/>
            <w:rFonts w:ascii="Tahoma" w:hAnsi="Tahoma"/>
            <w:noProof/>
          </w:rPr>
          <w:t>3.</w:t>
        </w:r>
        <w:r w:rsidR="00387F4F">
          <w:rPr>
            <w:rFonts w:asciiTheme="minorHAnsi" w:eastAsiaTheme="minorEastAsia" w:hAnsiTheme="minorHAnsi" w:cstheme="minorBidi"/>
            <w:b w:val="0"/>
            <w:bCs w:val="0"/>
            <w:caps w:val="0"/>
            <w:noProof/>
            <w:sz w:val="22"/>
            <w:szCs w:val="22"/>
            <w:lang w:val="ru-RU"/>
          </w:rPr>
          <w:tab/>
        </w:r>
        <w:r w:rsidR="00387F4F" w:rsidRPr="00383491">
          <w:rPr>
            <w:rStyle w:val="a7"/>
            <w:rFonts w:ascii="Tahoma" w:hAnsi="Tahoma"/>
            <w:noProof/>
          </w:rPr>
          <w:t>Index Construction Principles</w:t>
        </w:r>
        <w:r w:rsidR="00387F4F">
          <w:rPr>
            <w:noProof/>
            <w:webHidden/>
          </w:rPr>
          <w:tab/>
        </w:r>
        <w:r w:rsidR="00387F4F">
          <w:rPr>
            <w:noProof/>
            <w:webHidden/>
          </w:rPr>
          <w:fldChar w:fldCharType="begin"/>
        </w:r>
        <w:r w:rsidR="00387F4F">
          <w:rPr>
            <w:noProof/>
            <w:webHidden/>
          </w:rPr>
          <w:instrText xml:space="preserve"> PAGEREF _Toc150862877 \h </w:instrText>
        </w:r>
        <w:r w:rsidR="00387F4F">
          <w:rPr>
            <w:noProof/>
            <w:webHidden/>
          </w:rPr>
        </w:r>
        <w:r w:rsidR="00387F4F">
          <w:rPr>
            <w:noProof/>
            <w:webHidden/>
          </w:rPr>
          <w:fldChar w:fldCharType="separate"/>
        </w:r>
        <w:r w:rsidR="00387F4F">
          <w:rPr>
            <w:noProof/>
            <w:webHidden/>
          </w:rPr>
          <w:t>6</w:t>
        </w:r>
        <w:r w:rsidR="00387F4F">
          <w:rPr>
            <w:noProof/>
            <w:webHidden/>
          </w:rPr>
          <w:fldChar w:fldCharType="end"/>
        </w:r>
      </w:hyperlink>
    </w:p>
    <w:p w14:paraId="7FDF15CD" w14:textId="77777777" w:rsidR="00387F4F" w:rsidRDefault="00546B05">
      <w:pPr>
        <w:pStyle w:val="13"/>
        <w:rPr>
          <w:rFonts w:asciiTheme="minorHAnsi" w:eastAsiaTheme="minorEastAsia" w:hAnsiTheme="minorHAnsi" w:cstheme="minorBidi"/>
          <w:b w:val="0"/>
          <w:bCs w:val="0"/>
          <w:caps w:val="0"/>
          <w:noProof/>
          <w:sz w:val="22"/>
          <w:szCs w:val="22"/>
          <w:lang w:val="ru-RU"/>
        </w:rPr>
      </w:pPr>
      <w:hyperlink w:anchor="_Toc150862878" w:history="1">
        <w:r w:rsidR="00387F4F" w:rsidRPr="00383491">
          <w:rPr>
            <w:rStyle w:val="a7"/>
            <w:rFonts w:ascii="Tahoma" w:hAnsi="Tahoma"/>
            <w:noProof/>
          </w:rPr>
          <w:t>4.</w:t>
        </w:r>
        <w:r w:rsidR="00387F4F">
          <w:rPr>
            <w:rFonts w:asciiTheme="minorHAnsi" w:eastAsiaTheme="minorEastAsia" w:hAnsiTheme="minorHAnsi" w:cstheme="minorBidi"/>
            <w:b w:val="0"/>
            <w:bCs w:val="0"/>
            <w:caps w:val="0"/>
            <w:noProof/>
            <w:sz w:val="22"/>
            <w:szCs w:val="22"/>
            <w:lang w:val="ru-RU"/>
          </w:rPr>
          <w:tab/>
        </w:r>
        <w:r w:rsidR="00387F4F" w:rsidRPr="00383491">
          <w:rPr>
            <w:rStyle w:val="a7"/>
            <w:rFonts w:ascii="Tahoma" w:hAnsi="Tahoma"/>
            <w:noProof/>
          </w:rPr>
          <w:t>Index Review</w:t>
        </w:r>
        <w:r w:rsidR="00387F4F">
          <w:rPr>
            <w:noProof/>
            <w:webHidden/>
          </w:rPr>
          <w:tab/>
        </w:r>
        <w:r w:rsidR="00387F4F">
          <w:rPr>
            <w:noProof/>
            <w:webHidden/>
          </w:rPr>
          <w:fldChar w:fldCharType="begin"/>
        </w:r>
        <w:r w:rsidR="00387F4F">
          <w:rPr>
            <w:noProof/>
            <w:webHidden/>
          </w:rPr>
          <w:instrText xml:space="preserve"> PAGEREF _Toc150862878 \h </w:instrText>
        </w:r>
        <w:r w:rsidR="00387F4F">
          <w:rPr>
            <w:noProof/>
            <w:webHidden/>
          </w:rPr>
        </w:r>
        <w:r w:rsidR="00387F4F">
          <w:rPr>
            <w:noProof/>
            <w:webHidden/>
          </w:rPr>
          <w:fldChar w:fldCharType="separate"/>
        </w:r>
        <w:r w:rsidR="00387F4F">
          <w:rPr>
            <w:noProof/>
            <w:webHidden/>
          </w:rPr>
          <w:t>7</w:t>
        </w:r>
        <w:r w:rsidR="00387F4F">
          <w:rPr>
            <w:noProof/>
            <w:webHidden/>
          </w:rPr>
          <w:fldChar w:fldCharType="end"/>
        </w:r>
      </w:hyperlink>
    </w:p>
    <w:p w14:paraId="2C544765" w14:textId="77777777" w:rsidR="00387F4F" w:rsidRDefault="00546B05">
      <w:pPr>
        <w:pStyle w:val="13"/>
        <w:rPr>
          <w:rFonts w:asciiTheme="minorHAnsi" w:eastAsiaTheme="minorEastAsia" w:hAnsiTheme="minorHAnsi" w:cstheme="minorBidi"/>
          <w:b w:val="0"/>
          <w:bCs w:val="0"/>
          <w:caps w:val="0"/>
          <w:noProof/>
          <w:sz w:val="22"/>
          <w:szCs w:val="22"/>
          <w:lang w:val="ru-RU"/>
        </w:rPr>
      </w:pPr>
      <w:hyperlink w:anchor="_Toc150862879" w:history="1">
        <w:r w:rsidR="00387F4F" w:rsidRPr="00383491">
          <w:rPr>
            <w:rStyle w:val="a7"/>
            <w:rFonts w:ascii="Tahoma" w:hAnsi="Tahoma"/>
            <w:noProof/>
          </w:rPr>
          <w:t>5.</w:t>
        </w:r>
        <w:r w:rsidR="00387F4F">
          <w:rPr>
            <w:rFonts w:asciiTheme="minorHAnsi" w:eastAsiaTheme="minorEastAsia" w:hAnsiTheme="minorHAnsi" w:cstheme="minorBidi"/>
            <w:b w:val="0"/>
            <w:bCs w:val="0"/>
            <w:caps w:val="0"/>
            <w:noProof/>
            <w:sz w:val="22"/>
            <w:szCs w:val="22"/>
            <w:lang w:val="ru-RU"/>
          </w:rPr>
          <w:tab/>
        </w:r>
        <w:r w:rsidR="00387F4F" w:rsidRPr="00383491">
          <w:rPr>
            <w:rStyle w:val="a7"/>
            <w:rFonts w:ascii="Tahoma" w:hAnsi="Tahoma"/>
            <w:noProof/>
          </w:rPr>
          <w:t>Limitation on the Share of Bond Value in theIndices</w:t>
        </w:r>
        <w:r w:rsidR="00387F4F">
          <w:rPr>
            <w:noProof/>
            <w:webHidden/>
          </w:rPr>
          <w:tab/>
        </w:r>
        <w:r w:rsidR="00387F4F">
          <w:rPr>
            <w:noProof/>
            <w:webHidden/>
          </w:rPr>
          <w:fldChar w:fldCharType="begin"/>
        </w:r>
        <w:r w:rsidR="00387F4F">
          <w:rPr>
            <w:noProof/>
            <w:webHidden/>
          </w:rPr>
          <w:instrText xml:space="preserve"> PAGEREF _Toc150862879 \h </w:instrText>
        </w:r>
        <w:r w:rsidR="00387F4F">
          <w:rPr>
            <w:noProof/>
            <w:webHidden/>
          </w:rPr>
        </w:r>
        <w:r w:rsidR="00387F4F">
          <w:rPr>
            <w:noProof/>
            <w:webHidden/>
          </w:rPr>
          <w:fldChar w:fldCharType="separate"/>
        </w:r>
        <w:r w:rsidR="00387F4F">
          <w:rPr>
            <w:noProof/>
            <w:webHidden/>
          </w:rPr>
          <w:t>7</w:t>
        </w:r>
        <w:r w:rsidR="00387F4F">
          <w:rPr>
            <w:noProof/>
            <w:webHidden/>
          </w:rPr>
          <w:fldChar w:fldCharType="end"/>
        </w:r>
      </w:hyperlink>
    </w:p>
    <w:p w14:paraId="3843B327" w14:textId="77777777" w:rsidR="00387F4F" w:rsidRDefault="00546B05">
      <w:pPr>
        <w:pStyle w:val="13"/>
        <w:rPr>
          <w:rFonts w:asciiTheme="minorHAnsi" w:eastAsiaTheme="minorEastAsia" w:hAnsiTheme="minorHAnsi" w:cstheme="minorBidi"/>
          <w:b w:val="0"/>
          <w:bCs w:val="0"/>
          <w:caps w:val="0"/>
          <w:noProof/>
          <w:sz w:val="22"/>
          <w:szCs w:val="22"/>
          <w:lang w:val="ru-RU"/>
        </w:rPr>
      </w:pPr>
      <w:hyperlink w:anchor="_Toc150862880" w:history="1">
        <w:r w:rsidR="00387F4F" w:rsidRPr="00383491">
          <w:rPr>
            <w:rStyle w:val="a7"/>
            <w:rFonts w:ascii="Tahoma" w:hAnsi="Tahoma"/>
            <w:noProof/>
          </w:rPr>
          <w:t>6.</w:t>
        </w:r>
        <w:r w:rsidR="00387F4F">
          <w:rPr>
            <w:rFonts w:asciiTheme="minorHAnsi" w:eastAsiaTheme="minorEastAsia" w:hAnsiTheme="minorHAnsi" w:cstheme="minorBidi"/>
            <w:b w:val="0"/>
            <w:bCs w:val="0"/>
            <w:caps w:val="0"/>
            <w:noProof/>
            <w:sz w:val="22"/>
            <w:szCs w:val="22"/>
            <w:lang w:val="ru-RU"/>
          </w:rPr>
          <w:tab/>
        </w:r>
        <w:r w:rsidR="00387F4F" w:rsidRPr="00383491">
          <w:rPr>
            <w:rStyle w:val="a7"/>
            <w:rFonts w:ascii="Tahoma" w:hAnsi="Tahoma"/>
            <w:noProof/>
          </w:rPr>
          <w:t>Index Calculation Control</w:t>
        </w:r>
        <w:r w:rsidR="00387F4F">
          <w:rPr>
            <w:noProof/>
            <w:webHidden/>
          </w:rPr>
          <w:tab/>
        </w:r>
        <w:r w:rsidR="00387F4F">
          <w:rPr>
            <w:noProof/>
            <w:webHidden/>
          </w:rPr>
          <w:fldChar w:fldCharType="begin"/>
        </w:r>
        <w:r w:rsidR="00387F4F">
          <w:rPr>
            <w:noProof/>
            <w:webHidden/>
          </w:rPr>
          <w:instrText xml:space="preserve"> PAGEREF _Toc150862880 \h </w:instrText>
        </w:r>
        <w:r w:rsidR="00387F4F">
          <w:rPr>
            <w:noProof/>
            <w:webHidden/>
          </w:rPr>
        </w:r>
        <w:r w:rsidR="00387F4F">
          <w:rPr>
            <w:noProof/>
            <w:webHidden/>
          </w:rPr>
          <w:fldChar w:fldCharType="separate"/>
        </w:r>
        <w:r w:rsidR="00387F4F">
          <w:rPr>
            <w:noProof/>
            <w:webHidden/>
          </w:rPr>
          <w:t>8</w:t>
        </w:r>
        <w:r w:rsidR="00387F4F">
          <w:rPr>
            <w:noProof/>
            <w:webHidden/>
          </w:rPr>
          <w:fldChar w:fldCharType="end"/>
        </w:r>
      </w:hyperlink>
    </w:p>
    <w:p w14:paraId="183CA142" w14:textId="77777777" w:rsidR="00387F4F" w:rsidRDefault="00546B05">
      <w:pPr>
        <w:pStyle w:val="13"/>
        <w:rPr>
          <w:rFonts w:asciiTheme="minorHAnsi" w:eastAsiaTheme="minorEastAsia" w:hAnsiTheme="minorHAnsi" w:cstheme="minorBidi"/>
          <w:b w:val="0"/>
          <w:bCs w:val="0"/>
          <w:caps w:val="0"/>
          <w:noProof/>
          <w:sz w:val="22"/>
          <w:szCs w:val="22"/>
          <w:lang w:val="ru-RU"/>
        </w:rPr>
      </w:pPr>
      <w:hyperlink w:anchor="_Toc150862881" w:history="1">
        <w:r w:rsidR="00387F4F" w:rsidRPr="00383491">
          <w:rPr>
            <w:rStyle w:val="a7"/>
            <w:rFonts w:ascii="Tahoma" w:hAnsi="Tahoma"/>
            <w:noProof/>
          </w:rPr>
          <w:t>7.</w:t>
        </w:r>
        <w:r w:rsidR="00387F4F">
          <w:rPr>
            <w:rFonts w:asciiTheme="minorHAnsi" w:eastAsiaTheme="minorEastAsia" w:hAnsiTheme="minorHAnsi" w:cstheme="minorBidi"/>
            <w:b w:val="0"/>
            <w:bCs w:val="0"/>
            <w:caps w:val="0"/>
            <w:noProof/>
            <w:sz w:val="22"/>
            <w:szCs w:val="22"/>
            <w:lang w:val="ru-RU"/>
          </w:rPr>
          <w:tab/>
        </w:r>
        <w:r w:rsidR="00387F4F" w:rsidRPr="00383491">
          <w:rPr>
            <w:rStyle w:val="a7"/>
            <w:rFonts w:ascii="Tahoma" w:hAnsi="Tahoma"/>
            <w:noProof/>
          </w:rPr>
          <w:t>Information Disclosure</w:t>
        </w:r>
        <w:r w:rsidR="00387F4F">
          <w:rPr>
            <w:noProof/>
            <w:webHidden/>
          </w:rPr>
          <w:tab/>
        </w:r>
        <w:r w:rsidR="00387F4F">
          <w:rPr>
            <w:noProof/>
            <w:webHidden/>
          </w:rPr>
          <w:fldChar w:fldCharType="begin"/>
        </w:r>
        <w:r w:rsidR="00387F4F">
          <w:rPr>
            <w:noProof/>
            <w:webHidden/>
          </w:rPr>
          <w:instrText xml:space="preserve"> PAGEREF _Toc150862881 \h </w:instrText>
        </w:r>
        <w:r w:rsidR="00387F4F">
          <w:rPr>
            <w:noProof/>
            <w:webHidden/>
          </w:rPr>
        </w:r>
        <w:r w:rsidR="00387F4F">
          <w:rPr>
            <w:noProof/>
            <w:webHidden/>
          </w:rPr>
          <w:fldChar w:fldCharType="separate"/>
        </w:r>
        <w:r w:rsidR="00387F4F">
          <w:rPr>
            <w:noProof/>
            <w:webHidden/>
          </w:rPr>
          <w:t>8</w:t>
        </w:r>
        <w:r w:rsidR="00387F4F">
          <w:rPr>
            <w:noProof/>
            <w:webHidden/>
          </w:rPr>
          <w:fldChar w:fldCharType="end"/>
        </w:r>
      </w:hyperlink>
    </w:p>
    <w:p w14:paraId="3B44B90C" w14:textId="77777777" w:rsidR="009F6C5A" w:rsidRPr="00033C3D" w:rsidRDefault="009F6C5A" w:rsidP="00315188">
      <w:pPr>
        <w:rPr>
          <w:rFonts w:ascii="Tahoma" w:hAnsi="Tahoma" w:cs="Tahoma"/>
          <w:sz w:val="20"/>
        </w:rPr>
      </w:pPr>
      <w:r w:rsidRPr="00033C3D">
        <w:rPr>
          <w:rFonts w:ascii="Tahoma" w:hAnsi="Tahoma" w:cs="Tahoma"/>
          <w:sz w:val="20"/>
        </w:rPr>
        <w:fldChar w:fldCharType="end"/>
      </w:r>
    </w:p>
    <w:p w14:paraId="567BDF65" w14:textId="77777777" w:rsidR="00657BF4" w:rsidRPr="00D36EFF" w:rsidRDefault="00DC523B" w:rsidP="009F6C5A">
      <w:pPr>
        <w:numPr>
          <w:ilvl w:val="0"/>
          <w:numId w:val="1"/>
        </w:numPr>
        <w:outlineLvl w:val="0"/>
        <w:rPr>
          <w:rFonts w:ascii="Tahoma" w:hAnsi="Tahoma" w:cs="Tahoma"/>
          <w:b/>
          <w:sz w:val="20"/>
          <w:szCs w:val="20"/>
        </w:rPr>
      </w:pPr>
      <w:r>
        <w:br w:type="page"/>
      </w:r>
      <w:bookmarkStart w:id="0" w:name="_Toc150862875"/>
      <w:r>
        <w:rPr>
          <w:rFonts w:ascii="Tahoma" w:hAnsi="Tahoma"/>
          <w:b/>
          <w:sz w:val="20"/>
        </w:rPr>
        <w:lastRenderedPageBreak/>
        <w:t>General Provisions</w:t>
      </w:r>
      <w:bookmarkEnd w:id="0"/>
    </w:p>
    <w:p w14:paraId="6935FDF4" w14:textId="77777777" w:rsidR="00657BF4" w:rsidRPr="00D36EFF" w:rsidRDefault="00657BF4" w:rsidP="00CE65C2">
      <w:pPr>
        <w:pStyle w:val="30"/>
        <w:spacing w:before="0"/>
        <w:ind w:left="360"/>
        <w:rPr>
          <w:rFonts w:ascii="Tahoma" w:hAnsi="Tahoma" w:cs="Tahoma"/>
        </w:rPr>
      </w:pPr>
    </w:p>
    <w:p w14:paraId="575C78CB" w14:textId="77777777" w:rsidR="00237905" w:rsidRPr="00D36EFF" w:rsidRDefault="00400792" w:rsidP="00FC0165">
      <w:pPr>
        <w:numPr>
          <w:ilvl w:val="1"/>
          <w:numId w:val="1"/>
        </w:numPr>
        <w:tabs>
          <w:tab w:val="num" w:pos="1000"/>
        </w:tabs>
        <w:jc w:val="both"/>
        <w:rPr>
          <w:rStyle w:val="af3"/>
          <w:rFonts w:ascii="Tahoma" w:hAnsi="Tahoma" w:cs="Tahoma"/>
        </w:rPr>
      </w:pPr>
      <w:bookmarkStart w:id="1" w:name="_Ref424309154"/>
      <w:r>
        <w:rPr>
          <w:rStyle w:val="af3"/>
          <w:rFonts w:ascii="Tahoma" w:hAnsi="Tahoma"/>
        </w:rPr>
        <w:t>Terms and Definitions</w:t>
      </w:r>
    </w:p>
    <w:p w14:paraId="1192E6F4" w14:textId="77777777" w:rsidR="00E23F9E" w:rsidRPr="00D36EFF" w:rsidRDefault="003609E0" w:rsidP="003609E0">
      <w:pPr>
        <w:tabs>
          <w:tab w:val="num" w:pos="1000"/>
        </w:tabs>
        <w:ind w:left="708"/>
        <w:jc w:val="both"/>
        <w:rPr>
          <w:rStyle w:val="af3"/>
          <w:rFonts w:ascii="Tahoma" w:hAnsi="Tahoma" w:cs="Tahoma"/>
        </w:rPr>
      </w:pPr>
      <w:r>
        <w:rPr>
          <w:rStyle w:val="af3"/>
          <w:rFonts w:ascii="Tahoma" w:hAnsi="Tahoma"/>
        </w:rPr>
        <w:t>1.1.1.</w:t>
      </w:r>
      <w:r>
        <w:rPr>
          <w:rStyle w:val="af3"/>
          <w:rFonts w:ascii="Tahoma" w:hAnsi="Tahoma"/>
        </w:rPr>
        <w:tab/>
        <w:t>For the purposes of this Calculation Methodology for MOEX Extra Yield Bond index of Moscow Exchange (hereinafter, the “Methodology”), the following terms and definitions apply:</w:t>
      </w:r>
      <w:bookmarkEnd w:id="1"/>
    </w:p>
    <w:p w14:paraId="4BB2E4FF" w14:textId="77777777" w:rsidR="00EC6ACF" w:rsidRPr="00D36EFF" w:rsidRDefault="00EC6ACF" w:rsidP="00EC6ACF">
      <w:pPr>
        <w:ind w:left="1416"/>
        <w:jc w:val="both"/>
        <w:rPr>
          <w:rStyle w:val="af3"/>
          <w:rFonts w:ascii="Tahoma" w:hAnsi="Tahoma" w:cs="Tahoma"/>
        </w:rPr>
      </w:pPr>
      <w:r>
        <w:rPr>
          <w:rFonts w:ascii="Tahoma" w:hAnsi="Tahoma"/>
          <w:sz w:val="20"/>
        </w:rPr>
        <w:t xml:space="preserve">- </w:t>
      </w:r>
      <w:r>
        <w:rPr>
          <w:rStyle w:val="af3"/>
          <w:rFonts w:ascii="Tahoma" w:hAnsi="Tahoma"/>
          <w:i/>
        </w:rPr>
        <w:t>List of Constituents</w:t>
      </w:r>
      <w:r>
        <w:rPr>
          <w:rStyle w:val="af3"/>
          <w:rFonts w:ascii="Tahoma" w:hAnsi="Tahoma"/>
        </w:rPr>
        <w:t xml:space="preserve"> means a list of Bonds used to calculate the Index as approved by the Exchange in the manner outlined in this Methodology.</w:t>
      </w:r>
    </w:p>
    <w:p w14:paraId="2907F9FB" w14:textId="77777777" w:rsidR="00DE3E1B" w:rsidRPr="00D36EFF" w:rsidRDefault="00DE3E1B" w:rsidP="00743168">
      <w:pPr>
        <w:ind w:left="1416"/>
        <w:jc w:val="both"/>
        <w:rPr>
          <w:rFonts w:ascii="Tahoma" w:hAnsi="Tahoma" w:cs="Tahoma"/>
          <w:sz w:val="20"/>
          <w:szCs w:val="20"/>
        </w:rPr>
      </w:pPr>
      <w:r>
        <w:rPr>
          <w:rFonts w:ascii="Tahoma" w:hAnsi="Tahoma"/>
          <w:sz w:val="20"/>
        </w:rPr>
        <w:t xml:space="preserve">- </w:t>
      </w:r>
      <w:r>
        <w:rPr>
          <w:rFonts w:ascii="Tahoma" w:hAnsi="Tahoma"/>
          <w:i/>
          <w:sz w:val="20"/>
        </w:rPr>
        <w:t>Exchange, Moscow Exchange</w:t>
      </w:r>
      <w:r>
        <w:rPr>
          <w:rFonts w:ascii="Tahoma" w:hAnsi="Tahoma"/>
          <w:sz w:val="20"/>
        </w:rPr>
        <w:t xml:space="preserve"> means Public Joint-Stock Company Moscow Exchange MICEX-RTS.</w:t>
      </w:r>
    </w:p>
    <w:p w14:paraId="320DE8E0" w14:textId="77777777" w:rsidR="00EC6ACF" w:rsidRPr="00D36EFF"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Index Review Date</w:t>
      </w:r>
      <w:r>
        <w:rPr>
          <w:rFonts w:ascii="Tahoma" w:hAnsi="Tahoma"/>
          <w:sz w:val="20"/>
        </w:rPr>
        <w:t xml:space="preserve"> means 1 February, 1 May, 1 August and 1 November.</w:t>
      </w:r>
    </w:p>
    <w:p w14:paraId="5AABB948" w14:textId="77777777" w:rsidR="00EC6ACF" w:rsidRPr="00D36EFF"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Maturity Date</w:t>
      </w:r>
      <w:r>
        <w:rPr>
          <w:rFonts w:ascii="Tahoma" w:hAnsi="Tahoma"/>
          <w:sz w:val="20"/>
        </w:rPr>
        <w:t xml:space="preserve"> means the date of maturity of the Bond issue or the nearest early redemption date of the Bond issue, if early redemption is stipulated by the issue documents.</w:t>
      </w:r>
    </w:p>
    <w:p w14:paraId="08EFEC2E" w14:textId="77777777" w:rsidR="00EC6ACF" w:rsidRPr="00D36EFF"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Additional Indicators</w:t>
      </w:r>
      <w:r>
        <w:rPr>
          <w:rFonts w:ascii="Tahoma" w:hAnsi="Tahoma"/>
          <w:sz w:val="20"/>
        </w:rPr>
        <w:t xml:space="preserve"> are Weighted Average Return and Weighted Average Duration of the Index.</w:t>
      </w:r>
    </w:p>
    <w:p w14:paraId="77445F33" w14:textId="77777777" w:rsidR="00EC6ACF" w:rsidRPr="00D36EFF"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Investment Policy of the Management Company</w:t>
      </w:r>
      <w:r>
        <w:rPr>
          <w:rFonts w:ascii="Tahoma" w:hAnsi="Tahoma"/>
          <w:sz w:val="20"/>
        </w:rPr>
        <w:t xml:space="preserve"> means the policy for investments in securities and other financial instruments stipulated by the internal documents of the Management Company.</w:t>
      </w:r>
    </w:p>
    <w:p w14:paraId="1505141A" w14:textId="77777777" w:rsidR="00EC6ACF" w:rsidRPr="00D36EFF"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Total Return Index</w:t>
      </w:r>
      <w:r>
        <w:rPr>
          <w:rFonts w:ascii="Tahoma" w:hAnsi="Tahoma"/>
          <w:sz w:val="20"/>
        </w:rPr>
        <w:t xml:space="preserve"> means the Index calculated on the basis of the value of the Bonds, determined as the sum of the price and the Accumulated Coupon Income of the Bond, subject to coupon payments reinvestment.</w:t>
      </w:r>
    </w:p>
    <w:p w14:paraId="7EE0E48F" w14:textId="77777777" w:rsidR="00DE3E1B" w:rsidRPr="00D36EFF" w:rsidRDefault="00DE3E1B" w:rsidP="00743168">
      <w:pPr>
        <w:ind w:left="1416"/>
        <w:jc w:val="both"/>
        <w:rPr>
          <w:rFonts w:ascii="Tahoma" w:hAnsi="Tahoma" w:cs="Tahoma"/>
          <w:sz w:val="20"/>
          <w:szCs w:val="20"/>
        </w:rPr>
      </w:pPr>
      <w:r>
        <w:rPr>
          <w:rFonts w:ascii="Tahoma" w:hAnsi="Tahoma"/>
          <w:sz w:val="20"/>
        </w:rPr>
        <w:t xml:space="preserve">- </w:t>
      </w:r>
      <w:r>
        <w:rPr>
          <w:rFonts w:ascii="Tahoma" w:hAnsi="Tahoma"/>
          <w:i/>
          <w:sz w:val="20"/>
        </w:rPr>
        <w:t>Bonds</w:t>
      </w:r>
      <w:r>
        <w:rPr>
          <w:rFonts w:ascii="Tahoma" w:hAnsi="Tahoma"/>
          <w:sz w:val="20"/>
        </w:rPr>
        <w:t xml:space="preserve"> are corporate and exchange bonds issued by Russian corporate issuers and admitted to trading on the Exchange (except Eurobonds), including Increased Investment Risk Sector Bonds.</w:t>
      </w:r>
    </w:p>
    <w:p w14:paraId="14AD4E38" w14:textId="77777777" w:rsidR="000D1FF9" w:rsidRPr="00D36EFF" w:rsidRDefault="000D1FF9" w:rsidP="00743168">
      <w:pPr>
        <w:ind w:left="1416"/>
        <w:jc w:val="both"/>
        <w:rPr>
          <w:rFonts w:ascii="Tahoma" w:hAnsi="Tahoma" w:cs="Tahoma"/>
          <w:sz w:val="20"/>
          <w:szCs w:val="20"/>
        </w:rPr>
      </w:pPr>
      <w:r>
        <w:rPr>
          <w:rFonts w:ascii="Tahoma" w:hAnsi="Tahoma"/>
          <w:sz w:val="20"/>
        </w:rPr>
        <w:t xml:space="preserve">- </w:t>
      </w:r>
      <w:r>
        <w:rPr>
          <w:rFonts w:ascii="Tahoma" w:hAnsi="Tahoma"/>
          <w:i/>
          <w:sz w:val="20"/>
        </w:rPr>
        <w:t>Rating Agencies</w:t>
      </w:r>
      <w:r>
        <w:rPr>
          <w:rFonts w:ascii="Tahoma" w:hAnsi="Tahoma"/>
          <w:sz w:val="20"/>
        </w:rPr>
        <w:t xml:space="preserve"> are Analytical Credit Rating Agency (ACRA), Rating Agency Expert RA (Expert RA),</w:t>
      </w:r>
      <w:r>
        <w:t xml:space="preserve"> </w:t>
      </w:r>
      <w:r>
        <w:rPr>
          <w:rFonts w:ascii="Tahoma" w:hAnsi="Tahoma"/>
          <w:sz w:val="20"/>
        </w:rPr>
        <w:t>«National Credit Ratings (NCR), and National Rating Agency (NRA).</w:t>
      </w:r>
    </w:p>
    <w:p w14:paraId="579E6F04" w14:textId="77777777" w:rsidR="00EC6ACF" w:rsidRPr="00D36EFF"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Key Rate</w:t>
      </w:r>
      <w:r>
        <w:rPr>
          <w:rFonts w:ascii="Tahoma" w:hAnsi="Tahoma"/>
          <w:sz w:val="20"/>
        </w:rPr>
        <w:t xml:space="preserve"> means the CBR key rate value as of the Index Review Date.</w:t>
      </w:r>
    </w:p>
    <w:p w14:paraId="7415E0E4" w14:textId="77777777" w:rsidR="00347039" w:rsidRPr="00D36EFF" w:rsidRDefault="00347039" w:rsidP="00743168">
      <w:pPr>
        <w:ind w:left="1416"/>
        <w:jc w:val="both"/>
        <w:rPr>
          <w:rFonts w:ascii="Tahoma" w:hAnsi="Tahoma" w:cs="Tahoma"/>
          <w:sz w:val="20"/>
          <w:szCs w:val="20"/>
        </w:rPr>
      </w:pPr>
      <w:r>
        <w:rPr>
          <w:rFonts w:ascii="Tahoma" w:hAnsi="Tahoma"/>
          <w:sz w:val="20"/>
        </w:rPr>
        <w:t xml:space="preserve">- </w:t>
      </w:r>
      <w:r>
        <w:rPr>
          <w:rFonts w:ascii="Tahoma" w:hAnsi="Tahoma"/>
          <w:i/>
          <w:sz w:val="20"/>
        </w:rPr>
        <w:t>Credit Rating</w:t>
      </w:r>
      <w:r>
        <w:rPr>
          <w:rFonts w:ascii="Tahoma" w:hAnsi="Tahoma"/>
          <w:sz w:val="20"/>
        </w:rPr>
        <w:t xml:space="preserve"> means a credit rating under the national scale assigned to the issuer of Bonds assigned by a Russian rating agency.</w:t>
      </w:r>
    </w:p>
    <w:p w14:paraId="06616F03" w14:textId="77777777" w:rsidR="00E23F9E" w:rsidRPr="00D36EFF" w:rsidRDefault="00E23F9E" w:rsidP="00743168">
      <w:pPr>
        <w:ind w:left="1416"/>
        <w:jc w:val="both"/>
        <w:rPr>
          <w:rFonts w:ascii="Tahoma" w:hAnsi="Tahoma" w:cs="Tahoma"/>
          <w:sz w:val="20"/>
          <w:szCs w:val="20"/>
        </w:rPr>
      </w:pPr>
      <w:r>
        <w:rPr>
          <w:rFonts w:ascii="Tahoma" w:hAnsi="Tahoma"/>
          <w:sz w:val="20"/>
        </w:rPr>
        <w:t xml:space="preserve">- </w:t>
      </w:r>
      <w:r>
        <w:rPr>
          <w:rFonts w:ascii="Tahoma" w:hAnsi="Tahoma"/>
          <w:i/>
          <w:sz w:val="20"/>
        </w:rPr>
        <w:t>Accumulated Coupon Income, ACI</w:t>
      </w:r>
      <w:r>
        <w:rPr>
          <w:rFonts w:ascii="Tahoma" w:hAnsi="Tahoma"/>
          <w:sz w:val="20"/>
        </w:rPr>
        <w:t xml:space="preserve"> means the earnings accumulated on the Bond in RUB.</w:t>
      </w:r>
    </w:p>
    <w:p w14:paraId="62EC7405" w14:textId="77777777" w:rsidR="00976BB8" w:rsidRPr="00D36EFF" w:rsidRDefault="00976BB8" w:rsidP="00976BB8">
      <w:pPr>
        <w:ind w:left="1416"/>
        <w:jc w:val="both"/>
        <w:rPr>
          <w:rFonts w:ascii="Tahoma" w:hAnsi="Tahoma" w:cs="Tahoma"/>
          <w:iCs/>
          <w:sz w:val="20"/>
          <w:szCs w:val="20"/>
        </w:rPr>
      </w:pPr>
      <w:r>
        <w:rPr>
          <w:rFonts w:ascii="Tahoma" w:hAnsi="Tahoma"/>
          <w:sz w:val="20"/>
        </w:rPr>
        <w:t xml:space="preserve">- </w:t>
      </w:r>
      <w:r>
        <w:rPr>
          <w:rFonts w:ascii="Tahoma" w:hAnsi="Tahoma"/>
          <w:i/>
          <w:sz w:val="20"/>
        </w:rPr>
        <w:t xml:space="preserve">Increase Investment Risk Sector Bonds </w:t>
      </w:r>
      <w:r>
        <w:rPr>
          <w:rFonts w:ascii="Tahoma" w:hAnsi="Tahoma"/>
          <w:sz w:val="20"/>
        </w:rPr>
        <w:t>are the bonds of the Increased Investment Risk Sector.</w:t>
      </w:r>
    </w:p>
    <w:p w14:paraId="242BCAEB" w14:textId="77777777" w:rsidR="00EC6ACF" w:rsidRPr="00D36EFF"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Call Option</w:t>
      </w:r>
      <w:r>
        <w:rPr>
          <w:rFonts w:ascii="Tahoma" w:hAnsi="Tahoma"/>
          <w:sz w:val="20"/>
        </w:rPr>
        <w:t xml:space="preserve"> means the possibility of early redemption of the Bonds issue at the initiative of the Issuer.</w:t>
      </w:r>
    </w:p>
    <w:p w14:paraId="3F1470D0" w14:textId="77777777" w:rsidR="00EC6ACF" w:rsidRPr="00D36EFF"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Put Option, offer</w:t>
      </w:r>
      <w:r>
        <w:rPr>
          <w:rFonts w:ascii="Tahoma" w:hAnsi="Tahoma"/>
          <w:sz w:val="20"/>
        </w:rPr>
        <w:t xml:space="preserve"> means the possibility of early redemption of the Bonds issue at the initiative of the Bond holders.</w:t>
      </w:r>
    </w:p>
    <w:p w14:paraId="0E38B46E" w14:textId="5150D0A0" w:rsidR="00EC6ACF" w:rsidRPr="00D36EFF"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 xml:space="preserve">Weighted Average </w:t>
      </w:r>
      <w:r w:rsidR="0077254E">
        <w:rPr>
          <w:rFonts w:ascii="Tahoma" w:hAnsi="Tahoma"/>
          <w:i/>
          <w:sz w:val="20"/>
          <w:lang w:val="en-US"/>
        </w:rPr>
        <w:t>Return</w:t>
      </w:r>
      <w:r>
        <w:rPr>
          <w:rFonts w:ascii="Tahoma" w:hAnsi="Tahoma"/>
          <w:i/>
          <w:sz w:val="20"/>
        </w:rPr>
        <w:t xml:space="preserve"> of Index</w:t>
      </w:r>
      <w:r>
        <w:rPr>
          <w:rFonts w:ascii="Tahoma" w:hAnsi="Tahoma"/>
          <w:sz w:val="20"/>
        </w:rPr>
        <w:t xml:space="preserve"> means the weighted average return of Bond issues included in the Index Constituents.</w:t>
      </w:r>
    </w:p>
    <w:p w14:paraId="306EA3C6" w14:textId="77777777" w:rsidR="00EC6ACF" w:rsidRPr="00D36EFF"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Weighted Average Duration of Index</w:t>
      </w:r>
      <w:r>
        <w:rPr>
          <w:rFonts w:ascii="Tahoma" w:hAnsi="Tahoma"/>
          <w:sz w:val="20"/>
        </w:rPr>
        <w:t xml:space="preserve"> means the weighted average duration of Bond issues included in the Index Constituents.</w:t>
      </w:r>
    </w:p>
    <w:p w14:paraId="1F8DA52B" w14:textId="77777777" w:rsidR="00EC6ACF" w:rsidRPr="00D36EFF"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Increased Investment Risk Sector</w:t>
      </w:r>
      <w:r>
        <w:rPr>
          <w:rFonts w:ascii="Tahoma" w:hAnsi="Tahoma"/>
          <w:sz w:val="20"/>
        </w:rPr>
        <w:t xml:space="preserve"> means total securities included in the Third Level of Moscow Exchange, which the Exchange has decided to admit to this Sector, including with the limitation of the list of acceptable trading modes for the purposes of mitigating risks of investors' financial losses from acquisition on the Exchange's trades of securities with uncertain investment risk, as well as securities previously included in the Uncertain Investment Risk Securities Sector;</w:t>
      </w:r>
    </w:p>
    <w:p w14:paraId="18062BFB" w14:textId="77777777" w:rsidR="00EC6ACF" w:rsidRPr="00D36EFF"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Average Bond Yield</w:t>
      </w:r>
      <w:r>
        <w:rPr>
          <w:rFonts w:ascii="Tahoma" w:hAnsi="Tahoma"/>
          <w:sz w:val="20"/>
        </w:rPr>
        <w:t xml:space="preserve"> means the yield of Bond issue calculated as the average yields at weighted average price calculated for 10 working days preceding the date of Index Constituents review;</w:t>
      </w:r>
    </w:p>
    <w:p w14:paraId="3FD1E8FE" w14:textId="77777777" w:rsidR="00EC6ACF" w:rsidRPr="00D36EFF"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Term to Maturity</w:t>
      </w:r>
      <w:r>
        <w:rPr>
          <w:rFonts w:ascii="Tahoma" w:hAnsi="Tahoma"/>
          <w:sz w:val="20"/>
        </w:rPr>
        <w:t xml:space="preserve"> means the period to the maturity date of the Bond Issue or the date of the nearby offer or call option date;</w:t>
      </w:r>
    </w:p>
    <w:p w14:paraId="72E42393" w14:textId="77777777" w:rsidR="00EC6ACF" w:rsidRPr="00D36EFF" w:rsidRDefault="00EC6ACF" w:rsidP="00EC6ACF">
      <w:pPr>
        <w:ind w:left="1416"/>
        <w:jc w:val="both"/>
        <w:rPr>
          <w:rFonts w:ascii="Tahoma" w:hAnsi="Tahoma" w:cs="Tahoma"/>
          <w:sz w:val="20"/>
          <w:szCs w:val="20"/>
        </w:rPr>
      </w:pPr>
      <w:r>
        <w:rPr>
          <w:rFonts w:ascii="Tahoma" w:hAnsi="Tahoma"/>
          <w:sz w:val="20"/>
        </w:rPr>
        <w:t>-</w:t>
      </w:r>
      <w:r>
        <w:rPr>
          <w:rFonts w:ascii="Tahoma" w:hAnsi="Tahoma"/>
          <w:i/>
          <w:sz w:val="20"/>
        </w:rPr>
        <w:t>Weight</w:t>
      </w:r>
      <w:r>
        <w:rPr>
          <w:rFonts w:ascii="Tahoma" w:hAnsi="Tahoma"/>
          <w:sz w:val="20"/>
        </w:rPr>
        <w:t xml:space="preserve"> share of the Bond issue value in the total value of all Bonds in the Constituents, expressed as a percentage;</w:t>
      </w:r>
    </w:p>
    <w:p w14:paraId="3535AD4C" w14:textId="77777777" w:rsidR="00EC6ACF" w:rsidRPr="00D36EFF" w:rsidRDefault="00EC6ACF" w:rsidP="00EC6ACF">
      <w:pPr>
        <w:ind w:left="1416"/>
        <w:jc w:val="both"/>
        <w:rPr>
          <w:rFonts w:ascii="Tahoma" w:hAnsi="Tahoma" w:cs="Tahoma"/>
          <w:sz w:val="20"/>
          <w:szCs w:val="20"/>
        </w:rPr>
      </w:pPr>
      <w:r>
        <w:rPr>
          <w:rFonts w:ascii="Tahoma" w:hAnsi="Tahoma"/>
          <w:sz w:val="20"/>
        </w:rPr>
        <w:t xml:space="preserve">- </w:t>
      </w:r>
      <w:r>
        <w:rPr>
          <w:rFonts w:ascii="Tahoma" w:hAnsi="Tahoma"/>
          <w:i/>
          <w:sz w:val="20"/>
        </w:rPr>
        <w:t>Management Company</w:t>
      </w:r>
      <w:r>
        <w:rPr>
          <w:rFonts w:ascii="Tahoma" w:hAnsi="Tahoma"/>
          <w:sz w:val="20"/>
        </w:rPr>
        <w:t xml:space="preserve"> means Joint-stock company management company BrokerCreditService;</w:t>
      </w:r>
    </w:p>
    <w:p w14:paraId="67460FDA" w14:textId="77777777" w:rsidR="00E23F9E" w:rsidRPr="00D36EFF" w:rsidRDefault="00751004" w:rsidP="00743168">
      <w:pPr>
        <w:ind w:left="1416"/>
        <w:jc w:val="both"/>
        <w:rPr>
          <w:rFonts w:ascii="Tahoma" w:hAnsi="Tahoma" w:cs="Tahoma"/>
          <w:sz w:val="20"/>
          <w:szCs w:val="20"/>
        </w:rPr>
      </w:pPr>
      <w:r>
        <w:rPr>
          <w:rFonts w:ascii="Tahoma" w:hAnsi="Tahoma"/>
          <w:sz w:val="20"/>
        </w:rPr>
        <w:t>-</w:t>
      </w:r>
      <w:r>
        <w:rPr>
          <w:rFonts w:ascii="Tahoma" w:hAnsi="Tahoma"/>
          <w:i/>
          <w:sz w:val="20"/>
        </w:rPr>
        <w:t>Price Index</w:t>
      </w:r>
      <w:r>
        <w:rPr>
          <w:rFonts w:ascii="Tahoma" w:hAnsi="Tahoma"/>
          <w:sz w:val="20"/>
        </w:rPr>
        <w:t xml:space="preserve"> means the Index computed based on Bond prices without Accumulated Coupon Income and coupon payments reinvestment factored in.</w:t>
      </w:r>
    </w:p>
    <w:p w14:paraId="05DB16D5" w14:textId="77777777" w:rsidR="00C71016" w:rsidRPr="00D36EFF" w:rsidRDefault="003609E0" w:rsidP="00782781">
      <w:pPr>
        <w:ind w:left="972"/>
        <w:jc w:val="both"/>
        <w:rPr>
          <w:rFonts w:ascii="Tahoma" w:hAnsi="Tahoma" w:cs="Tahoma"/>
          <w:sz w:val="20"/>
          <w:szCs w:val="20"/>
        </w:rPr>
      </w:pPr>
      <w:r>
        <w:rPr>
          <w:rFonts w:ascii="Tahoma" w:hAnsi="Tahoma"/>
          <w:sz w:val="20"/>
        </w:rPr>
        <w:t>1.1.2. Terms and definitions used in this Methodology shall have the meanings ascribed to them in the internal documents of Moscow Exchange, Russian law, regulatory acts of the Bank of Russia and other regulations of the Russian Federation.</w:t>
      </w:r>
    </w:p>
    <w:p w14:paraId="4107ADCA" w14:textId="7355DF46" w:rsidR="00657BF4" w:rsidRPr="00D36EFF" w:rsidRDefault="00CD1384" w:rsidP="00255A2F">
      <w:pPr>
        <w:numPr>
          <w:ilvl w:val="1"/>
          <w:numId w:val="1"/>
        </w:numPr>
        <w:jc w:val="both"/>
        <w:rPr>
          <w:rFonts w:ascii="Tahoma" w:hAnsi="Tahoma" w:cs="Tahoma"/>
          <w:sz w:val="20"/>
          <w:szCs w:val="20"/>
        </w:rPr>
      </w:pPr>
      <w:r>
        <w:rPr>
          <w:rFonts w:ascii="Tahoma" w:hAnsi="Tahoma"/>
          <w:sz w:val="20"/>
        </w:rPr>
        <w:lastRenderedPageBreak/>
        <w:t xml:space="preserve">This Calculation Methodology for MOEX Extra Yield Bond index (hereinafter, the “Methodology”) establishes procedures for Moscow Exchange to calculate MOEX Extra Yield Bond index and select the Bonds based on trades used in calculating the Index and </w:t>
      </w:r>
      <w:r w:rsidR="00387F4F">
        <w:rPr>
          <w:rFonts w:ascii="Tahoma" w:hAnsi="Tahoma"/>
          <w:sz w:val="20"/>
        </w:rPr>
        <w:t>Additional Indicators</w:t>
      </w:r>
      <w:r>
        <w:rPr>
          <w:rFonts w:ascii="Tahoma" w:hAnsi="Tahoma"/>
          <w:sz w:val="20"/>
        </w:rPr>
        <w:t>.</w:t>
      </w:r>
    </w:p>
    <w:p w14:paraId="5EA2F200" w14:textId="77777777" w:rsidR="00584CB8" w:rsidRPr="00E36319" w:rsidRDefault="00584CB8" w:rsidP="00584CB8">
      <w:pPr>
        <w:numPr>
          <w:ilvl w:val="1"/>
          <w:numId w:val="1"/>
        </w:numPr>
        <w:jc w:val="both"/>
        <w:rPr>
          <w:rFonts w:ascii="Tahoma" w:hAnsi="Tahoma" w:cs="Tahoma"/>
          <w:sz w:val="20"/>
          <w:szCs w:val="20"/>
        </w:rPr>
      </w:pPr>
      <w:r>
        <w:rPr>
          <w:rFonts w:ascii="Tahoma" w:hAnsi="Tahoma"/>
          <w:sz w:val="20"/>
        </w:rPr>
        <w:t>The Index calculated under this Methodology has the names and codes below:</w:t>
      </w:r>
    </w:p>
    <w:p w14:paraId="2C2ADF1D" w14:textId="77777777" w:rsidR="00584CB8" w:rsidRPr="00387F4F" w:rsidRDefault="00584CB8" w:rsidP="00584CB8">
      <w:pPr>
        <w:pStyle w:val="af2"/>
        <w:numPr>
          <w:ilvl w:val="0"/>
          <w:numId w:val="46"/>
        </w:numPr>
        <w:jc w:val="both"/>
        <w:rPr>
          <w:rFonts w:ascii="Tahoma" w:hAnsi="Tahoma" w:cs="Tahoma"/>
          <w:sz w:val="20"/>
          <w:szCs w:val="20"/>
          <w:lang w:val="ru-RU"/>
        </w:rPr>
      </w:pPr>
      <w:r>
        <w:rPr>
          <w:rFonts w:ascii="Tahoma" w:hAnsi="Tahoma"/>
          <w:sz w:val="20"/>
        </w:rPr>
        <w:t>The</w:t>
      </w:r>
      <w:r w:rsidRPr="00387F4F">
        <w:rPr>
          <w:rFonts w:ascii="Tahoma" w:hAnsi="Tahoma"/>
          <w:sz w:val="20"/>
          <w:lang w:val="ru-RU"/>
        </w:rPr>
        <w:t xml:space="preserve"> </w:t>
      </w:r>
      <w:r>
        <w:rPr>
          <w:rFonts w:ascii="Tahoma" w:hAnsi="Tahoma"/>
          <w:sz w:val="20"/>
        </w:rPr>
        <w:t>Index</w:t>
      </w:r>
      <w:r w:rsidRPr="00387F4F">
        <w:rPr>
          <w:rFonts w:ascii="Tahoma" w:hAnsi="Tahoma"/>
          <w:sz w:val="20"/>
          <w:lang w:val="ru-RU"/>
        </w:rPr>
        <w:t>’</w:t>
      </w:r>
      <w:r>
        <w:rPr>
          <w:rFonts w:ascii="Tahoma" w:hAnsi="Tahoma"/>
          <w:sz w:val="20"/>
        </w:rPr>
        <w:t>s</w:t>
      </w:r>
      <w:r w:rsidRPr="00387F4F">
        <w:rPr>
          <w:rFonts w:ascii="Tahoma" w:hAnsi="Tahoma"/>
          <w:sz w:val="20"/>
          <w:lang w:val="ru-RU"/>
        </w:rPr>
        <w:t xml:space="preserve"> </w:t>
      </w:r>
      <w:r>
        <w:rPr>
          <w:rFonts w:ascii="Tahoma" w:hAnsi="Tahoma"/>
          <w:sz w:val="20"/>
        </w:rPr>
        <w:t>name</w:t>
      </w:r>
      <w:r w:rsidRPr="00387F4F">
        <w:rPr>
          <w:rFonts w:ascii="Tahoma" w:hAnsi="Tahoma"/>
          <w:sz w:val="20"/>
          <w:lang w:val="ru-RU"/>
        </w:rPr>
        <w:t xml:space="preserve"> </w:t>
      </w:r>
      <w:r>
        <w:rPr>
          <w:rFonts w:ascii="Tahoma" w:hAnsi="Tahoma"/>
          <w:sz w:val="20"/>
        </w:rPr>
        <w:t>in</w:t>
      </w:r>
      <w:r w:rsidRPr="00387F4F">
        <w:rPr>
          <w:rFonts w:ascii="Tahoma" w:hAnsi="Tahoma"/>
          <w:sz w:val="20"/>
          <w:lang w:val="ru-RU"/>
        </w:rPr>
        <w:t xml:space="preserve"> </w:t>
      </w:r>
      <w:r>
        <w:rPr>
          <w:rFonts w:ascii="Tahoma" w:hAnsi="Tahoma"/>
          <w:sz w:val="20"/>
        </w:rPr>
        <w:t>Russian</w:t>
      </w:r>
      <w:r w:rsidRPr="00387F4F">
        <w:rPr>
          <w:rFonts w:ascii="Tahoma" w:hAnsi="Tahoma"/>
          <w:sz w:val="20"/>
          <w:lang w:val="ru-RU"/>
        </w:rPr>
        <w:t>: «Индекс МосБиржи Облигаций повышенной доходности»;</w:t>
      </w:r>
    </w:p>
    <w:p w14:paraId="03BE31B5" w14:textId="77777777" w:rsidR="00584CB8" w:rsidRPr="00E36319" w:rsidRDefault="00584CB8" w:rsidP="00584CB8">
      <w:pPr>
        <w:pStyle w:val="af2"/>
        <w:numPr>
          <w:ilvl w:val="0"/>
          <w:numId w:val="46"/>
        </w:numPr>
        <w:jc w:val="both"/>
        <w:rPr>
          <w:rFonts w:ascii="Tahoma" w:hAnsi="Tahoma" w:cs="Tahoma"/>
          <w:sz w:val="20"/>
          <w:szCs w:val="20"/>
        </w:rPr>
      </w:pPr>
      <w:r>
        <w:rPr>
          <w:rFonts w:ascii="Tahoma" w:hAnsi="Tahoma"/>
          <w:sz w:val="20"/>
        </w:rPr>
        <w:t>The Index's name in English: MOEX Extra Yield Bond index;</w:t>
      </w:r>
    </w:p>
    <w:p w14:paraId="32859BE3" w14:textId="77777777" w:rsidR="00F709AD" w:rsidRDefault="00F709AD" w:rsidP="00F709AD">
      <w:pPr>
        <w:pStyle w:val="af2"/>
        <w:numPr>
          <w:ilvl w:val="0"/>
          <w:numId w:val="46"/>
        </w:numPr>
        <w:jc w:val="both"/>
        <w:rPr>
          <w:rFonts w:ascii="Tahoma" w:hAnsi="Tahoma" w:cs="Tahoma"/>
          <w:sz w:val="20"/>
          <w:szCs w:val="20"/>
        </w:rPr>
      </w:pPr>
      <w:r>
        <w:rPr>
          <w:rFonts w:ascii="Tahoma" w:hAnsi="Tahoma"/>
          <w:sz w:val="20"/>
        </w:rPr>
        <w:t>The Total Income Index code: RUEYBCSTR</w:t>
      </w:r>
    </w:p>
    <w:p w14:paraId="4ABA109B" w14:textId="77777777" w:rsidR="00F709AD" w:rsidRDefault="00F709AD" w:rsidP="00F709AD">
      <w:pPr>
        <w:pStyle w:val="af2"/>
        <w:numPr>
          <w:ilvl w:val="0"/>
          <w:numId w:val="46"/>
        </w:numPr>
        <w:jc w:val="both"/>
        <w:rPr>
          <w:rFonts w:ascii="Tahoma" w:hAnsi="Tahoma" w:cs="Tahoma"/>
          <w:sz w:val="20"/>
          <w:szCs w:val="20"/>
        </w:rPr>
      </w:pPr>
      <w:r>
        <w:rPr>
          <w:rFonts w:ascii="Tahoma" w:hAnsi="Tahoma"/>
          <w:sz w:val="20"/>
        </w:rPr>
        <w:t>The Price Index code: RUEYBCSCP.</w:t>
      </w:r>
    </w:p>
    <w:p w14:paraId="5F1BEC8A" w14:textId="77777777" w:rsidR="005F7909" w:rsidRPr="00D36EFF" w:rsidRDefault="002E7588" w:rsidP="005F7909">
      <w:pPr>
        <w:numPr>
          <w:ilvl w:val="1"/>
          <w:numId w:val="1"/>
        </w:numPr>
        <w:jc w:val="both"/>
        <w:rPr>
          <w:rFonts w:ascii="Tahoma" w:hAnsi="Tahoma" w:cs="Tahoma"/>
          <w:sz w:val="20"/>
          <w:szCs w:val="20"/>
        </w:rPr>
      </w:pPr>
      <w:r>
        <w:rPr>
          <w:rFonts w:ascii="Tahoma" w:hAnsi="Tahoma"/>
          <w:sz w:val="20"/>
        </w:rPr>
        <w:t>The wording “Индекс МосБиржи” in the Index name is a trademark of Moscow Exchange registered by the Federal Service for Intellectual Property in the Russian Public Register of Trademarks and Service Marks on 18 September 2017 (trademark certificate No. 630519). The wording “MOEX” in the Index name is a trademark of Moscow Exchange registered by the Federal Service for Intellectual Property in the Russian Public Register of Trademarks and Service Marks on 29 September 2014 (trademark certificate No. 521450).</w:t>
      </w:r>
    </w:p>
    <w:p w14:paraId="4D4E48FE" w14:textId="77777777" w:rsidR="00657BF4" w:rsidRPr="00D36EFF" w:rsidRDefault="00657BF4" w:rsidP="00450022">
      <w:pPr>
        <w:numPr>
          <w:ilvl w:val="1"/>
          <w:numId w:val="1"/>
        </w:numPr>
        <w:jc w:val="both"/>
        <w:rPr>
          <w:rFonts w:ascii="Tahoma" w:hAnsi="Tahoma" w:cs="Tahoma"/>
          <w:sz w:val="20"/>
          <w:szCs w:val="20"/>
        </w:rPr>
      </w:pPr>
      <w:r>
        <w:rPr>
          <w:rFonts w:ascii="Tahoma" w:hAnsi="Tahoma"/>
          <w:sz w:val="20"/>
        </w:rPr>
        <w:t>The Exchange shall approve this Methodology and any amendments and supplements thereto and they shall come into effect on the date determined by the Exchange. Amendments and supplements to this Methodology may be made once a quarter at latest.</w:t>
      </w:r>
    </w:p>
    <w:p w14:paraId="4F531077" w14:textId="77777777" w:rsidR="00657BF4" w:rsidRPr="00D36EFF" w:rsidRDefault="00657BF4" w:rsidP="00450022">
      <w:pPr>
        <w:numPr>
          <w:ilvl w:val="1"/>
          <w:numId w:val="1"/>
        </w:numPr>
        <w:jc w:val="both"/>
        <w:rPr>
          <w:rFonts w:ascii="Tahoma" w:hAnsi="Tahoma" w:cs="Tahoma"/>
          <w:sz w:val="20"/>
          <w:szCs w:val="20"/>
        </w:rPr>
      </w:pPr>
      <w:r>
        <w:rPr>
          <w:rFonts w:ascii="Tahoma" w:hAnsi="Tahoma"/>
          <w:sz w:val="20"/>
        </w:rPr>
        <w:t>The approved text of this Methodology with any amendments and supplements thereto shall be disclosed on the official website of the Exchange on the Internet no later than three working days of its effective date unless otherwise is stipulated in the resolution of the Exchange.</w:t>
      </w:r>
    </w:p>
    <w:p w14:paraId="40AB770D" w14:textId="77777777" w:rsidR="00D90454" w:rsidRPr="00D36EFF" w:rsidRDefault="00D90454" w:rsidP="00D90454">
      <w:pPr>
        <w:tabs>
          <w:tab w:val="num" w:pos="1000"/>
        </w:tabs>
        <w:ind w:left="972"/>
        <w:jc w:val="both"/>
        <w:rPr>
          <w:rFonts w:ascii="Tahoma" w:hAnsi="Tahoma" w:cs="Tahoma"/>
          <w:sz w:val="20"/>
          <w:szCs w:val="20"/>
        </w:rPr>
      </w:pPr>
    </w:p>
    <w:p w14:paraId="0D03150D" w14:textId="77777777" w:rsidR="00657BF4" w:rsidRPr="00D36EFF" w:rsidRDefault="00657BF4" w:rsidP="003F7FEF">
      <w:pPr>
        <w:numPr>
          <w:ilvl w:val="0"/>
          <w:numId w:val="1"/>
        </w:numPr>
        <w:outlineLvl w:val="0"/>
        <w:rPr>
          <w:rFonts w:ascii="Tahoma" w:hAnsi="Tahoma" w:cs="Tahoma"/>
          <w:b/>
          <w:sz w:val="20"/>
          <w:szCs w:val="20"/>
        </w:rPr>
      </w:pPr>
      <w:bookmarkStart w:id="2" w:name="_Toc26205686"/>
      <w:bookmarkStart w:id="3" w:name="_Toc26211546"/>
      <w:bookmarkStart w:id="4" w:name="_Toc26295629"/>
      <w:bookmarkStart w:id="5" w:name="_Toc26365583"/>
      <w:bookmarkStart w:id="6" w:name="_Toc26365651"/>
      <w:bookmarkStart w:id="7" w:name="_Toc26369751"/>
      <w:bookmarkStart w:id="8" w:name="_Toc150862876"/>
      <w:bookmarkEnd w:id="2"/>
      <w:bookmarkEnd w:id="3"/>
      <w:bookmarkEnd w:id="4"/>
      <w:bookmarkEnd w:id="5"/>
      <w:bookmarkEnd w:id="6"/>
      <w:bookmarkEnd w:id="7"/>
      <w:r>
        <w:rPr>
          <w:rFonts w:ascii="Tahoma" w:hAnsi="Tahoma"/>
          <w:b/>
          <w:sz w:val="20"/>
        </w:rPr>
        <w:t>General Calculation Method</w:t>
      </w:r>
      <w:bookmarkEnd w:id="8"/>
    </w:p>
    <w:p w14:paraId="4A4B59B5" w14:textId="77777777" w:rsidR="00657BF4" w:rsidRPr="00D36EFF" w:rsidRDefault="00657BF4" w:rsidP="003F7FEF">
      <w:pPr>
        <w:ind w:left="360"/>
        <w:outlineLvl w:val="0"/>
        <w:rPr>
          <w:rFonts w:ascii="Tahoma" w:hAnsi="Tahoma" w:cs="Tahoma"/>
          <w:b/>
          <w:sz w:val="20"/>
          <w:szCs w:val="20"/>
        </w:rPr>
      </w:pPr>
    </w:p>
    <w:p w14:paraId="47BD4141" w14:textId="77777777" w:rsidR="00657BF4" w:rsidRPr="00D36EFF" w:rsidRDefault="00E92BEC" w:rsidP="00EB47F6">
      <w:pPr>
        <w:numPr>
          <w:ilvl w:val="1"/>
          <w:numId w:val="1"/>
        </w:numPr>
        <w:tabs>
          <w:tab w:val="num" w:pos="1000"/>
        </w:tabs>
        <w:jc w:val="both"/>
        <w:rPr>
          <w:rStyle w:val="af3"/>
          <w:rFonts w:ascii="Tahoma" w:hAnsi="Tahoma" w:cs="Tahoma"/>
        </w:rPr>
      </w:pPr>
      <w:bookmarkStart w:id="9" w:name="_Ref323386348"/>
      <w:bookmarkStart w:id="10" w:name="п_2_1"/>
      <w:r>
        <w:rPr>
          <w:rStyle w:val="af3"/>
          <w:rFonts w:ascii="Tahoma" w:hAnsi="Tahoma"/>
        </w:rPr>
        <w:t>The Index is calculated on the basis of information about trades in Bonds which are executed on the Exchange</w:t>
      </w:r>
      <w:bookmarkEnd w:id="9"/>
      <w:r>
        <w:rPr>
          <w:rStyle w:val="af3"/>
          <w:rFonts w:ascii="Tahoma" w:hAnsi="Tahoma"/>
        </w:rPr>
        <w:t>. The Index and Additional Indicators are calculated every trading day after trading in the Main Trading Mode closes. The Exchange has the right to change the frequency of Index and Additional Indicators calculation.</w:t>
      </w:r>
    </w:p>
    <w:p w14:paraId="427D45E9" w14:textId="77777777" w:rsidR="00463DB1" w:rsidRPr="00D36EFF" w:rsidRDefault="009C227F" w:rsidP="00EB47F6">
      <w:pPr>
        <w:numPr>
          <w:ilvl w:val="1"/>
          <w:numId w:val="1"/>
        </w:numPr>
        <w:tabs>
          <w:tab w:val="num" w:pos="1000"/>
        </w:tabs>
        <w:jc w:val="both"/>
        <w:rPr>
          <w:rStyle w:val="af3"/>
          <w:rFonts w:ascii="Tahoma" w:hAnsi="Tahoma" w:cs="Tahoma"/>
        </w:rPr>
      </w:pPr>
      <w:r>
        <w:rPr>
          <w:rStyle w:val="af3"/>
          <w:rFonts w:ascii="Tahoma" w:hAnsi="Tahoma"/>
        </w:rPr>
        <w:t>The Methodology sets out the following calculation method for the Index:</w:t>
      </w:r>
    </w:p>
    <w:p w14:paraId="5AEFD9AE" w14:textId="77777777" w:rsidR="004777D8" w:rsidRPr="00D36EFF" w:rsidRDefault="004777D8" w:rsidP="002A6306">
      <w:pPr>
        <w:numPr>
          <w:ilvl w:val="2"/>
          <w:numId w:val="1"/>
        </w:numPr>
        <w:jc w:val="both"/>
        <w:rPr>
          <w:rStyle w:val="af3"/>
          <w:rFonts w:ascii="Tahoma" w:hAnsi="Tahoma" w:cs="Tahoma"/>
        </w:rPr>
      </w:pPr>
      <w:r>
        <w:rPr>
          <w:rStyle w:val="af3"/>
          <w:rFonts w:ascii="Tahoma" w:hAnsi="Tahoma"/>
        </w:rPr>
        <w:t>The Price Index is calculated according to the following formula:</w:t>
      </w:r>
    </w:p>
    <w:p w14:paraId="3E7EC07A" w14:textId="77777777" w:rsidR="00C2467D" w:rsidRPr="00D36EFF" w:rsidRDefault="00C2467D" w:rsidP="00C2467D">
      <w:pPr>
        <w:jc w:val="both"/>
        <w:rPr>
          <w:rStyle w:val="af3"/>
          <w:rFonts w:ascii="Tahoma" w:hAnsi="Tahoma" w:cs="Tahoma"/>
        </w:rPr>
      </w:pPr>
    </w:p>
    <w:p w14:paraId="1FAAE11D" w14:textId="77777777" w:rsidR="00FD08CD" w:rsidRPr="00D36EFF" w:rsidRDefault="00546B05" w:rsidP="005570D2">
      <w:pPr>
        <w:ind w:left="972"/>
        <w:jc w:val="center"/>
        <w:rPr>
          <w:rFonts w:ascii="Tahoma" w:hAnsi="Tahoma" w:cs="Tahoma"/>
          <w:sz w:val="20"/>
          <w:szCs w:val="20"/>
        </w:rPr>
      </w:pPr>
      <m:oMathPara>
        <m:oMath>
          <m:sSub>
            <m:sSubPr>
              <m:ctrlPr>
                <w:rPr>
                  <w:rFonts w:ascii="Cambria Math" w:hAnsi="Cambria Math" w:cs="Tahoma"/>
                  <w:sz w:val="20"/>
                  <w:szCs w:val="20"/>
                  <w:lang w:val="en-US"/>
                </w:rPr>
              </m:ctrlPr>
            </m:sSubPr>
            <m:e>
              <m:r>
                <m:rPr>
                  <m:sty m:val="p"/>
                </m:rPr>
                <w:rPr>
                  <w:rFonts w:ascii="Cambria Math" w:hAnsi="Cambria Math" w:cs="Tahoma"/>
                  <w:sz w:val="20"/>
                  <w:szCs w:val="20"/>
                  <w:lang w:val="en-US"/>
                </w:rPr>
                <m:t>PI</m:t>
              </m:r>
            </m:e>
            <m:sub>
              <m:r>
                <m:rPr>
                  <m:sty m:val="p"/>
                </m:rPr>
                <w:rPr>
                  <w:rFonts w:ascii="Cambria Math" w:hAnsi="Cambria Math" w:cs="Tahoma"/>
                  <w:sz w:val="20"/>
                  <w:szCs w:val="20"/>
                  <w:lang w:val="en-US"/>
                </w:rPr>
                <m:t>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rPr>
                <m:t>P</m:t>
              </m:r>
              <m:r>
                <m:rPr>
                  <m:sty m:val="p"/>
                </m:rPr>
                <w:rPr>
                  <w:rFonts w:ascii="Cambria Math" w:hAnsi="Cambria Math" w:cs="Tahoma"/>
                  <w:sz w:val="20"/>
                  <w:szCs w:val="20"/>
                  <w:lang w:val="en-US"/>
                </w:rPr>
                <m:t>I</m:t>
              </m:r>
            </m:e>
            <m:sub>
              <m:r>
                <m:rPr>
                  <m:sty m:val="p"/>
                </m:rPr>
                <w:rPr>
                  <w:rFonts w:ascii="Cambria Math" w:hAnsi="Cambria Math" w:cs="Tahoma"/>
                  <w:sz w:val="20"/>
                  <w:szCs w:val="20"/>
                  <w:lang w:val="en-US"/>
                </w:rPr>
                <m:t>n-1</m:t>
              </m:r>
            </m:sub>
          </m:sSub>
          <m:r>
            <m:rPr>
              <m:sty m:val="p"/>
            </m:rPr>
            <w:rPr>
              <w:rFonts w:ascii="Cambria Math" w:hAnsi="Cambria Math" w:cs="Tahoma"/>
              <w:sz w:val="20"/>
              <w:szCs w:val="20"/>
            </w:rPr>
            <m:t xml:space="preserve"> ∙</m:t>
          </m:r>
          <m:f>
            <m:fPr>
              <m:ctrlPr>
                <w:rPr>
                  <w:rFonts w:ascii="Cambria Math" w:hAnsi="Cambria Math" w:cs="Tahoma"/>
                  <w:sz w:val="20"/>
                  <w:szCs w:val="20"/>
                </w:rPr>
              </m:ctrlPr>
            </m:fPr>
            <m:num>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e>
              </m:nary>
            </m:num>
            <m:den>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i,n-1</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i,n-1</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e>
              </m:nary>
            </m:den>
          </m:f>
        </m:oMath>
      </m:oMathPara>
    </w:p>
    <w:p w14:paraId="798AD260" w14:textId="77777777" w:rsidR="00FD08CD" w:rsidRPr="00D36EFF" w:rsidRDefault="00FD08CD" w:rsidP="00FD08CD">
      <w:pPr>
        <w:pStyle w:val="af7"/>
        <w:rPr>
          <w:rFonts w:cs="Tahoma"/>
        </w:rPr>
      </w:pPr>
      <w:r>
        <w:t>where:</w:t>
      </w:r>
    </w:p>
    <w:p w14:paraId="5DB59998" w14:textId="77777777" w:rsidR="00FD08CD" w:rsidRPr="00D36EFF" w:rsidRDefault="00FD08CD" w:rsidP="00FD08CD">
      <w:pPr>
        <w:pStyle w:val="af7"/>
        <w:rPr>
          <w:rFonts w:cs="Tahoma"/>
        </w:rPr>
      </w:pPr>
      <w:r>
        <w:t>PI</w:t>
      </w:r>
      <w:r>
        <w:rPr>
          <w:vertAlign w:val="subscript"/>
        </w:rPr>
        <w:t>n</w:t>
      </w:r>
      <w:r>
        <w:t xml:space="preserve"> – the Price Index value at time n.</w:t>
      </w:r>
    </w:p>
    <w:p w14:paraId="1AD24BA4" w14:textId="77777777" w:rsidR="00FD08CD" w:rsidRPr="00D36EFF" w:rsidRDefault="00FD08CD" w:rsidP="00FD08CD">
      <w:pPr>
        <w:pStyle w:val="af7"/>
        <w:rPr>
          <w:rFonts w:cs="Tahoma"/>
        </w:rPr>
      </w:pPr>
      <w:r>
        <w:t>P</w:t>
      </w:r>
      <w:r>
        <w:rPr>
          <w:vertAlign w:val="subscript"/>
        </w:rPr>
        <w:t>i,n</w:t>
      </w:r>
      <w:r>
        <w:t xml:space="preserve"> – the average weighted price of the i-th Bond issue calculated at time n, in per cent of the par value.</w:t>
      </w:r>
    </w:p>
    <w:p w14:paraId="10AC89E1" w14:textId="77777777" w:rsidR="00FD08CD" w:rsidRPr="00D36EFF" w:rsidRDefault="00FD08CD" w:rsidP="00FD08CD">
      <w:pPr>
        <w:pStyle w:val="af7"/>
        <w:rPr>
          <w:rFonts w:cs="Tahoma"/>
        </w:rPr>
      </w:pPr>
      <w:r>
        <w:t>FV</w:t>
      </w:r>
      <w:r>
        <w:rPr>
          <w:vertAlign w:val="subscript"/>
        </w:rPr>
        <w:t>i,n</w:t>
      </w:r>
      <w:r>
        <w:t xml:space="preserve"> – the average par value of the i-th Bond issue calculated at time n, in RUB.</w:t>
      </w:r>
    </w:p>
    <w:p w14:paraId="46323229" w14:textId="77777777" w:rsidR="00FD08CD" w:rsidRPr="00D36EFF" w:rsidRDefault="00FD08CD" w:rsidP="00FD08CD">
      <w:pPr>
        <w:pStyle w:val="af7"/>
        <w:rPr>
          <w:rFonts w:cs="Tahoma"/>
        </w:rPr>
      </w:pPr>
      <w:r>
        <w:t>N</w:t>
      </w:r>
      <w:r>
        <w:rPr>
          <w:vertAlign w:val="subscript"/>
        </w:rPr>
        <w:t>i,n</w:t>
      </w:r>
      <w:r>
        <w:t xml:space="preserve"> – the volume of i-th Bond issue at time n, in securities units.</w:t>
      </w:r>
    </w:p>
    <w:p w14:paraId="0EBB3C4B" w14:textId="77777777" w:rsidR="00FD08CD" w:rsidRPr="00D36EFF" w:rsidRDefault="00FD08CD" w:rsidP="00FD08CD">
      <w:pPr>
        <w:pStyle w:val="af7"/>
        <w:rPr>
          <w:rFonts w:cs="Tahoma"/>
        </w:rPr>
      </w:pPr>
      <w:r>
        <w:t>W</w:t>
      </w:r>
      <w:r>
        <w:rPr>
          <w:vertAlign w:val="subscript"/>
        </w:rPr>
        <w:t>i,n</w:t>
      </w:r>
      <w:r>
        <w:t xml:space="preserve"> – the coefficient limiting the share of capitalisation of the i-th Bond Issuer (“Weighting Factor”) is equal to 1, unless otherwise is provided in section 5 hereof.</w:t>
      </w:r>
    </w:p>
    <w:p w14:paraId="4004C437" w14:textId="77777777" w:rsidR="004777D8" w:rsidRPr="00D36EFF" w:rsidRDefault="004777D8" w:rsidP="002A6306">
      <w:pPr>
        <w:numPr>
          <w:ilvl w:val="2"/>
          <w:numId w:val="1"/>
        </w:numPr>
        <w:jc w:val="both"/>
        <w:rPr>
          <w:rStyle w:val="af3"/>
          <w:rFonts w:ascii="Tahoma" w:hAnsi="Tahoma" w:cs="Tahoma"/>
        </w:rPr>
      </w:pPr>
      <w:r>
        <w:rPr>
          <w:rStyle w:val="af3"/>
          <w:rFonts w:ascii="Tahoma" w:hAnsi="Tahoma"/>
        </w:rPr>
        <w:t>The Total Return Index is calculated according to the following formula:</w:t>
      </w:r>
    </w:p>
    <w:p w14:paraId="11E849F3" w14:textId="77777777" w:rsidR="005570D2" w:rsidRPr="00D36EFF" w:rsidRDefault="005570D2" w:rsidP="005570D2">
      <w:pPr>
        <w:ind w:left="1224"/>
        <w:jc w:val="both"/>
        <w:rPr>
          <w:rStyle w:val="af3"/>
          <w:rFonts w:ascii="Tahoma" w:hAnsi="Tahoma" w:cs="Tahoma"/>
        </w:rPr>
      </w:pPr>
    </w:p>
    <w:p w14:paraId="1769AC32" w14:textId="77777777" w:rsidR="005570D2" w:rsidRPr="00D36EFF" w:rsidRDefault="00546B05" w:rsidP="005570D2">
      <w:pPr>
        <w:ind w:left="1224"/>
        <w:jc w:val="center"/>
        <w:rPr>
          <w:rFonts w:ascii="Tahoma" w:hAnsi="Tahoma" w:cs="Tahoma"/>
          <w:sz w:val="20"/>
          <w:szCs w:val="20"/>
        </w:rPr>
      </w:pPr>
      <m:oMathPara>
        <m:oMath>
          <m:sSub>
            <m:sSubPr>
              <m:ctrlPr>
                <w:rPr>
                  <w:rFonts w:ascii="Cambria Math" w:hAnsi="Cambria Math" w:cs="Tahoma"/>
                  <w:sz w:val="20"/>
                  <w:szCs w:val="20"/>
                  <w:lang w:val="en-US"/>
                </w:rPr>
              </m:ctrlPr>
            </m:sSubPr>
            <m:e>
              <m:r>
                <m:rPr>
                  <m:sty m:val="p"/>
                </m:rPr>
                <w:rPr>
                  <w:rFonts w:ascii="Cambria Math" w:hAnsi="Cambria Math" w:cs="Tahoma"/>
                  <w:sz w:val="20"/>
                  <w:szCs w:val="20"/>
                </w:rPr>
                <m:t>C</m:t>
              </m:r>
              <m:r>
                <m:rPr>
                  <m:sty m:val="p"/>
                </m:rPr>
                <w:rPr>
                  <w:rFonts w:ascii="Cambria Math" w:hAnsi="Cambria Math" w:cs="Tahoma"/>
                  <w:sz w:val="20"/>
                  <w:szCs w:val="20"/>
                  <w:lang w:val="en-US"/>
                </w:rPr>
                <m:t>I</m:t>
              </m:r>
            </m:e>
            <m:sub>
              <m:r>
                <m:rPr>
                  <m:sty m:val="p"/>
                </m:rPr>
                <w:rPr>
                  <w:rFonts w:ascii="Cambria Math" w:hAnsi="Cambria Math" w:cs="Tahoma"/>
                  <w:sz w:val="20"/>
                  <w:szCs w:val="20"/>
                  <w:lang w:val="en-US"/>
                </w:rPr>
                <m:t>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rPr>
                <m:t>C</m:t>
              </m:r>
              <m:r>
                <m:rPr>
                  <m:sty m:val="p"/>
                </m:rPr>
                <w:rPr>
                  <w:rFonts w:ascii="Cambria Math" w:hAnsi="Cambria Math" w:cs="Tahoma"/>
                  <w:sz w:val="20"/>
                  <w:szCs w:val="20"/>
                  <w:lang w:val="en-US"/>
                </w:rPr>
                <m:t>I</m:t>
              </m:r>
            </m:e>
            <m:sub>
              <m:r>
                <m:rPr>
                  <m:sty m:val="p"/>
                </m:rPr>
                <w:rPr>
                  <w:rFonts w:ascii="Cambria Math" w:hAnsi="Cambria Math" w:cs="Tahoma"/>
                  <w:sz w:val="20"/>
                  <w:szCs w:val="20"/>
                  <w:lang w:val="en-US"/>
                </w:rPr>
                <m:t>n-1</m:t>
              </m:r>
            </m:sub>
          </m:sSub>
          <m:r>
            <m:rPr>
              <m:sty m:val="p"/>
            </m:rPr>
            <w:rPr>
              <w:rFonts w:ascii="Cambria Math" w:hAnsi="Cambria Math" w:cs="Tahoma"/>
              <w:sz w:val="20"/>
              <w:szCs w:val="20"/>
            </w:rPr>
            <m:t xml:space="preserve"> ∙</m:t>
          </m:r>
          <m:f>
            <m:fPr>
              <m:ctrlPr>
                <w:rPr>
                  <w:rFonts w:ascii="Cambria Math" w:hAnsi="Cambria Math" w:cs="Tahoma"/>
                  <w:sz w:val="20"/>
                  <w:szCs w:val="20"/>
                </w:rPr>
              </m:ctrlPr>
            </m:fPr>
            <m:num>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G</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e>
              </m:nary>
            </m:num>
            <m:den>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i,n-1</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i,n-1</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i,n-1</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e>
              </m:nary>
            </m:den>
          </m:f>
        </m:oMath>
      </m:oMathPara>
    </w:p>
    <w:p w14:paraId="4BFFC77D" w14:textId="77777777" w:rsidR="005570D2" w:rsidRPr="00D36EFF" w:rsidRDefault="005570D2" w:rsidP="000D4221">
      <w:pPr>
        <w:ind w:left="1559"/>
        <w:jc w:val="both"/>
        <w:rPr>
          <w:rFonts w:ascii="Tahoma" w:hAnsi="Tahoma" w:cs="Tahoma"/>
          <w:sz w:val="20"/>
          <w:szCs w:val="20"/>
        </w:rPr>
      </w:pPr>
      <w:r>
        <w:rPr>
          <w:rFonts w:ascii="Tahoma" w:hAnsi="Tahoma"/>
          <w:sz w:val="20"/>
        </w:rPr>
        <w:t>where:</w:t>
      </w:r>
    </w:p>
    <w:p w14:paraId="2E94F1A2" w14:textId="77777777" w:rsidR="005570D2" w:rsidRPr="00D36EFF" w:rsidRDefault="005570D2" w:rsidP="000D4221">
      <w:pPr>
        <w:pStyle w:val="af7"/>
        <w:rPr>
          <w:rFonts w:cs="Tahoma"/>
        </w:rPr>
      </w:pPr>
      <w:r>
        <w:t>CIn – the Total Return Index value at time n;</w:t>
      </w:r>
    </w:p>
    <w:p w14:paraId="2306AAEC" w14:textId="77777777" w:rsidR="005570D2" w:rsidRPr="00D36EFF" w:rsidRDefault="005570D2" w:rsidP="000D4221">
      <w:pPr>
        <w:pStyle w:val="af7"/>
        <w:rPr>
          <w:rFonts w:cs="Tahoma"/>
        </w:rPr>
      </w:pPr>
      <w:r>
        <w:t>Pi,n – the average weighted price of the i-th Bond issue calculated at time n, in per cent of the par value;</w:t>
      </w:r>
    </w:p>
    <w:p w14:paraId="51D7D5C2" w14:textId="77777777" w:rsidR="005570D2" w:rsidRPr="00D36EFF" w:rsidRDefault="005570D2" w:rsidP="000D4221">
      <w:pPr>
        <w:pStyle w:val="af7"/>
        <w:rPr>
          <w:rFonts w:cs="Tahoma"/>
        </w:rPr>
      </w:pPr>
      <w:r>
        <w:t>Pi,n – the face value of the i-th Bond issue calculated at time n, in RUB;</w:t>
      </w:r>
    </w:p>
    <w:p w14:paraId="60304BE4" w14:textId="77777777" w:rsidR="005570D2" w:rsidRPr="00D36EFF" w:rsidRDefault="005570D2" w:rsidP="000D4221">
      <w:pPr>
        <w:pStyle w:val="af7"/>
        <w:rPr>
          <w:rFonts w:cs="Tahoma"/>
        </w:rPr>
      </w:pPr>
      <w:r>
        <w:t>Ai,n – the Accumulated Coupon Income on the i-th Bond issue calculated at time n, in RUB;</w:t>
      </w:r>
    </w:p>
    <w:p w14:paraId="37DC508E" w14:textId="77777777" w:rsidR="005570D2" w:rsidRPr="00D36EFF" w:rsidRDefault="005570D2" w:rsidP="000D4221">
      <w:pPr>
        <w:pStyle w:val="af7"/>
        <w:rPr>
          <w:rFonts w:cs="Tahoma"/>
        </w:rPr>
      </w:pPr>
      <w:r>
        <w:t>Gi,n – the Coupon Income paid on the i-th Bond issue at time n, in RUB;</w:t>
      </w:r>
    </w:p>
    <w:p w14:paraId="1A0B328D" w14:textId="77777777" w:rsidR="005570D2" w:rsidRPr="00D36EFF" w:rsidRDefault="005570D2" w:rsidP="000D4221">
      <w:pPr>
        <w:pStyle w:val="af7"/>
        <w:rPr>
          <w:rFonts w:cs="Tahoma"/>
        </w:rPr>
      </w:pPr>
      <w:r>
        <w:t>Ni,n – the volume of i-th Bond issue at time n, in securities units;</w:t>
      </w:r>
    </w:p>
    <w:p w14:paraId="3A9F1255" w14:textId="77777777" w:rsidR="005570D2" w:rsidRPr="00D36EFF" w:rsidRDefault="005570D2" w:rsidP="000D4221">
      <w:pPr>
        <w:pStyle w:val="af7"/>
        <w:rPr>
          <w:rFonts w:cs="Tahoma"/>
        </w:rPr>
      </w:pPr>
      <w:r>
        <w:t>Wi,n – the coefficient limiting the share of capitalisation of the i-th Issuer of Bond (the “Weighting Factor”) is equal to 1, unless otherwise is provided in section 5 of this Methodology.</w:t>
      </w:r>
    </w:p>
    <w:p w14:paraId="038F08D2" w14:textId="77777777" w:rsidR="004777D8" w:rsidRPr="00D36EFF" w:rsidRDefault="004777D8" w:rsidP="002A6306">
      <w:pPr>
        <w:numPr>
          <w:ilvl w:val="2"/>
          <w:numId w:val="1"/>
        </w:numPr>
        <w:jc w:val="both"/>
        <w:rPr>
          <w:rStyle w:val="af3"/>
          <w:rFonts w:ascii="Tahoma" w:hAnsi="Tahoma" w:cs="Tahoma"/>
        </w:rPr>
      </w:pPr>
      <w:r>
        <w:rPr>
          <w:rStyle w:val="af3"/>
          <w:rFonts w:ascii="Tahoma" w:hAnsi="Tahoma"/>
        </w:rPr>
        <w:lastRenderedPageBreak/>
        <w:t>Additional Indicators are calculated using the formulae below:</w:t>
      </w:r>
    </w:p>
    <w:p w14:paraId="21520DC6" w14:textId="77777777" w:rsidR="004777D8" w:rsidRPr="00D36EFF" w:rsidRDefault="004777D8" w:rsidP="002A6306">
      <w:pPr>
        <w:numPr>
          <w:ilvl w:val="3"/>
          <w:numId w:val="1"/>
        </w:numPr>
        <w:jc w:val="both"/>
        <w:rPr>
          <w:rStyle w:val="af3"/>
          <w:rFonts w:ascii="Tahoma" w:hAnsi="Tahoma" w:cs="Tahoma"/>
        </w:rPr>
      </w:pPr>
      <w:r>
        <w:rPr>
          <w:rStyle w:val="af3"/>
          <w:rFonts w:ascii="Tahoma" w:hAnsi="Tahoma"/>
        </w:rPr>
        <w:t>The Weighted Average Duration of the Index is calculated as follows:</w:t>
      </w:r>
    </w:p>
    <w:p w14:paraId="63E72238" w14:textId="77777777" w:rsidR="00C002AF" w:rsidRPr="00D36EFF" w:rsidRDefault="00C002AF" w:rsidP="00C002AF">
      <w:pPr>
        <w:jc w:val="both"/>
        <w:rPr>
          <w:rStyle w:val="af3"/>
          <w:rFonts w:ascii="Tahoma" w:hAnsi="Tahoma" w:cs="Tahoma"/>
        </w:rPr>
      </w:pPr>
    </w:p>
    <w:p w14:paraId="3518AE83" w14:textId="77777777" w:rsidR="00C002AF" w:rsidRPr="00D36EFF" w:rsidRDefault="00546B05" w:rsidP="00C002AF">
      <w:pPr>
        <w:pStyle w:val="af7"/>
        <w:jc w:val="center"/>
        <w:rPr>
          <w:rFonts w:cs="Tahoma"/>
        </w:rPr>
      </w:pPr>
      <m:oMathPara>
        <m:oMath>
          <m:sSub>
            <m:sSubPr>
              <m:ctrlPr>
                <w:rPr>
                  <w:rFonts w:ascii="Cambria Math" w:hAnsi="Cambria Math" w:cs="Tahoma"/>
                  <w:lang w:val="en-US"/>
                </w:rPr>
              </m:ctrlPr>
            </m:sSubPr>
            <m:e>
              <m:r>
                <m:rPr>
                  <m:sty m:val="p"/>
                </m:rPr>
                <w:rPr>
                  <w:rFonts w:ascii="Cambria Math" w:hAnsi="Cambria Math" w:cs="Tahoma"/>
                  <w:lang w:val="en-US"/>
                </w:rPr>
                <m:t>D</m:t>
              </m:r>
            </m:e>
            <m:sub>
              <m:r>
                <m:rPr>
                  <m:sty m:val="p"/>
                </m:rPr>
                <w:rPr>
                  <w:rFonts w:ascii="Cambria Math" w:hAnsi="Cambria Math" w:cs="Tahoma"/>
                  <w:lang w:val="en-US"/>
                </w:rPr>
                <m:t>n</m:t>
              </m:r>
            </m:sub>
          </m:sSub>
          <m:r>
            <m:rPr>
              <m:sty m:val="p"/>
            </m:rPr>
            <w:rPr>
              <w:rFonts w:ascii="Cambria Math" w:hAnsi="Cambria Math" w:cs="Tahoma"/>
            </w:rPr>
            <m:t>=</m:t>
          </m:r>
          <m:f>
            <m:fPr>
              <m:ctrlPr>
                <w:rPr>
                  <w:rFonts w:ascii="Cambria Math" w:hAnsi="Cambria Math" w:cs="Tahoma"/>
                </w:rPr>
              </m:ctrlPr>
            </m:fPr>
            <m:num>
              <m:nary>
                <m:naryPr>
                  <m:chr m:val="∑"/>
                  <m:limLoc m:val="undOvr"/>
                  <m:ctrlPr>
                    <w:rPr>
                      <w:rFonts w:ascii="Cambria Math" w:hAnsi="Cambria Math" w:cs="Tahoma"/>
                    </w:rPr>
                  </m:ctrlPr>
                </m:naryPr>
                <m:sub>
                  <m:r>
                    <m:rPr>
                      <m:sty m:val="p"/>
                    </m:rPr>
                    <w:rPr>
                      <w:rFonts w:ascii="Cambria Math" w:hAnsi="Cambria Math" w:cs="Tahoma"/>
                    </w:rPr>
                    <m:t>i=1</m:t>
                  </m:r>
                </m:sub>
                <m:sup>
                  <m:r>
                    <m:rPr>
                      <m:sty m:val="p"/>
                    </m:rPr>
                    <w:rPr>
                      <w:rFonts w:ascii="Cambria Math" w:hAnsi="Cambria Math" w:cs="Tahoma"/>
                    </w:rPr>
                    <m:t>N</m:t>
                  </m:r>
                </m:sup>
                <m:e>
                  <m:sSub>
                    <m:sSubPr>
                      <m:ctrlPr>
                        <w:rPr>
                          <w:rFonts w:ascii="Cambria Math" w:hAnsi="Cambria Math" w:cs="Tahoma"/>
                        </w:rPr>
                      </m:ctrlPr>
                    </m:sSubPr>
                    <m:e>
                      <m:r>
                        <m:rPr>
                          <m:sty m:val="p"/>
                        </m:rPr>
                        <w:rPr>
                          <w:rFonts w:ascii="Cambria Math" w:hAnsi="Cambria Math" w:cs="Tahoma"/>
                        </w:rPr>
                        <m:t>D</m:t>
                      </m:r>
                    </m:e>
                    <m:sub>
                      <m:r>
                        <m:rPr>
                          <m:sty m:val="p"/>
                        </m:rPr>
                        <w:rPr>
                          <w:rFonts w:ascii="Cambria Math" w:hAnsi="Cambria Math" w:cs="Tahoma"/>
                        </w:rPr>
                        <m:t>i,n</m:t>
                      </m:r>
                    </m:sub>
                  </m:sSub>
                  <m:r>
                    <m:rPr>
                      <m:sty m:val="p"/>
                    </m:rPr>
                    <w:rPr>
                      <w:rFonts w:ascii="Cambria Math" w:hAnsi="Cambria Math" w:cs="Tahoma"/>
                    </w:rPr>
                    <m:t>(</m:t>
                  </m:r>
                  <m:f>
                    <m:fPr>
                      <m:ctrlPr>
                        <w:rPr>
                          <w:rFonts w:ascii="Cambria Math" w:hAnsi="Cambria Math" w:cs="Tahoma"/>
                        </w:rPr>
                      </m:ctrlPr>
                    </m:fPr>
                    <m:num>
                      <m:sSub>
                        <m:sSubPr>
                          <m:ctrlPr>
                            <w:rPr>
                              <w:rFonts w:ascii="Cambria Math" w:hAnsi="Cambria Math" w:cs="Tahoma"/>
                              <w:lang w:val="en-US"/>
                            </w:rPr>
                          </m:ctrlPr>
                        </m:sSubPr>
                        <m:e>
                          <m:r>
                            <m:rPr>
                              <m:sty m:val="p"/>
                            </m:rPr>
                            <w:rPr>
                              <w:rFonts w:ascii="Cambria Math" w:hAnsi="Cambria Math" w:cs="Tahoma"/>
                              <w:lang w:val="en-US"/>
                            </w:rPr>
                            <m:t>P</m:t>
                          </m:r>
                        </m:e>
                        <m:sub>
                          <m:r>
                            <m:rPr>
                              <m:sty m:val="p"/>
                            </m:rPr>
                            <w:rPr>
                              <w:rFonts w:ascii="Cambria Math" w:hAnsi="Cambria Math" w:cs="Tahoma"/>
                              <w:lang w:val="en-US"/>
                            </w:rPr>
                            <m:t>i,n</m:t>
                          </m:r>
                        </m:sub>
                      </m:sSub>
                    </m:num>
                    <m:den>
                      <m:r>
                        <m:rPr>
                          <m:sty m:val="p"/>
                        </m:rPr>
                        <w:rPr>
                          <w:rFonts w:ascii="Cambria Math" w:hAnsi="Cambria Math" w:cs="Tahoma"/>
                        </w:rPr>
                        <m:t>100</m:t>
                      </m:r>
                    </m:den>
                  </m:f>
                  <m:r>
                    <m:rPr>
                      <m:sty m:val="p"/>
                    </m:rPr>
                    <w:rPr>
                      <w:rFonts w:ascii="Cambria Math" w:hAnsi="Cambria Math" w:cs="Tahoma"/>
                    </w:rPr>
                    <m:t>∙</m:t>
                  </m:r>
                  <m:sSub>
                    <m:sSubPr>
                      <m:ctrlPr>
                        <w:rPr>
                          <w:rFonts w:ascii="Cambria Math" w:hAnsi="Cambria Math" w:cs="Tahoma"/>
                          <w:lang w:val="en-US"/>
                        </w:rPr>
                      </m:ctrlPr>
                    </m:sSubPr>
                    <m:e>
                      <m:r>
                        <m:rPr>
                          <m:sty m:val="p"/>
                        </m:rPr>
                        <w:rPr>
                          <w:rFonts w:ascii="Cambria Math" w:hAnsi="Cambria Math" w:cs="Tahoma"/>
                          <w:lang w:val="en-US"/>
                        </w:rPr>
                        <m:t>FV</m:t>
                      </m:r>
                    </m:e>
                    <m:sub>
                      <m:r>
                        <m:rPr>
                          <m:sty m:val="p"/>
                        </m:rPr>
                        <w:rPr>
                          <w:rFonts w:ascii="Cambria Math" w:hAnsi="Cambria Math" w:cs="Tahoma"/>
                          <w:lang w:val="en-US"/>
                        </w:rPr>
                        <m:t>i,n</m:t>
                      </m:r>
                    </m:sub>
                  </m:sSub>
                  <m:r>
                    <m:rPr>
                      <m:sty m:val="p"/>
                    </m:rPr>
                    <w:rPr>
                      <w:rFonts w:ascii="Cambria Math" w:hAnsi="Cambria Math" w:cs="Tahoma"/>
                    </w:rPr>
                    <m:t>+</m:t>
                  </m:r>
                  <m:sSub>
                    <m:sSubPr>
                      <m:ctrlPr>
                        <w:rPr>
                          <w:rFonts w:ascii="Cambria Math" w:hAnsi="Cambria Math" w:cs="Tahoma"/>
                          <w:lang w:val="en-US"/>
                        </w:rPr>
                      </m:ctrlPr>
                    </m:sSubPr>
                    <m:e>
                      <m:r>
                        <m:rPr>
                          <m:sty m:val="p"/>
                        </m:rPr>
                        <w:rPr>
                          <w:rFonts w:ascii="Cambria Math" w:hAnsi="Cambria Math" w:cs="Tahoma"/>
                          <w:lang w:val="en-US"/>
                        </w:rPr>
                        <m:t>A</m:t>
                      </m:r>
                    </m:e>
                    <m:sub>
                      <m:r>
                        <m:rPr>
                          <m:sty m:val="p"/>
                        </m:rPr>
                        <w:rPr>
                          <w:rFonts w:ascii="Cambria Math" w:hAnsi="Cambria Math" w:cs="Tahoma"/>
                          <w:lang w:val="en-US"/>
                        </w:rPr>
                        <m:t>i,n</m:t>
                      </m:r>
                    </m:sub>
                  </m:sSub>
                  <m:r>
                    <m:rPr>
                      <m:sty m:val="p"/>
                    </m:rPr>
                    <w:rPr>
                      <w:rFonts w:ascii="Cambria Math" w:hAnsi="Cambria Math" w:cs="Tahoma"/>
                    </w:rPr>
                    <m:t>+</m:t>
                  </m:r>
                  <m:sSub>
                    <m:sSubPr>
                      <m:ctrlPr>
                        <w:rPr>
                          <w:rFonts w:ascii="Cambria Math" w:hAnsi="Cambria Math" w:cs="Tahoma"/>
                          <w:lang w:val="en-US"/>
                        </w:rPr>
                      </m:ctrlPr>
                    </m:sSubPr>
                    <m:e>
                      <m:r>
                        <m:rPr>
                          <m:sty m:val="p"/>
                        </m:rPr>
                        <w:rPr>
                          <w:rFonts w:ascii="Cambria Math" w:hAnsi="Cambria Math" w:cs="Tahoma"/>
                          <w:lang w:val="en-US"/>
                        </w:rPr>
                        <m:t>G</m:t>
                      </m:r>
                    </m:e>
                    <m:sub>
                      <m:r>
                        <m:rPr>
                          <m:sty m:val="p"/>
                        </m:rPr>
                        <w:rPr>
                          <w:rFonts w:ascii="Cambria Math" w:hAnsi="Cambria Math" w:cs="Tahoma"/>
                          <w:lang w:val="en-US"/>
                        </w:rPr>
                        <m:t>i,n</m:t>
                      </m:r>
                    </m:sub>
                  </m:sSub>
                  <m:r>
                    <m:rPr>
                      <m:sty m:val="p"/>
                    </m:rPr>
                    <w:rPr>
                      <w:rFonts w:ascii="Cambria Math" w:hAnsi="Cambria Math" w:cs="Tahoma"/>
                    </w:rPr>
                    <m:t xml:space="preserve">)∙ </m:t>
                  </m:r>
                  <m:sSub>
                    <m:sSubPr>
                      <m:ctrlPr>
                        <w:rPr>
                          <w:rFonts w:ascii="Cambria Math" w:hAnsi="Cambria Math" w:cs="Tahoma"/>
                          <w:lang w:val="en-US"/>
                        </w:rPr>
                      </m:ctrlPr>
                    </m:sSubPr>
                    <m:e>
                      <m:r>
                        <m:rPr>
                          <m:sty m:val="p"/>
                        </m:rPr>
                        <w:rPr>
                          <w:rFonts w:ascii="Cambria Math" w:hAnsi="Cambria Math" w:cs="Tahoma"/>
                          <w:lang w:val="en-US"/>
                        </w:rPr>
                        <m:t>N</m:t>
                      </m:r>
                    </m:e>
                    <m:sub>
                      <m:r>
                        <m:rPr>
                          <m:sty m:val="p"/>
                        </m:rPr>
                        <w:rPr>
                          <w:rFonts w:ascii="Cambria Math" w:hAnsi="Cambria Math" w:cs="Tahoma"/>
                          <w:lang w:val="en-US"/>
                        </w:rPr>
                        <m:t>i,n</m:t>
                      </m:r>
                    </m:sub>
                  </m:sSub>
                  <m:r>
                    <m:rPr>
                      <m:sty m:val="p"/>
                    </m:rPr>
                    <w:rPr>
                      <w:rFonts w:ascii="Cambria Math" w:hAnsi="Cambria Math" w:cs="Tahoma"/>
                    </w:rPr>
                    <m:t xml:space="preserve">∙ </m:t>
                  </m:r>
                  <m:sSub>
                    <m:sSubPr>
                      <m:ctrlPr>
                        <w:rPr>
                          <w:rFonts w:ascii="Cambria Math" w:hAnsi="Cambria Math" w:cs="Tahoma"/>
                          <w:lang w:val="en-US"/>
                        </w:rPr>
                      </m:ctrlPr>
                    </m:sSubPr>
                    <m:e>
                      <m:r>
                        <m:rPr>
                          <m:sty m:val="p"/>
                        </m:rPr>
                        <w:rPr>
                          <w:rFonts w:ascii="Cambria Math" w:hAnsi="Cambria Math" w:cs="Tahoma"/>
                          <w:lang w:val="en-US"/>
                        </w:rPr>
                        <m:t>W</m:t>
                      </m:r>
                    </m:e>
                    <m:sub>
                      <m:r>
                        <m:rPr>
                          <m:sty m:val="p"/>
                        </m:rPr>
                        <w:rPr>
                          <w:rFonts w:ascii="Cambria Math" w:hAnsi="Cambria Math" w:cs="Tahoma"/>
                          <w:lang w:val="en-US"/>
                        </w:rPr>
                        <m:t>i,n</m:t>
                      </m:r>
                    </m:sub>
                  </m:sSub>
                  <m:r>
                    <m:rPr>
                      <m:sty m:val="p"/>
                    </m:rPr>
                    <w:rPr>
                      <w:rFonts w:ascii="Cambria Math" w:hAnsi="Cambria Math" w:cs="Tahoma"/>
                    </w:rPr>
                    <m:t>,</m:t>
                  </m:r>
                </m:e>
              </m:nary>
            </m:num>
            <m:den>
              <m:nary>
                <m:naryPr>
                  <m:chr m:val="∑"/>
                  <m:limLoc m:val="undOvr"/>
                  <m:ctrlPr>
                    <w:rPr>
                      <w:rFonts w:ascii="Cambria Math" w:hAnsi="Cambria Math" w:cs="Tahoma"/>
                    </w:rPr>
                  </m:ctrlPr>
                </m:naryPr>
                <m:sub>
                  <m:r>
                    <m:rPr>
                      <m:sty m:val="p"/>
                    </m:rPr>
                    <w:rPr>
                      <w:rFonts w:ascii="Cambria Math" w:hAnsi="Cambria Math" w:cs="Tahoma"/>
                    </w:rPr>
                    <m:t>i=1</m:t>
                  </m:r>
                </m:sub>
                <m:sup>
                  <m:r>
                    <m:rPr>
                      <m:sty m:val="p"/>
                    </m:rPr>
                    <w:rPr>
                      <w:rFonts w:ascii="Cambria Math" w:hAnsi="Cambria Math" w:cs="Tahoma"/>
                    </w:rPr>
                    <m:t>N</m:t>
                  </m:r>
                </m:sup>
                <m:e>
                  <m:r>
                    <m:rPr>
                      <m:sty m:val="p"/>
                    </m:rPr>
                    <w:rPr>
                      <w:rFonts w:ascii="Cambria Math" w:hAnsi="Cambria Math" w:cs="Tahoma"/>
                    </w:rPr>
                    <m:t>(</m:t>
                  </m:r>
                  <m:f>
                    <m:fPr>
                      <m:ctrlPr>
                        <w:rPr>
                          <w:rFonts w:ascii="Cambria Math" w:hAnsi="Cambria Math" w:cs="Tahoma"/>
                        </w:rPr>
                      </m:ctrlPr>
                    </m:fPr>
                    <m:num>
                      <m:sSub>
                        <m:sSubPr>
                          <m:ctrlPr>
                            <w:rPr>
                              <w:rFonts w:ascii="Cambria Math" w:hAnsi="Cambria Math" w:cs="Tahoma"/>
                              <w:lang w:val="en-US"/>
                            </w:rPr>
                          </m:ctrlPr>
                        </m:sSubPr>
                        <m:e>
                          <m:r>
                            <m:rPr>
                              <m:sty m:val="p"/>
                            </m:rPr>
                            <w:rPr>
                              <w:rFonts w:ascii="Cambria Math" w:hAnsi="Cambria Math" w:cs="Tahoma"/>
                              <w:lang w:val="en-US"/>
                            </w:rPr>
                            <m:t>P</m:t>
                          </m:r>
                        </m:e>
                        <m:sub>
                          <m:r>
                            <m:rPr>
                              <m:sty m:val="p"/>
                            </m:rPr>
                            <w:rPr>
                              <w:rFonts w:ascii="Cambria Math" w:hAnsi="Cambria Math" w:cs="Tahoma"/>
                              <w:lang w:val="en-US"/>
                            </w:rPr>
                            <m:t>i,n</m:t>
                          </m:r>
                        </m:sub>
                      </m:sSub>
                    </m:num>
                    <m:den>
                      <m:r>
                        <m:rPr>
                          <m:sty m:val="p"/>
                        </m:rPr>
                        <w:rPr>
                          <w:rFonts w:ascii="Cambria Math" w:hAnsi="Cambria Math" w:cs="Tahoma"/>
                        </w:rPr>
                        <m:t>100</m:t>
                      </m:r>
                    </m:den>
                  </m:f>
                  <m:r>
                    <m:rPr>
                      <m:sty m:val="p"/>
                    </m:rPr>
                    <w:rPr>
                      <w:rFonts w:ascii="Cambria Math" w:hAnsi="Cambria Math" w:cs="Tahoma"/>
                    </w:rPr>
                    <m:t>∙</m:t>
                  </m:r>
                  <m:sSub>
                    <m:sSubPr>
                      <m:ctrlPr>
                        <w:rPr>
                          <w:rFonts w:ascii="Cambria Math" w:hAnsi="Cambria Math" w:cs="Tahoma"/>
                          <w:lang w:val="en-US"/>
                        </w:rPr>
                      </m:ctrlPr>
                    </m:sSubPr>
                    <m:e>
                      <m:r>
                        <m:rPr>
                          <m:sty m:val="p"/>
                        </m:rPr>
                        <w:rPr>
                          <w:rFonts w:ascii="Cambria Math" w:hAnsi="Cambria Math" w:cs="Tahoma"/>
                          <w:lang w:val="en-US"/>
                        </w:rPr>
                        <m:t>FV</m:t>
                      </m:r>
                    </m:e>
                    <m:sub>
                      <m:r>
                        <m:rPr>
                          <m:sty m:val="p"/>
                        </m:rPr>
                        <w:rPr>
                          <w:rFonts w:ascii="Cambria Math" w:hAnsi="Cambria Math" w:cs="Tahoma"/>
                          <w:lang w:val="en-US"/>
                        </w:rPr>
                        <m:t>i,n</m:t>
                      </m:r>
                    </m:sub>
                  </m:sSub>
                  <m:r>
                    <m:rPr>
                      <m:sty m:val="p"/>
                    </m:rPr>
                    <w:rPr>
                      <w:rFonts w:ascii="Cambria Math" w:hAnsi="Cambria Math" w:cs="Tahoma"/>
                    </w:rPr>
                    <m:t>+</m:t>
                  </m:r>
                  <m:sSub>
                    <m:sSubPr>
                      <m:ctrlPr>
                        <w:rPr>
                          <w:rFonts w:ascii="Cambria Math" w:hAnsi="Cambria Math" w:cs="Tahoma"/>
                          <w:lang w:val="en-US"/>
                        </w:rPr>
                      </m:ctrlPr>
                    </m:sSubPr>
                    <m:e>
                      <m:r>
                        <m:rPr>
                          <m:sty m:val="p"/>
                        </m:rPr>
                        <w:rPr>
                          <w:rFonts w:ascii="Cambria Math" w:hAnsi="Cambria Math" w:cs="Tahoma"/>
                          <w:lang w:val="en-US"/>
                        </w:rPr>
                        <m:t>A</m:t>
                      </m:r>
                    </m:e>
                    <m:sub>
                      <m:r>
                        <m:rPr>
                          <m:sty m:val="p"/>
                        </m:rPr>
                        <w:rPr>
                          <w:rFonts w:ascii="Cambria Math" w:hAnsi="Cambria Math" w:cs="Tahoma"/>
                          <w:lang w:val="en-US"/>
                        </w:rPr>
                        <m:t>i,n</m:t>
                      </m:r>
                    </m:sub>
                  </m:sSub>
                  <m:r>
                    <m:rPr>
                      <m:sty m:val="p"/>
                    </m:rPr>
                    <w:rPr>
                      <w:rFonts w:ascii="Cambria Math" w:hAnsi="Cambria Math" w:cs="Tahoma"/>
                    </w:rPr>
                    <m:t xml:space="preserve">)∙ </m:t>
                  </m:r>
                  <m:sSub>
                    <m:sSubPr>
                      <m:ctrlPr>
                        <w:rPr>
                          <w:rFonts w:ascii="Cambria Math" w:hAnsi="Cambria Math" w:cs="Tahoma"/>
                          <w:lang w:val="en-US"/>
                        </w:rPr>
                      </m:ctrlPr>
                    </m:sSubPr>
                    <m:e>
                      <m:r>
                        <m:rPr>
                          <m:sty m:val="p"/>
                        </m:rPr>
                        <w:rPr>
                          <w:rFonts w:ascii="Cambria Math" w:hAnsi="Cambria Math" w:cs="Tahoma"/>
                          <w:lang w:val="en-US"/>
                        </w:rPr>
                        <m:t>N</m:t>
                      </m:r>
                    </m:e>
                    <m:sub>
                      <m:r>
                        <m:rPr>
                          <m:sty m:val="p"/>
                        </m:rPr>
                        <w:rPr>
                          <w:rFonts w:ascii="Cambria Math" w:hAnsi="Cambria Math" w:cs="Tahoma"/>
                          <w:lang w:val="en-US"/>
                        </w:rPr>
                        <m:t>i,n</m:t>
                      </m:r>
                    </m:sub>
                  </m:sSub>
                  <m:r>
                    <m:rPr>
                      <m:sty m:val="p"/>
                    </m:rPr>
                    <w:rPr>
                      <w:rFonts w:ascii="Cambria Math" w:hAnsi="Cambria Math" w:cs="Tahoma"/>
                    </w:rPr>
                    <m:t xml:space="preserve">,∙ </m:t>
                  </m:r>
                  <m:sSub>
                    <m:sSubPr>
                      <m:ctrlPr>
                        <w:rPr>
                          <w:rFonts w:ascii="Cambria Math" w:hAnsi="Cambria Math" w:cs="Tahoma"/>
                          <w:lang w:val="en-US"/>
                        </w:rPr>
                      </m:ctrlPr>
                    </m:sSubPr>
                    <m:e>
                      <m:r>
                        <m:rPr>
                          <m:sty m:val="p"/>
                        </m:rPr>
                        <w:rPr>
                          <w:rFonts w:ascii="Cambria Math" w:hAnsi="Cambria Math" w:cs="Tahoma"/>
                          <w:lang w:val="en-US"/>
                        </w:rPr>
                        <m:t>W</m:t>
                      </m:r>
                    </m:e>
                    <m:sub>
                      <m:r>
                        <m:rPr>
                          <m:sty m:val="p"/>
                        </m:rPr>
                        <w:rPr>
                          <w:rFonts w:ascii="Cambria Math" w:hAnsi="Cambria Math" w:cs="Tahoma"/>
                          <w:lang w:val="en-US"/>
                        </w:rPr>
                        <m:t>i,n</m:t>
                      </m:r>
                    </m:sub>
                  </m:sSub>
                </m:e>
              </m:nary>
            </m:den>
          </m:f>
        </m:oMath>
      </m:oMathPara>
    </w:p>
    <w:p w14:paraId="0EEBAE36" w14:textId="77777777" w:rsidR="00C002AF" w:rsidRPr="00D36EFF" w:rsidRDefault="00C002AF" w:rsidP="00C002AF">
      <w:pPr>
        <w:pStyle w:val="af7"/>
        <w:rPr>
          <w:rFonts w:cs="Tahoma"/>
        </w:rPr>
      </w:pPr>
      <w:r>
        <w:t>where:</w:t>
      </w:r>
    </w:p>
    <w:p w14:paraId="02870033" w14:textId="77777777" w:rsidR="00C002AF" w:rsidRPr="00D36EFF" w:rsidRDefault="000230F8" w:rsidP="00C002AF">
      <w:pPr>
        <w:pStyle w:val="af7"/>
        <w:rPr>
          <w:rFonts w:cs="Tahoma"/>
        </w:rPr>
      </w:pPr>
      <w:r>
        <w:t>D</w:t>
      </w:r>
      <w:r>
        <w:rPr>
          <w:vertAlign w:val="subscript"/>
        </w:rPr>
        <w:t>n</w:t>
      </w:r>
      <w:r>
        <w:t xml:space="preserve"> – the Weighted Average Duration at time n.</w:t>
      </w:r>
    </w:p>
    <w:p w14:paraId="101F48F2" w14:textId="77777777" w:rsidR="0034552C" w:rsidRPr="00D36EFF" w:rsidRDefault="000230F8" w:rsidP="0034552C">
      <w:pPr>
        <w:pStyle w:val="af7"/>
        <w:rPr>
          <w:rFonts w:cs="Tahoma"/>
        </w:rPr>
      </w:pPr>
      <w:r>
        <w:t>D</w:t>
      </w:r>
      <w:r>
        <w:rPr>
          <w:vertAlign w:val="subscript"/>
        </w:rPr>
        <w:t>i,n</w:t>
      </w:r>
      <w:r>
        <w:t xml:space="preserve"> – the Duration of the i-th Bond issue calculated at time n, in days.</w:t>
      </w:r>
    </w:p>
    <w:p w14:paraId="1B3E2A09" w14:textId="77777777" w:rsidR="00C002AF" w:rsidRPr="00D36EFF" w:rsidRDefault="00C002AF" w:rsidP="00C002AF">
      <w:pPr>
        <w:pStyle w:val="af7"/>
        <w:rPr>
          <w:rFonts w:cs="Tahoma"/>
        </w:rPr>
      </w:pPr>
      <w:r>
        <w:t>P</w:t>
      </w:r>
      <w:r>
        <w:rPr>
          <w:vertAlign w:val="subscript"/>
        </w:rPr>
        <w:t>i,n</w:t>
      </w:r>
      <w:r>
        <w:t xml:space="preserve"> – the average weighted price of the i-th Bond issue calculated at time n, in per cent of the par value.</w:t>
      </w:r>
    </w:p>
    <w:p w14:paraId="3ADF55A4" w14:textId="77777777" w:rsidR="00C002AF" w:rsidRPr="00D36EFF" w:rsidRDefault="00C002AF" w:rsidP="00C002AF">
      <w:pPr>
        <w:pStyle w:val="af7"/>
        <w:rPr>
          <w:rFonts w:cs="Tahoma"/>
        </w:rPr>
      </w:pPr>
      <w:r>
        <w:t>FV</w:t>
      </w:r>
      <w:r>
        <w:rPr>
          <w:vertAlign w:val="subscript"/>
        </w:rPr>
        <w:t>i,n</w:t>
      </w:r>
      <w:r>
        <w:t xml:space="preserve"> – the average par value of the i-th Bond issue calculated at time n, in RUB.</w:t>
      </w:r>
    </w:p>
    <w:p w14:paraId="24E53B2A" w14:textId="77777777" w:rsidR="00C002AF" w:rsidRPr="00D36EFF" w:rsidRDefault="00C002AF" w:rsidP="00C002AF">
      <w:pPr>
        <w:pStyle w:val="af7"/>
        <w:rPr>
          <w:rFonts w:cs="Tahoma"/>
        </w:rPr>
      </w:pPr>
      <w:r>
        <w:t>A</w:t>
      </w:r>
      <w:r>
        <w:rPr>
          <w:vertAlign w:val="subscript"/>
        </w:rPr>
        <w:t>i,n</w:t>
      </w:r>
      <w:r>
        <w:t xml:space="preserve"> – the Accumulated Coupon Income of the Bond calculated at time n, in RUB.</w:t>
      </w:r>
    </w:p>
    <w:p w14:paraId="091B71C9" w14:textId="77777777" w:rsidR="00C002AF" w:rsidRPr="00D36EFF" w:rsidRDefault="00C002AF" w:rsidP="00C002AF">
      <w:pPr>
        <w:pStyle w:val="af7"/>
        <w:rPr>
          <w:rFonts w:cs="Tahoma"/>
        </w:rPr>
      </w:pPr>
      <w:r>
        <w:t>G</w:t>
      </w:r>
      <w:r>
        <w:rPr>
          <w:vertAlign w:val="subscript"/>
        </w:rPr>
        <w:t>i,n</w:t>
      </w:r>
      <w:r>
        <w:t xml:space="preserve"> – the Coupon Income paid on the day n for the i-th Bond issue at time n, in RUB.</w:t>
      </w:r>
    </w:p>
    <w:p w14:paraId="7CE8CFFB" w14:textId="77777777" w:rsidR="00C002AF" w:rsidRPr="00DB37F7" w:rsidRDefault="00C002AF" w:rsidP="00C002AF">
      <w:pPr>
        <w:pStyle w:val="af7"/>
        <w:rPr>
          <w:rFonts w:cs="Tahoma"/>
        </w:rPr>
      </w:pPr>
      <w:r>
        <w:t>N</w:t>
      </w:r>
      <w:r>
        <w:rPr>
          <w:vertAlign w:val="subscript"/>
        </w:rPr>
        <w:t>i,n</w:t>
      </w:r>
      <w:r>
        <w:t xml:space="preserve"> – the volume of i-th Bond issue at time n, in securities units;</w:t>
      </w:r>
    </w:p>
    <w:p w14:paraId="0A7FD795" w14:textId="77777777" w:rsidR="00C002AF" w:rsidRPr="00D36EFF" w:rsidRDefault="00C002AF" w:rsidP="00C002AF">
      <w:pPr>
        <w:pStyle w:val="af7"/>
        <w:rPr>
          <w:rFonts w:cs="Tahoma"/>
        </w:rPr>
      </w:pPr>
      <w:r>
        <w:t>W</w:t>
      </w:r>
      <w:r>
        <w:rPr>
          <w:vertAlign w:val="subscript"/>
        </w:rPr>
        <w:t>i,n</w:t>
      </w:r>
      <w:r>
        <w:t xml:space="preserve"> – the coefficient limiting the share of capitalisation of the i-th Bond Issuer (“Weighting Factor”) is equal to 1, unless otherwise is provided in section 5 hereof.</w:t>
      </w:r>
    </w:p>
    <w:p w14:paraId="657E2B4B" w14:textId="77777777" w:rsidR="004777D8" w:rsidRPr="00D36EFF" w:rsidRDefault="004777D8" w:rsidP="002A6306">
      <w:pPr>
        <w:numPr>
          <w:ilvl w:val="3"/>
          <w:numId w:val="1"/>
        </w:numPr>
        <w:jc w:val="both"/>
        <w:rPr>
          <w:rStyle w:val="af3"/>
          <w:rFonts w:ascii="Tahoma" w:hAnsi="Tahoma" w:cs="Tahoma"/>
        </w:rPr>
      </w:pPr>
      <w:r>
        <w:rPr>
          <w:rStyle w:val="af3"/>
          <w:rFonts w:ascii="Tahoma" w:hAnsi="Tahoma"/>
        </w:rPr>
        <w:t>The Weighted Average Return is calculated as follows:</w:t>
      </w:r>
    </w:p>
    <w:p w14:paraId="344FD6FB" w14:textId="77777777" w:rsidR="0083221C" w:rsidRPr="00D36EFF" w:rsidRDefault="0083221C" w:rsidP="0083221C">
      <w:pPr>
        <w:jc w:val="both"/>
        <w:rPr>
          <w:rStyle w:val="af3"/>
          <w:rFonts w:ascii="Tahoma" w:hAnsi="Tahoma" w:cs="Tahoma"/>
        </w:rPr>
      </w:pPr>
    </w:p>
    <w:p w14:paraId="75F722E3" w14:textId="77777777" w:rsidR="0034552C" w:rsidRPr="00D36EFF" w:rsidRDefault="00546B05" w:rsidP="0034552C">
      <w:pPr>
        <w:jc w:val="center"/>
        <w:rPr>
          <w:rFonts w:ascii="Tahoma" w:hAnsi="Tahoma" w:cs="Tahoma"/>
          <w:sz w:val="20"/>
          <w:szCs w:val="20"/>
        </w:rPr>
      </w:pPr>
      <m:oMathPara>
        <m:oMath>
          <m:sSub>
            <m:sSubPr>
              <m:ctrlPr>
                <w:rPr>
                  <w:rFonts w:ascii="Cambria Math" w:hAnsi="Cambria Math" w:cs="Tahoma"/>
                  <w:sz w:val="20"/>
                  <w:szCs w:val="20"/>
                  <w:lang w:val="en-US"/>
                </w:rPr>
              </m:ctrlPr>
            </m:sSubPr>
            <m:e>
              <m:r>
                <m:rPr>
                  <m:sty m:val="p"/>
                </m:rPr>
                <w:rPr>
                  <w:rFonts w:ascii="Cambria Math" w:hAnsi="Cambria Math" w:cs="Tahoma"/>
                  <w:sz w:val="20"/>
                  <w:szCs w:val="20"/>
                  <w:lang w:val="en-US"/>
                </w:rPr>
                <m:t>Y</m:t>
              </m:r>
            </m:e>
            <m:sub>
              <m:r>
                <m:rPr>
                  <m:sty m:val="p"/>
                </m:rPr>
                <w:rPr>
                  <w:rFonts w:ascii="Cambria Math" w:hAnsi="Cambria Math" w:cs="Tahoma"/>
                  <w:sz w:val="20"/>
                  <w:szCs w:val="20"/>
                  <w:lang w:val="en-US"/>
                </w:rPr>
                <m:t>n</m:t>
              </m:r>
            </m:sub>
          </m:sSub>
          <m:r>
            <m:rPr>
              <m:sty m:val="p"/>
            </m:rPr>
            <w:rPr>
              <w:rFonts w:ascii="Cambria Math" w:hAnsi="Cambria Math" w:cs="Tahoma"/>
              <w:sz w:val="20"/>
              <w:szCs w:val="20"/>
            </w:rPr>
            <m:t>=</m:t>
          </m:r>
          <m:f>
            <m:fPr>
              <m:ctrlPr>
                <w:rPr>
                  <w:rFonts w:ascii="Cambria Math" w:hAnsi="Cambria Math" w:cs="Tahoma"/>
                  <w:sz w:val="20"/>
                  <w:szCs w:val="20"/>
                </w:rPr>
              </m:ctrlPr>
            </m:fPr>
            <m:num>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sSub>
                    <m:sSubPr>
                      <m:ctrlPr>
                        <w:rPr>
                          <w:rFonts w:ascii="Cambria Math" w:hAnsi="Cambria Math" w:cs="Tahoma"/>
                          <w:sz w:val="20"/>
                          <w:szCs w:val="20"/>
                        </w:rPr>
                      </m:ctrlPr>
                    </m:sSubPr>
                    <m:e>
                      <m:r>
                        <m:rPr>
                          <m:sty m:val="p"/>
                        </m:rPr>
                        <w:rPr>
                          <w:rFonts w:ascii="Cambria Math" w:hAnsi="Cambria Math" w:cs="Tahoma"/>
                          <w:sz w:val="20"/>
                          <w:szCs w:val="20"/>
                        </w:rPr>
                        <m:t>Y</m:t>
                      </m:r>
                    </m:e>
                    <m:sub>
                      <m:r>
                        <m:rPr>
                          <m:sty m:val="p"/>
                        </m:rPr>
                        <w:rPr>
                          <w:rFonts w:ascii="Cambria Math" w:hAnsi="Cambria Math" w:cs="Tahoma"/>
                          <w:sz w:val="20"/>
                          <w:szCs w:val="20"/>
                        </w:rPr>
                        <m:t>i,n</m:t>
                      </m:r>
                    </m:sub>
                  </m:sSub>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G</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e>
              </m:nary>
            </m:num>
            <m:den>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e>
              </m:nary>
            </m:den>
          </m:f>
        </m:oMath>
      </m:oMathPara>
    </w:p>
    <w:p w14:paraId="25025826" w14:textId="77777777" w:rsidR="0034552C" w:rsidRPr="00D36EFF" w:rsidRDefault="0034552C" w:rsidP="002370C4">
      <w:pPr>
        <w:ind w:left="1416"/>
        <w:jc w:val="both"/>
        <w:rPr>
          <w:rFonts w:ascii="Tahoma" w:hAnsi="Tahoma" w:cs="Tahoma"/>
          <w:sz w:val="20"/>
          <w:szCs w:val="20"/>
        </w:rPr>
      </w:pPr>
      <w:r>
        <w:rPr>
          <w:rFonts w:ascii="Tahoma" w:hAnsi="Tahoma"/>
          <w:sz w:val="20"/>
        </w:rPr>
        <w:t>where:</w:t>
      </w:r>
    </w:p>
    <w:p w14:paraId="65FC830B" w14:textId="77777777" w:rsidR="0034552C" w:rsidRPr="00D36EFF" w:rsidRDefault="000230F8" w:rsidP="00401EAF">
      <w:pPr>
        <w:ind w:left="1416"/>
        <w:jc w:val="both"/>
        <w:rPr>
          <w:rFonts w:ascii="Tahoma" w:hAnsi="Tahoma" w:cs="Tahoma"/>
          <w:sz w:val="20"/>
          <w:szCs w:val="20"/>
        </w:rPr>
      </w:pPr>
      <w:r>
        <w:rPr>
          <w:rFonts w:ascii="Tahoma" w:hAnsi="Tahoma"/>
          <w:sz w:val="20"/>
        </w:rPr>
        <w:t xml:space="preserve">Y </w:t>
      </w:r>
      <w:r>
        <w:rPr>
          <w:rFonts w:ascii="Tahoma" w:hAnsi="Tahoma"/>
          <w:sz w:val="20"/>
          <w:vertAlign w:val="subscript"/>
        </w:rPr>
        <w:t>n</w:t>
      </w:r>
      <w:r>
        <w:rPr>
          <w:rFonts w:ascii="Tahoma" w:hAnsi="Tahoma"/>
          <w:sz w:val="20"/>
        </w:rPr>
        <w:t xml:space="preserve"> – the Weighted Average Return at time n.</w:t>
      </w:r>
    </w:p>
    <w:p w14:paraId="233C23A6" w14:textId="77777777" w:rsidR="000230F8" w:rsidRPr="00D36EFF" w:rsidRDefault="000230F8" w:rsidP="000230F8">
      <w:pPr>
        <w:ind w:left="1416"/>
        <w:jc w:val="both"/>
        <w:rPr>
          <w:rFonts w:ascii="Tahoma" w:hAnsi="Tahoma" w:cs="Tahoma"/>
          <w:sz w:val="20"/>
          <w:szCs w:val="20"/>
        </w:rPr>
      </w:pPr>
      <w:r>
        <w:rPr>
          <w:rFonts w:ascii="Tahoma" w:hAnsi="Tahoma"/>
          <w:sz w:val="20"/>
        </w:rPr>
        <w:t>Yi,n – the Return of the i-th Bond issue calculated at time n in days.</w:t>
      </w:r>
    </w:p>
    <w:p w14:paraId="55306B4C" w14:textId="77777777" w:rsidR="0034552C" w:rsidRPr="00D36EFF" w:rsidRDefault="0034552C" w:rsidP="00401EAF">
      <w:pPr>
        <w:ind w:left="1416"/>
        <w:jc w:val="both"/>
        <w:rPr>
          <w:rFonts w:ascii="Tahoma" w:hAnsi="Tahoma" w:cs="Tahoma"/>
          <w:sz w:val="20"/>
          <w:szCs w:val="20"/>
        </w:rPr>
      </w:pPr>
      <w:r>
        <w:rPr>
          <w:rFonts w:ascii="Tahoma" w:hAnsi="Tahoma"/>
          <w:sz w:val="20"/>
        </w:rPr>
        <w:t>P</w:t>
      </w:r>
      <w:r>
        <w:rPr>
          <w:rFonts w:ascii="Tahoma" w:hAnsi="Tahoma"/>
          <w:sz w:val="20"/>
          <w:vertAlign w:val="subscript"/>
        </w:rPr>
        <w:t>i,n</w:t>
      </w:r>
      <w:r>
        <w:rPr>
          <w:rFonts w:ascii="Tahoma" w:hAnsi="Tahoma"/>
          <w:sz w:val="20"/>
        </w:rPr>
        <w:t xml:space="preserve"> – the average weighted price of the i-th Bond issue calculated at time n, in per cent of the par value.</w:t>
      </w:r>
    </w:p>
    <w:p w14:paraId="3D913433" w14:textId="77777777" w:rsidR="0034552C" w:rsidRPr="00D36EFF" w:rsidRDefault="0034552C" w:rsidP="00401EAF">
      <w:pPr>
        <w:ind w:left="1416"/>
        <w:jc w:val="both"/>
        <w:rPr>
          <w:rFonts w:ascii="Tahoma" w:hAnsi="Tahoma" w:cs="Tahoma"/>
          <w:sz w:val="20"/>
          <w:szCs w:val="20"/>
        </w:rPr>
      </w:pPr>
      <w:r>
        <w:rPr>
          <w:rFonts w:ascii="Tahoma" w:hAnsi="Tahoma"/>
          <w:sz w:val="20"/>
        </w:rPr>
        <w:t>FV</w:t>
      </w:r>
      <w:r>
        <w:rPr>
          <w:rFonts w:ascii="Tahoma" w:hAnsi="Tahoma"/>
          <w:sz w:val="20"/>
          <w:vertAlign w:val="subscript"/>
        </w:rPr>
        <w:t>i,n</w:t>
      </w:r>
      <w:r>
        <w:rPr>
          <w:rFonts w:ascii="Tahoma" w:hAnsi="Tahoma"/>
          <w:sz w:val="20"/>
        </w:rPr>
        <w:t xml:space="preserve"> – the average par value of the i-th Bond issue calculated at time n, in RUB.</w:t>
      </w:r>
    </w:p>
    <w:p w14:paraId="068C7075" w14:textId="77777777" w:rsidR="0034552C" w:rsidRPr="00D36EFF" w:rsidRDefault="0034552C" w:rsidP="00401EAF">
      <w:pPr>
        <w:ind w:left="1416"/>
        <w:jc w:val="both"/>
        <w:rPr>
          <w:rFonts w:ascii="Tahoma" w:hAnsi="Tahoma" w:cs="Tahoma"/>
          <w:sz w:val="20"/>
          <w:szCs w:val="20"/>
        </w:rPr>
      </w:pPr>
      <w:r>
        <w:rPr>
          <w:rFonts w:ascii="Tahoma" w:hAnsi="Tahoma"/>
          <w:sz w:val="20"/>
        </w:rPr>
        <w:t>A</w:t>
      </w:r>
      <w:r>
        <w:rPr>
          <w:rFonts w:ascii="Tahoma" w:hAnsi="Tahoma"/>
          <w:sz w:val="20"/>
          <w:vertAlign w:val="subscript"/>
        </w:rPr>
        <w:t>i,n</w:t>
      </w:r>
      <w:r>
        <w:rPr>
          <w:rFonts w:ascii="Tahoma" w:hAnsi="Tahoma"/>
          <w:sz w:val="20"/>
        </w:rPr>
        <w:t xml:space="preserve"> – the Accumulated Coupon Income of the Bond calculated at time n, in RUB.</w:t>
      </w:r>
    </w:p>
    <w:p w14:paraId="54C2E982" w14:textId="77777777" w:rsidR="0034552C" w:rsidRPr="00D36EFF" w:rsidRDefault="0034552C" w:rsidP="00401EAF">
      <w:pPr>
        <w:ind w:left="1416"/>
        <w:jc w:val="both"/>
        <w:rPr>
          <w:rFonts w:ascii="Tahoma" w:hAnsi="Tahoma" w:cs="Tahoma"/>
          <w:sz w:val="20"/>
          <w:szCs w:val="20"/>
        </w:rPr>
      </w:pPr>
      <w:r>
        <w:rPr>
          <w:rFonts w:ascii="Tahoma" w:hAnsi="Tahoma"/>
          <w:sz w:val="20"/>
        </w:rPr>
        <w:t>G</w:t>
      </w:r>
      <w:r>
        <w:rPr>
          <w:rFonts w:ascii="Tahoma" w:hAnsi="Tahoma"/>
          <w:sz w:val="20"/>
          <w:vertAlign w:val="subscript"/>
        </w:rPr>
        <w:t>i,n</w:t>
      </w:r>
      <w:r>
        <w:rPr>
          <w:rFonts w:ascii="Tahoma" w:hAnsi="Tahoma"/>
          <w:sz w:val="20"/>
        </w:rPr>
        <w:t xml:space="preserve"> – the Coupon Income paid on the day n for the i-th Bond issue at time n, in RUB.</w:t>
      </w:r>
    </w:p>
    <w:p w14:paraId="5484F21F" w14:textId="77777777" w:rsidR="0034552C" w:rsidRPr="00D36EFF" w:rsidRDefault="0034552C" w:rsidP="00401EAF">
      <w:pPr>
        <w:ind w:left="1416"/>
        <w:jc w:val="both"/>
        <w:rPr>
          <w:rFonts w:ascii="Tahoma" w:hAnsi="Tahoma" w:cs="Tahoma"/>
          <w:sz w:val="20"/>
          <w:szCs w:val="20"/>
        </w:rPr>
      </w:pPr>
      <w:r>
        <w:rPr>
          <w:rFonts w:ascii="Tahoma" w:hAnsi="Tahoma"/>
          <w:sz w:val="20"/>
        </w:rPr>
        <w:t>N</w:t>
      </w:r>
      <w:r>
        <w:rPr>
          <w:rFonts w:ascii="Tahoma" w:hAnsi="Tahoma"/>
          <w:sz w:val="20"/>
          <w:vertAlign w:val="subscript"/>
        </w:rPr>
        <w:t>i,n</w:t>
      </w:r>
      <w:r>
        <w:rPr>
          <w:rFonts w:ascii="Tahoma" w:hAnsi="Tahoma"/>
          <w:sz w:val="20"/>
        </w:rPr>
        <w:t xml:space="preserve"> – the volume of i-th Bond issue at time n, in securities units;</w:t>
      </w:r>
    </w:p>
    <w:p w14:paraId="0B497D8F" w14:textId="77777777" w:rsidR="0034552C" w:rsidRPr="00D36EFF" w:rsidRDefault="0034552C" w:rsidP="00401EAF">
      <w:pPr>
        <w:ind w:left="1416"/>
        <w:jc w:val="both"/>
        <w:rPr>
          <w:rFonts w:ascii="Tahoma" w:hAnsi="Tahoma" w:cs="Tahoma"/>
          <w:sz w:val="20"/>
          <w:szCs w:val="20"/>
        </w:rPr>
      </w:pPr>
      <w:r>
        <w:rPr>
          <w:rFonts w:ascii="Tahoma" w:hAnsi="Tahoma"/>
          <w:sz w:val="20"/>
        </w:rPr>
        <w:t>W</w:t>
      </w:r>
      <w:r>
        <w:rPr>
          <w:rFonts w:ascii="Tahoma" w:hAnsi="Tahoma"/>
          <w:sz w:val="20"/>
          <w:vertAlign w:val="subscript"/>
        </w:rPr>
        <w:t>i,n</w:t>
      </w:r>
      <w:r>
        <w:rPr>
          <w:rFonts w:ascii="Tahoma" w:hAnsi="Tahoma"/>
          <w:sz w:val="20"/>
        </w:rPr>
        <w:t xml:space="preserve"> – the coefficient limiting the share of capitalisation of the i-th Bond Issuer (“Weighting Factor”) is equal to 1, unless otherwise is provided in section 5 hereof.</w:t>
      </w:r>
    </w:p>
    <w:bookmarkEnd w:id="10"/>
    <w:p w14:paraId="1D6298D0" w14:textId="77777777" w:rsidR="00A55318" w:rsidRPr="00D36EFF" w:rsidRDefault="00A55318" w:rsidP="002A6306">
      <w:pPr>
        <w:numPr>
          <w:ilvl w:val="2"/>
          <w:numId w:val="1"/>
        </w:numPr>
        <w:jc w:val="both"/>
        <w:rPr>
          <w:rStyle w:val="af3"/>
          <w:rFonts w:ascii="Tahoma" w:hAnsi="Tahoma" w:cs="Tahoma"/>
        </w:rPr>
      </w:pPr>
      <w:r>
        <w:rPr>
          <w:rStyle w:val="af3"/>
          <w:rFonts w:ascii="Tahoma" w:hAnsi="Tahoma"/>
        </w:rPr>
        <w:t>The Indices and the Weighted Average Return are calculated to two decimal places. The Weighted Average Duration is calculated to the nearest integer.</w:t>
      </w:r>
    </w:p>
    <w:p w14:paraId="6A8D3070" w14:textId="77777777" w:rsidR="00E7250B" w:rsidRPr="00D36EFF" w:rsidRDefault="00E7250B" w:rsidP="002A6306">
      <w:pPr>
        <w:numPr>
          <w:ilvl w:val="2"/>
          <w:numId w:val="1"/>
        </w:numPr>
        <w:jc w:val="both"/>
        <w:rPr>
          <w:rStyle w:val="af3"/>
          <w:rFonts w:ascii="Tahoma" w:hAnsi="Tahoma" w:cs="Tahoma"/>
        </w:rPr>
      </w:pPr>
      <w:r>
        <w:rPr>
          <w:rStyle w:val="af3"/>
          <w:rFonts w:ascii="Tahoma" w:hAnsi="Tahoma"/>
        </w:rPr>
        <w:t xml:space="preserve">Index inception date is 30/12/2019. Starting Index value is 100. </w:t>
      </w:r>
    </w:p>
    <w:p w14:paraId="45882077" w14:textId="77777777" w:rsidR="00A55318" w:rsidRPr="00D36EFF" w:rsidRDefault="00A55318" w:rsidP="002A6306">
      <w:pPr>
        <w:numPr>
          <w:ilvl w:val="2"/>
          <w:numId w:val="1"/>
        </w:numPr>
        <w:jc w:val="both"/>
        <w:rPr>
          <w:rFonts w:ascii="Tahoma" w:hAnsi="Tahoma" w:cs="Tahoma"/>
          <w:sz w:val="20"/>
          <w:szCs w:val="20"/>
        </w:rPr>
      </w:pPr>
      <w:r>
        <w:rPr>
          <w:rStyle w:val="af3"/>
          <w:rFonts w:ascii="Tahoma" w:hAnsi="Tahoma"/>
        </w:rPr>
        <w:t>If trading in a Bond issue included in the Index Constituents was suspended (stopped), the last value of the weighted average price of such Bond issue is to be used to calculate the Index until the trading is resumed or the Bond issue</w:t>
      </w:r>
      <w:r>
        <w:rPr>
          <w:rFonts w:ascii="Tahoma" w:hAnsi="Tahoma"/>
          <w:sz w:val="20"/>
        </w:rPr>
        <w:t xml:space="preserve"> is removed from the Index Constituents.</w:t>
      </w:r>
    </w:p>
    <w:p w14:paraId="12523EAA" w14:textId="77777777" w:rsidR="00432996" w:rsidRPr="00D36EFF" w:rsidRDefault="00432996" w:rsidP="00315188">
      <w:pPr>
        <w:rPr>
          <w:rFonts w:ascii="Tahoma" w:hAnsi="Tahoma" w:cs="Tahoma"/>
          <w:sz w:val="20"/>
          <w:szCs w:val="20"/>
        </w:rPr>
      </w:pPr>
    </w:p>
    <w:p w14:paraId="783AB388" w14:textId="77777777" w:rsidR="002067FC" w:rsidRPr="00D36EFF" w:rsidRDefault="00220ED2" w:rsidP="00EB47F6">
      <w:pPr>
        <w:numPr>
          <w:ilvl w:val="0"/>
          <w:numId w:val="1"/>
        </w:numPr>
        <w:outlineLvl w:val="0"/>
        <w:rPr>
          <w:rFonts w:ascii="Tahoma" w:hAnsi="Tahoma" w:cs="Tahoma"/>
          <w:b/>
          <w:sz w:val="20"/>
          <w:szCs w:val="20"/>
        </w:rPr>
      </w:pPr>
      <w:bookmarkStart w:id="11" w:name="_Toc150862877"/>
      <w:r>
        <w:rPr>
          <w:rFonts w:ascii="Tahoma" w:hAnsi="Tahoma"/>
          <w:b/>
          <w:sz w:val="20"/>
        </w:rPr>
        <w:t>Index Construction Principles</w:t>
      </w:r>
      <w:bookmarkEnd w:id="11"/>
    </w:p>
    <w:p w14:paraId="7F0655F3" w14:textId="77777777" w:rsidR="002067FC" w:rsidRPr="00D36EFF" w:rsidRDefault="002067FC" w:rsidP="002067FC">
      <w:pPr>
        <w:pStyle w:val="a3"/>
        <w:spacing w:after="0"/>
        <w:ind w:left="360"/>
        <w:jc w:val="both"/>
        <w:rPr>
          <w:rFonts w:ascii="Tahoma" w:hAnsi="Tahoma" w:cs="Tahoma"/>
          <w:sz w:val="20"/>
        </w:rPr>
      </w:pPr>
    </w:p>
    <w:p w14:paraId="311C3AB2" w14:textId="77777777" w:rsidR="002067FC" w:rsidRPr="00D36EFF" w:rsidRDefault="00CF13DC" w:rsidP="00DC1D94">
      <w:pPr>
        <w:numPr>
          <w:ilvl w:val="1"/>
          <w:numId w:val="1"/>
        </w:numPr>
        <w:tabs>
          <w:tab w:val="num" w:pos="1000"/>
        </w:tabs>
        <w:jc w:val="both"/>
        <w:rPr>
          <w:rStyle w:val="af3"/>
          <w:rFonts w:ascii="Tahoma" w:hAnsi="Tahoma" w:cs="Tahoma"/>
        </w:rPr>
      </w:pPr>
      <w:r>
        <w:rPr>
          <w:rStyle w:val="af3"/>
          <w:rFonts w:ascii="Tahoma" w:hAnsi="Tahoma"/>
        </w:rPr>
        <w:t>The Bonds, which prices are used to calculate the Index, are eligible as Index Constituents if they comply with the following criteria:</w:t>
      </w:r>
    </w:p>
    <w:p w14:paraId="23049C67" w14:textId="77777777" w:rsidR="002067FC" w:rsidRPr="00D36EFF" w:rsidRDefault="002067FC" w:rsidP="0048545E">
      <w:pPr>
        <w:numPr>
          <w:ilvl w:val="2"/>
          <w:numId w:val="1"/>
        </w:numPr>
        <w:jc w:val="both"/>
        <w:rPr>
          <w:rFonts w:ascii="Tahoma" w:hAnsi="Tahoma" w:cs="Tahoma"/>
          <w:sz w:val="20"/>
          <w:szCs w:val="20"/>
        </w:rPr>
      </w:pPr>
      <w:r>
        <w:rPr>
          <w:rStyle w:val="af3"/>
          <w:rFonts w:ascii="Tahoma" w:hAnsi="Tahoma"/>
        </w:rPr>
        <w:t>The Issuer has discharged its obligations to pay coupons, redeem the issue through the Offer,</w:t>
      </w:r>
      <w:r>
        <w:rPr>
          <w:rFonts w:ascii="Tahoma" w:hAnsi="Tahoma"/>
          <w:sz w:val="20"/>
        </w:rPr>
        <w:t xml:space="preserve"> or redeem all Bond issues admitted to trading on the Exchange in full. If the Issuer has failed to meet all obligations arisen out of its technical default and/or a default of a Bond issue admitted to trading on the Exchange, the Bonds can be included in the Index Constituents provided that the Issuer discharges such failed due to technical default and/or default obligations with regard to all Bond issues admitted to trading on the Exchange and due and timely discloses the material event as required by the Bank of Russia’s regulatory acts.</w:t>
      </w:r>
    </w:p>
    <w:p w14:paraId="02F0D7D0" w14:textId="77777777" w:rsidR="00E30459" w:rsidRPr="00D36EFF" w:rsidRDefault="00E30459" w:rsidP="00B47A23">
      <w:pPr>
        <w:numPr>
          <w:ilvl w:val="2"/>
          <w:numId w:val="1"/>
        </w:numPr>
        <w:jc w:val="both"/>
        <w:rPr>
          <w:rStyle w:val="af3"/>
          <w:rFonts w:ascii="Tahoma" w:hAnsi="Tahoma" w:cs="Tahoma"/>
        </w:rPr>
      </w:pPr>
      <w:r>
        <w:rPr>
          <w:rStyle w:val="af3"/>
          <w:rFonts w:ascii="Tahoma" w:hAnsi="Tahoma"/>
        </w:rPr>
        <w:t>The Bond issue currency is RUB.</w:t>
      </w:r>
    </w:p>
    <w:p w14:paraId="6C940979" w14:textId="77777777" w:rsidR="005F6F58" w:rsidRPr="00DB37F7" w:rsidRDefault="00CC5768" w:rsidP="00B47A23">
      <w:pPr>
        <w:numPr>
          <w:ilvl w:val="2"/>
          <w:numId w:val="1"/>
        </w:numPr>
        <w:tabs>
          <w:tab w:val="left" w:pos="993"/>
        </w:tabs>
        <w:jc w:val="both"/>
        <w:rPr>
          <w:rStyle w:val="af3"/>
          <w:rFonts w:ascii="Tahoma" w:hAnsi="Tahoma" w:cs="Tahoma"/>
        </w:rPr>
      </w:pPr>
      <w:r>
        <w:rPr>
          <w:rStyle w:val="af3"/>
          <w:rFonts w:ascii="Tahoma" w:hAnsi="Tahoma"/>
        </w:rPr>
        <w:t>The coupon rates under the Bond issue documents are defined for the whole duration till the Maturity Date.</w:t>
      </w:r>
    </w:p>
    <w:p w14:paraId="063C48AB" w14:textId="77777777" w:rsidR="00561BD8" w:rsidRPr="00DB37F7" w:rsidRDefault="00CC5768" w:rsidP="00B47A23">
      <w:pPr>
        <w:numPr>
          <w:ilvl w:val="2"/>
          <w:numId w:val="1"/>
        </w:numPr>
        <w:tabs>
          <w:tab w:val="left" w:pos="993"/>
        </w:tabs>
        <w:jc w:val="both"/>
        <w:rPr>
          <w:rStyle w:val="af3"/>
          <w:rFonts w:ascii="Tahoma" w:hAnsi="Tahoma" w:cs="Tahoma"/>
        </w:rPr>
      </w:pPr>
      <w:r>
        <w:rPr>
          <w:rStyle w:val="af3"/>
          <w:rFonts w:ascii="Tahoma" w:hAnsi="Tahoma"/>
        </w:rPr>
        <w:t>The Term to Maturity for Bonds (except the Increased Investment Risk Sector Bonds is at least one year, but three years a maximum.</w:t>
      </w:r>
    </w:p>
    <w:p w14:paraId="51BC8D47" w14:textId="77777777" w:rsidR="00CC5768" w:rsidRPr="00DB37F7" w:rsidRDefault="00CC5768" w:rsidP="00B47A23">
      <w:pPr>
        <w:numPr>
          <w:ilvl w:val="2"/>
          <w:numId w:val="1"/>
        </w:numPr>
        <w:tabs>
          <w:tab w:val="left" w:pos="993"/>
        </w:tabs>
        <w:jc w:val="both"/>
        <w:rPr>
          <w:rStyle w:val="af3"/>
          <w:rFonts w:ascii="Tahoma" w:hAnsi="Tahoma" w:cs="Tahoma"/>
        </w:rPr>
      </w:pPr>
      <w:r>
        <w:rPr>
          <w:rStyle w:val="af3"/>
          <w:rFonts w:ascii="Tahoma" w:hAnsi="Tahoma"/>
        </w:rPr>
        <w:t>The Term to Maturity for the Increased Investment Risk Sector Bonds is at least one year.</w:t>
      </w:r>
    </w:p>
    <w:p w14:paraId="4984CFBC" w14:textId="77777777" w:rsidR="00366AED" w:rsidRPr="00DB37F7" w:rsidRDefault="00366AED" w:rsidP="00B47A23">
      <w:pPr>
        <w:numPr>
          <w:ilvl w:val="2"/>
          <w:numId w:val="1"/>
        </w:numPr>
        <w:tabs>
          <w:tab w:val="left" w:pos="993"/>
        </w:tabs>
        <w:jc w:val="both"/>
        <w:rPr>
          <w:rStyle w:val="af3"/>
          <w:rFonts w:ascii="Tahoma" w:hAnsi="Tahoma" w:cs="Tahoma"/>
        </w:rPr>
      </w:pPr>
      <w:r>
        <w:rPr>
          <w:rStyle w:val="af3"/>
          <w:rFonts w:ascii="Tahoma" w:hAnsi="Tahoma"/>
        </w:rPr>
        <w:lastRenderedPageBreak/>
        <w:t>The Issuer of Bonds, except Increased Investment Risk Sector Bods, has a national rating at least BBB(RU)/ruBBB/BBB.RU/BBB|ru|, but not above A+(RU)/ruA+/A+.RU/A+|ru|. The maximum credit rating assigned by rating agencies counts in adding Bonds to the Index Constituents.</w:t>
      </w:r>
    </w:p>
    <w:p w14:paraId="07222B34" w14:textId="77777777" w:rsidR="00F76692" w:rsidRPr="00D36EFF" w:rsidRDefault="00F76692" w:rsidP="00B47A23">
      <w:pPr>
        <w:numPr>
          <w:ilvl w:val="2"/>
          <w:numId w:val="1"/>
        </w:numPr>
        <w:tabs>
          <w:tab w:val="left" w:pos="993"/>
        </w:tabs>
        <w:jc w:val="both"/>
        <w:rPr>
          <w:rStyle w:val="af3"/>
          <w:rFonts w:ascii="Tahoma" w:hAnsi="Tahoma" w:cs="Tahoma"/>
        </w:rPr>
      </w:pPr>
      <w:r>
        <w:rPr>
          <w:rStyle w:val="af3"/>
          <w:rFonts w:ascii="Tahoma" w:hAnsi="Tahoma"/>
        </w:rPr>
        <w:t>The volume of Bond issue at par value, he Increased Investment Risk Sector Bonds inclusive, is at least RUB million.</w:t>
      </w:r>
    </w:p>
    <w:p w14:paraId="44E01D71" w14:textId="77777777" w:rsidR="00B17BB5" w:rsidRPr="00D36EFF" w:rsidRDefault="00CD1C46" w:rsidP="00B47A23">
      <w:pPr>
        <w:numPr>
          <w:ilvl w:val="2"/>
          <w:numId w:val="1"/>
        </w:numPr>
        <w:tabs>
          <w:tab w:val="left" w:pos="993"/>
        </w:tabs>
        <w:jc w:val="both"/>
        <w:rPr>
          <w:rStyle w:val="af3"/>
          <w:rFonts w:ascii="Tahoma" w:hAnsi="Tahoma" w:cs="Tahoma"/>
        </w:rPr>
      </w:pPr>
      <w:r>
        <w:rPr>
          <w:rStyle w:val="af3"/>
          <w:rFonts w:ascii="Tahoma" w:hAnsi="Tahoma"/>
        </w:rPr>
        <w:t>The trading volume for Bonds, including Increased Investment Risk Sector Bonds during the main session in the Main Trading Mode T+, as well as in the Negotiated Deals Mode, was not less than RUB 10 million.</w:t>
      </w:r>
    </w:p>
    <w:p w14:paraId="64D650B0" w14:textId="77777777" w:rsidR="006F09AB" w:rsidRPr="00AD501A" w:rsidRDefault="006F09AB" w:rsidP="00B47A23">
      <w:pPr>
        <w:numPr>
          <w:ilvl w:val="2"/>
          <w:numId w:val="1"/>
        </w:numPr>
        <w:tabs>
          <w:tab w:val="left" w:pos="993"/>
        </w:tabs>
        <w:jc w:val="both"/>
        <w:rPr>
          <w:rStyle w:val="af3"/>
          <w:rFonts w:ascii="Tahoma" w:hAnsi="Tahoma" w:cs="Tahoma"/>
        </w:rPr>
      </w:pPr>
      <w:r>
        <w:rPr>
          <w:rStyle w:val="af3"/>
          <w:rFonts w:ascii="Tahoma" w:hAnsi="Tahoma"/>
        </w:rPr>
        <w:t>The average yield on the Bonds, including the Increased Investment Risk Sector Bonds, is not less than the sum of Key Rate and 2.75% but not greater than the sum of the Key Rate and 30%.</w:t>
      </w:r>
    </w:p>
    <w:p w14:paraId="0CE26B93" w14:textId="77777777" w:rsidR="008502FB" w:rsidRPr="00E36319" w:rsidRDefault="008502FB" w:rsidP="008502FB">
      <w:pPr>
        <w:numPr>
          <w:ilvl w:val="2"/>
          <w:numId w:val="1"/>
        </w:numPr>
        <w:tabs>
          <w:tab w:val="left" w:pos="567"/>
          <w:tab w:val="left" w:pos="1560"/>
        </w:tabs>
        <w:jc w:val="both"/>
        <w:rPr>
          <w:rFonts w:ascii="Tahoma" w:hAnsi="Tahoma" w:cs="Tahoma"/>
          <w:sz w:val="20"/>
          <w:szCs w:val="20"/>
        </w:rPr>
      </w:pPr>
      <w:r>
        <w:rPr>
          <w:rFonts w:ascii="Tahoma" w:hAnsi="Tahoma"/>
          <w:sz w:val="20"/>
        </w:rPr>
        <w:t>The issue of Bonds meets requirements of the Management Company's Investment Policy.</w:t>
      </w:r>
    </w:p>
    <w:p w14:paraId="65458EA3" w14:textId="406362E3" w:rsidR="00CA4BC3" w:rsidRDefault="006D2A17" w:rsidP="004D7AC6">
      <w:pPr>
        <w:numPr>
          <w:ilvl w:val="1"/>
          <w:numId w:val="1"/>
        </w:numPr>
        <w:jc w:val="both"/>
        <w:rPr>
          <w:rFonts w:ascii="Tahoma" w:hAnsi="Tahoma" w:cs="Tahoma"/>
          <w:sz w:val="20"/>
          <w:szCs w:val="20"/>
        </w:rPr>
      </w:pPr>
      <w:r>
        <w:rPr>
          <w:rFonts w:ascii="Tahoma" w:hAnsi="Tahoma"/>
          <w:sz w:val="20"/>
        </w:rPr>
        <w:t>The Index Constituents may include maximum two bond issues of one Issuer, the Increased Investment Risk Sector bonds inclusive. If the number of the Issuer’s Bond issues meeting criteria of 3.1 hereof is more than two, the Exchange includes two Bond issues with the placement date closest to the Index Review Date.</w:t>
      </w:r>
    </w:p>
    <w:p w14:paraId="387DF1CF" w14:textId="77777777" w:rsidR="000611BC" w:rsidRPr="00D36EFF" w:rsidRDefault="000611BC" w:rsidP="004D7AC6">
      <w:pPr>
        <w:numPr>
          <w:ilvl w:val="1"/>
          <w:numId w:val="1"/>
        </w:numPr>
        <w:jc w:val="both"/>
        <w:rPr>
          <w:rFonts w:ascii="Tahoma" w:hAnsi="Tahoma" w:cs="Tahoma"/>
          <w:sz w:val="20"/>
          <w:szCs w:val="20"/>
        </w:rPr>
      </w:pPr>
      <w:r>
        <w:rPr>
          <w:rFonts w:ascii="Tahoma" w:hAnsi="Tahoma"/>
          <w:sz w:val="20"/>
        </w:rPr>
        <w:t>Index Constituents comprise bond issues of 27 issuers a minimum. If the number of issuers of Bonds included in the Index Constituents is less than 27, the Index Constituents may include Bonds that do not meet criteria of 3.1.3-3.1.12. hereof.</w:t>
      </w:r>
    </w:p>
    <w:p w14:paraId="52B26FEF" w14:textId="77777777" w:rsidR="002A1AF1" w:rsidRPr="00D36EFF" w:rsidRDefault="002A1AF1" w:rsidP="002A1AF1">
      <w:pPr>
        <w:numPr>
          <w:ilvl w:val="1"/>
          <w:numId w:val="1"/>
        </w:numPr>
        <w:jc w:val="both"/>
        <w:rPr>
          <w:rFonts w:ascii="Tahoma" w:hAnsi="Tahoma" w:cs="Tahoma"/>
          <w:sz w:val="20"/>
          <w:szCs w:val="20"/>
        </w:rPr>
      </w:pPr>
      <w:r>
        <w:rPr>
          <w:rFonts w:ascii="Tahoma" w:hAnsi="Tahoma"/>
          <w:sz w:val="20"/>
        </w:rPr>
        <w:t>The Exchange has the right to decide to include Bonds that do not comply with criteria in 3.1 hereof to the list of Index Constituents in a manner different from that outlined in 3.2 hereof.</w:t>
      </w:r>
    </w:p>
    <w:p w14:paraId="227D0695" w14:textId="77777777" w:rsidR="002A1AF1" w:rsidRPr="00D36EFF" w:rsidRDefault="002A1AF1" w:rsidP="00315188">
      <w:pPr>
        <w:rPr>
          <w:rFonts w:ascii="Tahoma" w:hAnsi="Tahoma" w:cs="Tahoma"/>
          <w:sz w:val="20"/>
          <w:szCs w:val="20"/>
        </w:rPr>
      </w:pPr>
    </w:p>
    <w:p w14:paraId="3172450B" w14:textId="77777777" w:rsidR="00CF5824" w:rsidRPr="00D36EFF" w:rsidRDefault="00750F57" w:rsidP="003F0B0D">
      <w:pPr>
        <w:numPr>
          <w:ilvl w:val="0"/>
          <w:numId w:val="1"/>
        </w:numPr>
        <w:outlineLvl w:val="0"/>
        <w:rPr>
          <w:rFonts w:ascii="Tahoma" w:hAnsi="Tahoma" w:cs="Tahoma"/>
          <w:b/>
          <w:sz w:val="20"/>
          <w:szCs w:val="20"/>
        </w:rPr>
      </w:pPr>
      <w:bookmarkStart w:id="12" w:name="_Toc150862878"/>
      <w:bookmarkStart w:id="13" w:name="Р_4"/>
      <w:r>
        <w:rPr>
          <w:rFonts w:ascii="Tahoma" w:hAnsi="Tahoma"/>
          <w:b/>
          <w:sz w:val="20"/>
        </w:rPr>
        <w:t>Index Review</w:t>
      </w:r>
      <w:bookmarkEnd w:id="12"/>
    </w:p>
    <w:p w14:paraId="07CF7258" w14:textId="77777777" w:rsidR="0069318F" w:rsidRPr="00D36EFF" w:rsidRDefault="0069318F" w:rsidP="0069318F">
      <w:pPr>
        <w:ind w:left="360"/>
        <w:rPr>
          <w:rFonts w:ascii="Tahoma" w:hAnsi="Tahoma" w:cs="Tahoma"/>
          <w:b/>
          <w:sz w:val="20"/>
          <w:szCs w:val="20"/>
        </w:rPr>
      </w:pPr>
    </w:p>
    <w:p w14:paraId="3C62480D" w14:textId="77777777" w:rsidR="00EE322F" w:rsidRPr="00D36EFF" w:rsidRDefault="00EE322F" w:rsidP="00EE322F">
      <w:pPr>
        <w:numPr>
          <w:ilvl w:val="1"/>
          <w:numId w:val="1"/>
        </w:numPr>
        <w:jc w:val="both"/>
        <w:rPr>
          <w:rStyle w:val="af3"/>
          <w:rFonts w:ascii="Tahoma" w:hAnsi="Tahoma" w:cs="Tahoma"/>
        </w:rPr>
      </w:pPr>
      <w:bookmarkStart w:id="14" w:name="_Toc26365654"/>
      <w:r>
        <w:rPr>
          <w:rStyle w:val="af3"/>
          <w:rFonts w:ascii="Tahoma" w:hAnsi="Tahoma"/>
        </w:rPr>
        <w:t>The Bonds shall be included in or removed from the Index Constituents when the Index Constituents are reviewed in accordance with the Exchange’s decision.</w:t>
      </w:r>
    </w:p>
    <w:p w14:paraId="2172E966" w14:textId="77777777" w:rsidR="00EE322F" w:rsidRPr="00D36EFF" w:rsidRDefault="00EE322F" w:rsidP="00EE322F">
      <w:pPr>
        <w:numPr>
          <w:ilvl w:val="1"/>
          <w:numId w:val="1"/>
        </w:numPr>
        <w:jc w:val="both"/>
        <w:rPr>
          <w:rStyle w:val="af3"/>
          <w:rFonts w:ascii="Tahoma" w:hAnsi="Tahoma" w:cs="Tahoma"/>
        </w:rPr>
      </w:pPr>
      <w:r>
        <w:rPr>
          <w:rStyle w:val="af3"/>
          <w:rFonts w:ascii="Tahoma" w:hAnsi="Tahoma"/>
        </w:rPr>
        <w:t>Normally, the list of Index Constituents is reviewed at most on a quarterly basis, unless otherwise is indicated in this Methodology. The reviewed Constituents shall come into effect upon commencement of the Main Trading Session on the first trading day of March, June, September and December. The Exchange may decide on other dates for the reviewed Index Constituents to come into effect.</w:t>
      </w:r>
    </w:p>
    <w:p w14:paraId="5070BD41" w14:textId="77777777" w:rsidR="00EE322F" w:rsidRPr="00D36EFF" w:rsidRDefault="00EE322F" w:rsidP="00EE322F">
      <w:pPr>
        <w:numPr>
          <w:ilvl w:val="1"/>
          <w:numId w:val="1"/>
        </w:numPr>
        <w:jc w:val="both"/>
        <w:rPr>
          <w:rStyle w:val="af3"/>
          <w:rFonts w:ascii="Tahoma" w:hAnsi="Tahoma" w:cs="Tahoma"/>
        </w:rPr>
      </w:pPr>
      <w:r>
        <w:rPr>
          <w:rStyle w:val="af3"/>
          <w:rFonts w:ascii="Tahoma" w:hAnsi="Tahoma"/>
        </w:rPr>
        <w:t>The Exchange is entitled to set a date for an extraordinary review of the Index Constituents in the following cases:</w:t>
      </w:r>
    </w:p>
    <w:p w14:paraId="1019403B" w14:textId="77777777" w:rsidR="00182F52" w:rsidRPr="00D36EFF" w:rsidRDefault="001A19CC" w:rsidP="001A19CC">
      <w:pPr>
        <w:ind w:left="1416"/>
        <w:jc w:val="both"/>
        <w:rPr>
          <w:rStyle w:val="af3"/>
          <w:rFonts w:ascii="Tahoma" w:hAnsi="Tahoma" w:cs="Tahoma"/>
        </w:rPr>
      </w:pPr>
      <w:r>
        <w:rPr>
          <w:rStyle w:val="af3"/>
          <w:rFonts w:ascii="Tahoma" w:hAnsi="Tahoma"/>
        </w:rPr>
        <w:t>- upon exclusion of a Bonds issue from the list of securities admitted to trading on the Exchange (termination of Exchange trade in the corresponding Bond issue);</w:t>
      </w:r>
    </w:p>
    <w:p w14:paraId="33C1D434" w14:textId="77777777" w:rsidR="001A19CC" w:rsidRPr="00D36EFF" w:rsidRDefault="001A19CC" w:rsidP="001A19CC">
      <w:pPr>
        <w:ind w:left="1416"/>
        <w:jc w:val="both"/>
        <w:rPr>
          <w:rStyle w:val="af3"/>
          <w:rFonts w:ascii="Tahoma" w:hAnsi="Tahoma" w:cs="Tahoma"/>
        </w:rPr>
      </w:pPr>
      <w:r>
        <w:rPr>
          <w:rStyle w:val="af3"/>
          <w:rFonts w:ascii="Tahoma" w:hAnsi="Tahoma"/>
        </w:rPr>
        <w:t>- in the event that the Bonds issuer is assigned with a Credit Rating that does not meet the requirements set forth in Appendix 1 hereto, the Exchange has the right to decide to exclude these Bonds from the Index Constituents of the corresponding Index on the date determined by the Exchange;</w:t>
      </w:r>
    </w:p>
    <w:p w14:paraId="2DF68E48" w14:textId="77777777" w:rsidR="001A19CC" w:rsidRPr="00D36EFF" w:rsidRDefault="001A19CC" w:rsidP="001A19CC">
      <w:pPr>
        <w:ind w:left="1416"/>
        <w:jc w:val="both"/>
        <w:rPr>
          <w:rStyle w:val="af3"/>
          <w:rFonts w:ascii="Tahoma" w:hAnsi="Tahoma" w:cs="Tahoma"/>
        </w:rPr>
      </w:pPr>
      <w:r>
        <w:rPr>
          <w:rStyle w:val="af3"/>
          <w:rFonts w:ascii="Tahoma" w:hAnsi="Tahoma"/>
        </w:rPr>
        <w:t>- if the Issuer of Bonds in the Index Constituents fails to meet coupon payment obligations, redeem the issue through the Offer, or redeem Bond issue(s) of the Issuer admitted to trading on the Exchange (default).</w:t>
      </w:r>
    </w:p>
    <w:p w14:paraId="66BD2D41" w14:textId="77777777" w:rsidR="00292F26" w:rsidRPr="00D36EFF" w:rsidRDefault="00292F26" w:rsidP="00292F26">
      <w:pPr>
        <w:ind w:left="1416"/>
        <w:jc w:val="both"/>
        <w:rPr>
          <w:rStyle w:val="af3"/>
          <w:rFonts w:ascii="Tahoma" w:hAnsi="Tahoma" w:cs="Tahoma"/>
        </w:rPr>
      </w:pPr>
      <w:r>
        <w:rPr>
          <w:rStyle w:val="af3"/>
          <w:rFonts w:ascii="Tahoma" w:hAnsi="Tahoma"/>
        </w:rPr>
        <w:t>- in other cases which can have a material effect on Index calculation.</w:t>
      </w:r>
    </w:p>
    <w:bookmarkEnd w:id="14"/>
    <w:p w14:paraId="027E134C" w14:textId="77777777" w:rsidR="00567150" w:rsidRPr="00D36EFF" w:rsidRDefault="0015082F" w:rsidP="0015082F">
      <w:pPr>
        <w:numPr>
          <w:ilvl w:val="2"/>
          <w:numId w:val="1"/>
        </w:numPr>
        <w:jc w:val="both"/>
        <w:rPr>
          <w:rStyle w:val="af3"/>
          <w:rFonts w:ascii="Tahoma" w:hAnsi="Tahoma" w:cs="Tahoma"/>
        </w:rPr>
      </w:pPr>
      <w:r>
        <w:rPr>
          <w:rStyle w:val="af3"/>
          <w:rFonts w:ascii="Tahoma" w:hAnsi="Tahoma"/>
        </w:rPr>
        <w:t>If exclusion of Bonds from the Index Constituents results in the number of issuers, whose bonds are Constituents of the relevant Index, be less than 27, the Exchange is entitled to include other bonds as Index Constituents, at that the total number of issuers may not exceed 27.</w:t>
      </w:r>
    </w:p>
    <w:p w14:paraId="39B707AD" w14:textId="77777777" w:rsidR="0015082F" w:rsidRPr="00D36EFF" w:rsidRDefault="0015082F" w:rsidP="0015082F">
      <w:pPr>
        <w:numPr>
          <w:ilvl w:val="2"/>
          <w:numId w:val="1"/>
        </w:numPr>
        <w:rPr>
          <w:rStyle w:val="af3"/>
          <w:rFonts w:ascii="Tahoma" w:hAnsi="Tahoma" w:cs="Tahoma"/>
        </w:rPr>
      </w:pPr>
      <w:r>
        <w:rPr>
          <w:rStyle w:val="af3"/>
          <w:rFonts w:ascii="Tahoma" w:hAnsi="Tahoma"/>
        </w:rPr>
        <w:t>The new Weighting Factors for Bonds in the list of Index Constituents calculated using the information on Bonds as at the date preceding the date the new Index Constituents come into effect shall ally as of the date the Index Constituents have been reviewed.</w:t>
      </w:r>
    </w:p>
    <w:p w14:paraId="3DAE531D" w14:textId="77777777" w:rsidR="004F740C" w:rsidRPr="00D36EFF" w:rsidRDefault="004F740C" w:rsidP="004F740C">
      <w:pPr>
        <w:numPr>
          <w:ilvl w:val="2"/>
          <w:numId w:val="1"/>
        </w:numPr>
        <w:rPr>
          <w:rStyle w:val="af3"/>
          <w:rFonts w:ascii="Tahoma" w:hAnsi="Tahoma" w:cs="Tahoma"/>
        </w:rPr>
      </w:pPr>
      <w:r>
        <w:rPr>
          <w:rStyle w:val="af3"/>
          <w:rFonts w:ascii="Tahoma" w:hAnsi="Tahoma"/>
        </w:rPr>
        <w:t>If trading in a Bond issue included in the Index Constituents list was suspended (stopped), the last value of the weighted average price of such issue is to be used to calculate the relevant Index until the trading is resumed or the Bond issue is removed from the Index Constituents.</w:t>
      </w:r>
    </w:p>
    <w:p w14:paraId="63B75327" w14:textId="77777777" w:rsidR="009F4D1F" w:rsidRPr="00D36EFF" w:rsidRDefault="009F4D1F" w:rsidP="00315188">
      <w:pPr>
        <w:rPr>
          <w:rFonts w:ascii="Tahoma" w:hAnsi="Tahoma" w:cs="Tahoma"/>
          <w:sz w:val="20"/>
          <w:szCs w:val="20"/>
        </w:rPr>
      </w:pPr>
      <w:bookmarkStart w:id="15" w:name="_Toc372540155"/>
      <w:bookmarkStart w:id="16" w:name="_Toc372540156"/>
      <w:bookmarkEnd w:id="13"/>
      <w:bookmarkEnd w:id="15"/>
      <w:bookmarkEnd w:id="16"/>
    </w:p>
    <w:p w14:paraId="0AFDF449" w14:textId="77774558" w:rsidR="00E2713E" w:rsidRPr="00D36EFF" w:rsidRDefault="00AA556F" w:rsidP="00B74EE3">
      <w:pPr>
        <w:numPr>
          <w:ilvl w:val="0"/>
          <w:numId w:val="1"/>
        </w:numPr>
        <w:outlineLvl w:val="0"/>
        <w:rPr>
          <w:rFonts w:ascii="Tahoma" w:hAnsi="Tahoma" w:cs="Tahoma"/>
          <w:b/>
          <w:sz w:val="20"/>
          <w:szCs w:val="20"/>
        </w:rPr>
      </w:pPr>
      <w:bookmarkStart w:id="17" w:name="_Toc527625987"/>
      <w:bookmarkStart w:id="18" w:name="_Toc150862879"/>
      <w:r>
        <w:rPr>
          <w:rFonts w:ascii="Tahoma" w:hAnsi="Tahoma"/>
          <w:b/>
          <w:sz w:val="20"/>
        </w:rPr>
        <w:t>Limitation on the Share of Bond Value in the</w:t>
      </w:r>
      <w:bookmarkEnd w:id="17"/>
      <w:r w:rsidR="00387F4F">
        <w:rPr>
          <w:rFonts w:ascii="Tahoma" w:hAnsi="Tahoma"/>
          <w:b/>
          <w:sz w:val="20"/>
        </w:rPr>
        <w:t xml:space="preserve"> </w:t>
      </w:r>
      <w:r>
        <w:rPr>
          <w:rFonts w:ascii="Tahoma" w:hAnsi="Tahoma"/>
          <w:b/>
          <w:sz w:val="20"/>
        </w:rPr>
        <w:t>Ind</w:t>
      </w:r>
      <w:bookmarkEnd w:id="18"/>
      <w:r w:rsidR="00387F4F">
        <w:rPr>
          <w:rFonts w:ascii="Tahoma" w:hAnsi="Tahoma"/>
          <w:b/>
          <w:sz w:val="20"/>
        </w:rPr>
        <w:t>ices</w:t>
      </w:r>
    </w:p>
    <w:p w14:paraId="4B914453" w14:textId="77777777" w:rsidR="00CF34DC" w:rsidRPr="00D36EFF" w:rsidRDefault="00CF34DC" w:rsidP="00CF34DC">
      <w:pPr>
        <w:ind w:left="360"/>
        <w:outlineLvl w:val="0"/>
        <w:rPr>
          <w:rFonts w:ascii="Tahoma" w:hAnsi="Tahoma" w:cs="Tahoma"/>
          <w:b/>
          <w:sz w:val="20"/>
          <w:szCs w:val="20"/>
        </w:rPr>
      </w:pPr>
    </w:p>
    <w:p w14:paraId="1EF6F9A6" w14:textId="77777777" w:rsidR="00EE2014" w:rsidRPr="00D36EFF" w:rsidRDefault="00477432" w:rsidP="00B74EE3">
      <w:pPr>
        <w:numPr>
          <w:ilvl w:val="1"/>
          <w:numId w:val="1"/>
        </w:numPr>
        <w:jc w:val="both"/>
        <w:rPr>
          <w:rFonts w:ascii="Tahoma" w:hAnsi="Tahoma" w:cs="Tahoma"/>
          <w:sz w:val="20"/>
          <w:szCs w:val="20"/>
        </w:rPr>
      </w:pPr>
      <w:r>
        <w:rPr>
          <w:rFonts w:ascii="Tahoma" w:hAnsi="Tahoma"/>
          <w:sz w:val="20"/>
        </w:rPr>
        <w:lastRenderedPageBreak/>
        <w:t>If the number of issuers in the list of Constituents for the relevant Index is at least 27, the maximum weight of the capitalisation of the Issuer's Bonds (total capitalisation of various Bond issues of the Issuer, if the Index Constituents include various Bond issues of the Issuer) in the total capitalisation of the Bond within such list of Constituents for the Index is limited to 4%(S=4%).</w:t>
      </w:r>
    </w:p>
    <w:p w14:paraId="03D41273" w14:textId="77777777" w:rsidR="00C464D1" w:rsidRPr="00D36EFF" w:rsidRDefault="00477432" w:rsidP="00B74EE3">
      <w:pPr>
        <w:numPr>
          <w:ilvl w:val="1"/>
          <w:numId w:val="1"/>
        </w:numPr>
        <w:jc w:val="both"/>
        <w:rPr>
          <w:rFonts w:ascii="Tahoma" w:hAnsi="Tahoma" w:cs="Tahoma"/>
          <w:sz w:val="20"/>
          <w:szCs w:val="20"/>
        </w:rPr>
      </w:pPr>
      <w:r>
        <w:rPr>
          <w:rFonts w:ascii="Tahoma" w:hAnsi="Tahoma"/>
          <w:sz w:val="20"/>
        </w:rPr>
        <w:t>If the relevant Index includes the Increased Investment Risk Sector Bonds, the maximum share of such Bonds in the aggregate capitalisation of the Bonds included in the Index Constituents is limited to 20% (K= 20%).</w:t>
      </w:r>
    </w:p>
    <w:p w14:paraId="79D481A4" w14:textId="77777777" w:rsidR="00C464D1" w:rsidRPr="00D36EFF" w:rsidRDefault="00C464D1" w:rsidP="00C464D1">
      <w:pPr>
        <w:numPr>
          <w:ilvl w:val="1"/>
          <w:numId w:val="1"/>
        </w:numPr>
        <w:jc w:val="both"/>
        <w:rPr>
          <w:rFonts w:ascii="Tahoma" w:hAnsi="Tahoma" w:cs="Tahoma"/>
          <w:sz w:val="20"/>
          <w:szCs w:val="20"/>
        </w:rPr>
      </w:pPr>
      <w:r>
        <w:rPr>
          <w:rFonts w:ascii="Tahoma" w:hAnsi="Tahoma"/>
          <w:sz w:val="20"/>
        </w:rPr>
        <w:t>The weight of the i-th Bond in the relevant Index is calculated as follows:</w:t>
      </w:r>
    </w:p>
    <w:p w14:paraId="687E75CC" w14:textId="77777777" w:rsidR="00C464D1" w:rsidRPr="00D36EFF" w:rsidRDefault="00D36EFF" w:rsidP="00C464D1">
      <w:pPr>
        <w:pStyle w:val="af9"/>
        <w:jc w:val="center"/>
        <w:rPr>
          <w:rFonts w:ascii="Tahoma" w:hAnsi="Tahoma" w:cs="Tahoma"/>
          <w:i w:val="0"/>
          <w:sz w:val="20"/>
        </w:rPr>
      </w:pPr>
      <m:oMathPara>
        <m:oMath>
          <m:r>
            <w:rPr>
              <w:rFonts w:cs="Tahoma"/>
              <w:sz w:val="20"/>
            </w:rPr>
            <m:t>Wgh</m:t>
          </m:r>
          <m:sSub>
            <m:sSubPr>
              <m:ctrlPr>
                <w:rPr>
                  <w:rFonts w:cs="Tahoma"/>
                  <w:i w:val="0"/>
                  <w:sz w:val="20"/>
                </w:rPr>
              </m:ctrlPr>
            </m:sSubPr>
            <m:e>
              <m:r>
                <w:rPr>
                  <w:rFonts w:cs="Tahoma"/>
                  <w:sz w:val="20"/>
                </w:rPr>
                <m:t>t</m:t>
              </m:r>
            </m:e>
            <m:sub>
              <m:r>
                <w:rPr>
                  <w:rFonts w:cs="Tahoma"/>
                  <w:sz w:val="20"/>
                </w:rPr>
                <m:t>i</m:t>
              </m:r>
            </m:sub>
          </m:sSub>
          <m:r>
            <w:rPr>
              <w:rFonts w:cs="Tahoma"/>
              <w:sz w:val="20"/>
            </w:rPr>
            <m:t>=</m:t>
          </m:r>
          <m:f>
            <m:fPr>
              <m:ctrlPr>
                <w:rPr>
                  <w:rFonts w:cs="Tahoma"/>
                  <w:i w:val="0"/>
                  <w:sz w:val="20"/>
                </w:rPr>
              </m:ctrlPr>
            </m:fPr>
            <m:num>
              <m:r>
                <w:rPr>
                  <w:rFonts w:cs="Tahoma"/>
                  <w:sz w:val="20"/>
                </w:rPr>
                <m:t>M</m:t>
              </m:r>
              <m:sSub>
                <m:sSubPr>
                  <m:ctrlPr>
                    <w:rPr>
                      <w:rFonts w:cs="Tahoma"/>
                      <w:i w:val="0"/>
                      <w:sz w:val="20"/>
                    </w:rPr>
                  </m:ctrlPr>
                </m:sSubPr>
                <m:e>
                  <m:r>
                    <w:rPr>
                      <w:rFonts w:cs="Tahoma"/>
                      <w:sz w:val="20"/>
                    </w:rPr>
                    <m:t>C</m:t>
                  </m:r>
                </m:e>
                <m:sub>
                  <m:r>
                    <w:rPr>
                      <w:rFonts w:cs="Tahoma"/>
                      <w:sz w:val="20"/>
                    </w:rPr>
                    <m:t>i</m:t>
                  </m:r>
                </m:sub>
              </m:sSub>
            </m:num>
            <m:den>
              <m:nary>
                <m:naryPr>
                  <m:chr m:val="∑"/>
                  <m:limLoc m:val="undOvr"/>
                  <m:ctrlPr>
                    <w:rPr>
                      <w:rFonts w:cs="Tahoma"/>
                      <w:i w:val="0"/>
                      <w:sz w:val="20"/>
                    </w:rPr>
                  </m:ctrlPr>
                </m:naryPr>
                <m:sub>
                  <m:r>
                    <w:rPr>
                      <w:rFonts w:cs="Tahoma"/>
                      <w:sz w:val="20"/>
                    </w:rPr>
                    <m:t>i=1</m:t>
                  </m:r>
                </m:sub>
                <m:sup>
                  <m:r>
                    <w:rPr>
                      <w:rFonts w:cs="Tahoma"/>
                      <w:sz w:val="20"/>
                    </w:rPr>
                    <m:t>N</m:t>
                  </m:r>
                </m:sup>
                <m:e>
                  <m:r>
                    <w:rPr>
                      <w:rFonts w:cs="Tahoma"/>
                      <w:sz w:val="20"/>
                    </w:rPr>
                    <m:t>M</m:t>
                  </m:r>
                  <m:sSub>
                    <m:sSubPr>
                      <m:ctrlPr>
                        <w:rPr>
                          <w:rFonts w:cs="Tahoma"/>
                          <w:i w:val="0"/>
                          <w:sz w:val="20"/>
                        </w:rPr>
                      </m:ctrlPr>
                    </m:sSubPr>
                    <m:e>
                      <m:r>
                        <w:rPr>
                          <w:rFonts w:cs="Tahoma"/>
                          <w:sz w:val="20"/>
                        </w:rPr>
                        <m:t>C</m:t>
                      </m:r>
                    </m:e>
                    <m:sub>
                      <m:r>
                        <w:rPr>
                          <w:rFonts w:cs="Tahoma"/>
                          <w:sz w:val="20"/>
                        </w:rPr>
                        <m:t>i</m:t>
                      </m:r>
                    </m:sub>
                  </m:sSub>
                  <m:r>
                    <w:rPr>
                      <w:rFonts w:cs="Tahoma"/>
                      <w:sz w:val="20"/>
                    </w:rPr>
                    <m:t xml:space="preserve"> </m:t>
                  </m:r>
                </m:e>
              </m:nary>
            </m:den>
          </m:f>
          <m:r>
            <w:rPr>
              <w:rFonts w:cs="Tahoma"/>
              <w:sz w:val="20"/>
            </w:rPr>
            <m:t>∙100%,</m:t>
          </m:r>
        </m:oMath>
      </m:oMathPara>
    </w:p>
    <w:p w14:paraId="567A11D0" w14:textId="77777777" w:rsidR="00C464D1" w:rsidRPr="00D36EFF" w:rsidRDefault="00C464D1" w:rsidP="00C464D1">
      <w:pPr>
        <w:pStyle w:val="af7"/>
        <w:rPr>
          <w:rFonts w:cs="Tahoma"/>
        </w:rPr>
      </w:pPr>
      <w:r>
        <w:t>where:</w:t>
      </w:r>
    </w:p>
    <w:p w14:paraId="240A3853" w14:textId="77777777" w:rsidR="00C464D1" w:rsidRPr="00D36EFF" w:rsidRDefault="00C464D1" w:rsidP="00C464D1">
      <w:pPr>
        <w:pStyle w:val="af7"/>
        <w:rPr>
          <w:rFonts w:cs="Tahoma"/>
        </w:rPr>
      </w:pPr>
      <w:r>
        <w:t>Wght</w:t>
      </w:r>
      <w:r>
        <w:rPr>
          <w:vertAlign w:val="subscript"/>
        </w:rPr>
        <w:t>i</w:t>
      </w:r>
      <w:r>
        <w:t xml:space="preserve"> – the weight of i-th Bond.</w:t>
      </w:r>
    </w:p>
    <w:p w14:paraId="371F80E0" w14:textId="77777777" w:rsidR="00C464D1" w:rsidRPr="00D36EFF" w:rsidRDefault="00C464D1" w:rsidP="00C464D1">
      <w:pPr>
        <w:pStyle w:val="af7"/>
        <w:rPr>
          <w:rFonts w:cs="Tahoma"/>
        </w:rPr>
      </w:pPr>
      <w:r>
        <w:t>MC</w:t>
      </w:r>
      <w:r>
        <w:rPr>
          <w:vertAlign w:val="subscript"/>
        </w:rPr>
        <w:t>i</w:t>
      </w:r>
      <w:r>
        <w:t xml:space="preserve"> – the capitalisation of i-th Bond calculated using the formula:</w:t>
      </w:r>
    </w:p>
    <w:p w14:paraId="4E9FD81B" w14:textId="77777777" w:rsidR="00C464D1" w:rsidRPr="00D36EFF" w:rsidRDefault="00546B05" w:rsidP="00C464D1">
      <w:pPr>
        <w:ind w:left="972"/>
        <w:jc w:val="center"/>
        <w:rPr>
          <w:rFonts w:ascii="Tahoma" w:hAnsi="Tahoma" w:cs="Tahoma"/>
          <w:sz w:val="20"/>
          <w:szCs w:val="20"/>
        </w:rPr>
      </w:pPr>
      <m:oMathPara>
        <m:oMath>
          <m:sSub>
            <m:sSubPr>
              <m:ctrlPr>
                <w:rPr>
                  <w:rFonts w:ascii="Cambria Math" w:hAnsi="Cambria Math" w:cs="Tahoma"/>
                  <w:sz w:val="20"/>
                  <w:szCs w:val="20"/>
                  <w:lang w:val="en-US"/>
                </w:rPr>
              </m:ctrlPr>
            </m:sSubPr>
            <m:e>
              <m:r>
                <m:rPr>
                  <m:sty m:val="p"/>
                </m:rPr>
                <w:rPr>
                  <w:rFonts w:ascii="Cambria Math" w:hAnsi="Cambria Math" w:cs="Tahoma"/>
                  <w:sz w:val="20"/>
                  <w:szCs w:val="20"/>
                  <w:lang w:val="en-US"/>
                </w:rPr>
                <m:t>MC</m:t>
              </m:r>
            </m:e>
            <m:sub>
              <m:r>
                <m:rPr>
                  <m:sty m:val="p"/>
                </m:rPr>
                <w:rPr>
                  <w:rFonts w:ascii="Cambria Math" w:hAnsi="Cambria Math" w:cs="Tahoma"/>
                  <w:sz w:val="20"/>
                  <w:szCs w:val="20"/>
                  <w:lang w:val="en-US"/>
                </w:rPr>
                <m:t>i</m:t>
              </m:r>
            </m:sub>
          </m:sSub>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m:t>
              </m:r>
            </m:sub>
          </m:sSub>
        </m:oMath>
      </m:oMathPara>
    </w:p>
    <w:p w14:paraId="65326FA1" w14:textId="77777777" w:rsidR="00C464D1" w:rsidRPr="00D36EFF" w:rsidRDefault="00C464D1" w:rsidP="00C464D1">
      <w:pPr>
        <w:pStyle w:val="af7"/>
        <w:rPr>
          <w:rFonts w:cs="Tahoma"/>
        </w:rPr>
      </w:pPr>
      <w:r>
        <w:t>N – total number of Bonds.</w:t>
      </w:r>
    </w:p>
    <w:p w14:paraId="5AF15BF0" w14:textId="77777777" w:rsidR="00283411" w:rsidRPr="00D36EFF" w:rsidRDefault="00C464D1" w:rsidP="00283411">
      <w:pPr>
        <w:pStyle w:val="af2"/>
        <w:ind w:left="972"/>
        <w:jc w:val="both"/>
        <w:rPr>
          <w:rFonts w:ascii="Tahoma" w:hAnsi="Tahoma" w:cs="Tahoma"/>
          <w:sz w:val="20"/>
          <w:szCs w:val="20"/>
        </w:rPr>
      </w:pPr>
      <w:r>
        <w:rPr>
          <w:rFonts w:ascii="Tahoma" w:hAnsi="Tahoma"/>
          <w:sz w:val="20"/>
        </w:rPr>
        <w:t>The weight of the Bonds of one Issuer is calculated as the sum of the Weights of the Bonds of all issues of the Issuer.</w:t>
      </w:r>
    </w:p>
    <w:p w14:paraId="7860E7F7" w14:textId="4BC5AA3D" w:rsidR="00155031" w:rsidRPr="00D36EFF" w:rsidRDefault="00155031" w:rsidP="00155031">
      <w:pPr>
        <w:numPr>
          <w:ilvl w:val="1"/>
          <w:numId w:val="1"/>
        </w:numPr>
        <w:jc w:val="both"/>
        <w:rPr>
          <w:rFonts w:ascii="Tahoma" w:hAnsi="Tahoma" w:cs="Tahoma"/>
          <w:sz w:val="20"/>
          <w:szCs w:val="20"/>
        </w:rPr>
      </w:pPr>
      <w:r>
        <w:rPr>
          <w:rFonts w:ascii="Tahoma" w:hAnsi="Tahoma"/>
          <w:sz w:val="20"/>
        </w:rPr>
        <w:t xml:space="preserve">To meet the </w:t>
      </w:r>
      <w:r w:rsidR="008B780B">
        <w:rPr>
          <w:rFonts w:ascii="Tahoma" w:hAnsi="Tahoma"/>
          <w:sz w:val="20"/>
        </w:rPr>
        <w:t xml:space="preserve">limits </w:t>
      </w:r>
      <w:r>
        <w:rPr>
          <w:rFonts w:ascii="Tahoma" w:hAnsi="Tahoma"/>
          <w:sz w:val="20"/>
        </w:rPr>
        <w:t>provided for in clauses 5.1 and 5.2 hereof, the Issuers' Weights shall be adjusted as follows:</w:t>
      </w:r>
    </w:p>
    <w:p w14:paraId="38AFF082" w14:textId="77777777" w:rsidR="00155031" w:rsidRPr="00D36EFF" w:rsidRDefault="00155031" w:rsidP="00155031">
      <w:pPr>
        <w:pStyle w:val="af2"/>
        <w:numPr>
          <w:ilvl w:val="4"/>
          <w:numId w:val="44"/>
        </w:numPr>
        <w:ind w:left="1843" w:hanging="403"/>
        <w:contextualSpacing/>
        <w:jc w:val="both"/>
        <w:rPr>
          <w:rFonts w:ascii="Tahoma" w:hAnsi="Tahoma" w:cs="Tahoma"/>
          <w:sz w:val="20"/>
          <w:szCs w:val="20"/>
        </w:rPr>
      </w:pPr>
      <w:r>
        <w:rPr>
          <w:rFonts w:ascii="Tahoma" w:hAnsi="Tahoma"/>
          <w:sz w:val="20"/>
        </w:rPr>
        <w:t>If the Weight of the Issuer in the Index Constituents of the relevant Index exceeds S value, then applicable Weight shall be deemed to be equal to S.</w:t>
      </w:r>
    </w:p>
    <w:p w14:paraId="50AA75C8" w14:textId="77777777" w:rsidR="00155031" w:rsidRPr="00D36EFF" w:rsidRDefault="00155031" w:rsidP="00155031">
      <w:pPr>
        <w:pStyle w:val="af2"/>
        <w:numPr>
          <w:ilvl w:val="4"/>
          <w:numId w:val="44"/>
        </w:numPr>
        <w:ind w:left="1843" w:hanging="403"/>
        <w:contextualSpacing/>
        <w:jc w:val="both"/>
        <w:rPr>
          <w:rFonts w:ascii="Tahoma" w:hAnsi="Tahoma" w:cs="Tahoma"/>
          <w:sz w:val="20"/>
          <w:szCs w:val="20"/>
        </w:rPr>
      </w:pPr>
      <w:bookmarkStart w:id="19" w:name="_Hlk31212518"/>
      <w:r>
        <w:rPr>
          <w:rFonts w:ascii="Tahoma" w:hAnsi="Tahoma"/>
          <w:sz w:val="20"/>
        </w:rPr>
        <w:t>The difference between the Weights before and after the cap adjustment is prorated between the Issuers, whose Weights were not subjected to cap adjustment.</w:t>
      </w:r>
    </w:p>
    <w:bookmarkEnd w:id="19"/>
    <w:p w14:paraId="3675493B" w14:textId="77777777" w:rsidR="00155031" w:rsidRPr="00D36EFF" w:rsidRDefault="00155031" w:rsidP="00155031">
      <w:pPr>
        <w:pStyle w:val="af2"/>
        <w:numPr>
          <w:ilvl w:val="4"/>
          <w:numId w:val="44"/>
        </w:numPr>
        <w:ind w:left="1843" w:hanging="403"/>
        <w:contextualSpacing/>
        <w:jc w:val="both"/>
        <w:rPr>
          <w:rFonts w:ascii="Tahoma" w:hAnsi="Tahoma" w:cs="Tahoma"/>
          <w:sz w:val="20"/>
          <w:szCs w:val="20"/>
        </w:rPr>
      </w:pPr>
      <w:r>
        <w:rPr>
          <w:rFonts w:ascii="Tahoma" w:hAnsi="Tahoma"/>
          <w:sz w:val="20"/>
        </w:rPr>
        <w:t>If the Weight of the Increased Investment Risk Sector Bonds in the Index Constituents exceeds K value, then the applicable Weight of the Increased Investment Risk Sector Bond Issuer shall be deemed to be equal to K value.</w:t>
      </w:r>
    </w:p>
    <w:p w14:paraId="4C873287" w14:textId="77777777" w:rsidR="00155031" w:rsidRPr="00D36EFF" w:rsidRDefault="00155031" w:rsidP="00155031">
      <w:pPr>
        <w:pStyle w:val="af2"/>
        <w:numPr>
          <w:ilvl w:val="4"/>
          <w:numId w:val="44"/>
        </w:numPr>
        <w:ind w:left="1843" w:hanging="403"/>
        <w:contextualSpacing/>
        <w:jc w:val="both"/>
        <w:rPr>
          <w:rFonts w:ascii="Tahoma" w:hAnsi="Tahoma" w:cs="Tahoma"/>
          <w:sz w:val="20"/>
          <w:szCs w:val="20"/>
        </w:rPr>
      </w:pPr>
      <w:r>
        <w:rPr>
          <w:rFonts w:ascii="Tahoma" w:hAnsi="Tahoma"/>
          <w:sz w:val="20"/>
        </w:rPr>
        <w:t>The difference between the Weights before and after the cap adjustment is prorated between the Issuers, whose Weights were not subjected to cap adjustment.</w:t>
      </w:r>
    </w:p>
    <w:p w14:paraId="79AA3391" w14:textId="77777777" w:rsidR="00155031" w:rsidRPr="00D36EFF" w:rsidRDefault="00155031" w:rsidP="00155031">
      <w:pPr>
        <w:pStyle w:val="af2"/>
        <w:numPr>
          <w:ilvl w:val="4"/>
          <w:numId w:val="44"/>
        </w:numPr>
        <w:ind w:left="1843" w:hanging="403"/>
        <w:contextualSpacing/>
        <w:jc w:val="both"/>
        <w:rPr>
          <w:rFonts w:ascii="Tahoma" w:hAnsi="Tahoma" w:cs="Tahoma"/>
          <w:sz w:val="20"/>
          <w:szCs w:val="20"/>
        </w:rPr>
      </w:pPr>
      <w:r>
        <w:rPr>
          <w:rFonts w:ascii="Tahoma" w:hAnsi="Tahoma"/>
          <w:sz w:val="20"/>
        </w:rPr>
        <w:t>The above actions are repeated iteratively as long as there are Issuers whose Weights exceed the S value, and the Weight of the Credit Institutions Bonds exceeds the K value.</w:t>
      </w:r>
    </w:p>
    <w:p w14:paraId="1189294E" w14:textId="77777777" w:rsidR="00283411" w:rsidRDefault="00283411" w:rsidP="00283411">
      <w:pPr>
        <w:numPr>
          <w:ilvl w:val="1"/>
          <w:numId w:val="1"/>
        </w:numPr>
        <w:jc w:val="both"/>
        <w:rPr>
          <w:rFonts w:ascii="Tahoma" w:hAnsi="Tahoma" w:cs="Tahoma"/>
          <w:sz w:val="20"/>
          <w:szCs w:val="20"/>
        </w:rPr>
      </w:pPr>
      <w:r>
        <w:rPr>
          <w:rFonts w:ascii="Tahoma" w:hAnsi="Tahoma"/>
          <w:sz w:val="20"/>
        </w:rPr>
        <w:t>Weighting Factors Wi vary from 0 to 1 with seven decimal places accuracy subject to mathematical rounding.</w:t>
      </w:r>
    </w:p>
    <w:p w14:paraId="560250E7" w14:textId="3BCA084E" w:rsidR="004378D0" w:rsidRPr="00AD501A" w:rsidRDefault="004378D0" w:rsidP="004378D0">
      <w:pPr>
        <w:pStyle w:val="af2"/>
        <w:numPr>
          <w:ilvl w:val="1"/>
          <w:numId w:val="1"/>
        </w:numPr>
        <w:rPr>
          <w:rFonts w:ascii="Tahoma" w:hAnsi="Tahoma" w:cs="Tahoma"/>
          <w:sz w:val="20"/>
          <w:szCs w:val="20"/>
        </w:rPr>
      </w:pPr>
      <w:r>
        <w:rPr>
          <w:rFonts w:ascii="Tahoma" w:hAnsi="Tahoma"/>
          <w:sz w:val="20"/>
        </w:rPr>
        <w:t xml:space="preserve">If it is impossible to concurrently meet </w:t>
      </w:r>
      <w:r w:rsidR="008B780B">
        <w:rPr>
          <w:rFonts w:ascii="Tahoma" w:hAnsi="Tahoma"/>
          <w:sz w:val="20"/>
        </w:rPr>
        <w:t xml:space="preserve">the limits </w:t>
      </w:r>
      <w:r>
        <w:rPr>
          <w:rFonts w:ascii="Tahoma" w:hAnsi="Tahoma"/>
          <w:sz w:val="20"/>
        </w:rPr>
        <w:t>provided for in clauses 5.1 and 5.2, the Issuer’s weight cap has priority.</w:t>
      </w:r>
    </w:p>
    <w:p w14:paraId="31E69745" w14:textId="77777777" w:rsidR="00CF34DC" w:rsidRPr="00D36EFF" w:rsidRDefault="00CF34DC" w:rsidP="00B74EE3">
      <w:pPr>
        <w:numPr>
          <w:ilvl w:val="1"/>
          <w:numId w:val="1"/>
        </w:numPr>
        <w:jc w:val="both"/>
        <w:rPr>
          <w:rFonts w:ascii="Tahoma" w:hAnsi="Tahoma" w:cs="Tahoma"/>
          <w:sz w:val="20"/>
          <w:szCs w:val="20"/>
        </w:rPr>
      </w:pPr>
      <w:r>
        <w:rPr>
          <w:rFonts w:ascii="Tahoma" w:hAnsi="Tahoma"/>
          <w:sz w:val="20"/>
        </w:rPr>
        <w:t>If the share of the Bonds issue value on the date of review of the Index Constituents does not meet the requirements of clauses 5.1, 5.2 hereof, the Exchange has the right to set the Bond issue volume N</w:t>
      </w:r>
      <w:r>
        <w:rPr>
          <w:rFonts w:ascii="Tahoma" w:hAnsi="Tahoma"/>
          <w:sz w:val="20"/>
          <w:vertAlign w:val="subscript"/>
        </w:rPr>
        <w:t>i,t-1</w:t>
      </w:r>
      <w:r>
        <w:rPr>
          <w:rFonts w:ascii="Tahoma" w:hAnsi="Tahoma"/>
          <w:sz w:val="20"/>
        </w:rPr>
        <w:t>, used to calculate the Index in accordance with clause 2.2 hereof, so that the share of the Bonds issue value does not exceed the value established by clauses 5.1 and 5.2.</w:t>
      </w:r>
    </w:p>
    <w:p w14:paraId="7645F460" w14:textId="77777777" w:rsidR="009523B4" w:rsidRPr="00D36EFF" w:rsidRDefault="009523B4" w:rsidP="009523B4">
      <w:pPr>
        <w:ind w:left="360"/>
        <w:outlineLvl w:val="0"/>
        <w:rPr>
          <w:rFonts w:ascii="Tahoma" w:hAnsi="Tahoma" w:cs="Tahoma"/>
          <w:b/>
          <w:sz w:val="20"/>
          <w:szCs w:val="20"/>
        </w:rPr>
      </w:pPr>
    </w:p>
    <w:p w14:paraId="74BCFD8F" w14:textId="77777777" w:rsidR="00C73D53" w:rsidRPr="00D36EFF" w:rsidRDefault="00C73D53" w:rsidP="00B74EE3">
      <w:pPr>
        <w:numPr>
          <w:ilvl w:val="0"/>
          <w:numId w:val="1"/>
        </w:numPr>
        <w:outlineLvl w:val="0"/>
        <w:rPr>
          <w:rFonts w:ascii="Tahoma" w:hAnsi="Tahoma" w:cs="Tahoma"/>
          <w:b/>
          <w:sz w:val="20"/>
          <w:szCs w:val="20"/>
        </w:rPr>
      </w:pPr>
      <w:bookmarkStart w:id="20" w:name="_Toc31119135"/>
      <w:bookmarkStart w:id="21" w:name="_Toc31207503"/>
      <w:bookmarkStart w:id="22" w:name="_Toc31209593"/>
      <w:bookmarkStart w:id="23" w:name="_Toc31212600"/>
      <w:bookmarkStart w:id="24" w:name="_Toc424122380"/>
      <w:bookmarkStart w:id="25" w:name="_Toc438206745"/>
      <w:bookmarkStart w:id="26" w:name="_Toc438206781"/>
      <w:bookmarkStart w:id="27" w:name="_Toc438207001"/>
      <w:bookmarkStart w:id="28" w:name="_Toc433902917"/>
      <w:bookmarkStart w:id="29" w:name="_Toc463443775"/>
      <w:bookmarkStart w:id="30" w:name="_Toc488065488"/>
      <w:bookmarkStart w:id="31" w:name="_Toc514669049"/>
      <w:bookmarkStart w:id="32" w:name="_Toc150862880"/>
      <w:bookmarkStart w:id="33" w:name="_Ref272826482"/>
      <w:bookmarkStart w:id="34" w:name="п_6_1"/>
      <w:bookmarkEnd w:id="20"/>
      <w:bookmarkEnd w:id="21"/>
      <w:bookmarkEnd w:id="22"/>
      <w:bookmarkEnd w:id="23"/>
      <w:r>
        <w:rPr>
          <w:rFonts w:ascii="Tahoma" w:hAnsi="Tahoma"/>
          <w:b/>
          <w:sz w:val="20"/>
        </w:rPr>
        <w:t>Index Calculation Control</w:t>
      </w:r>
      <w:bookmarkEnd w:id="24"/>
      <w:bookmarkEnd w:id="25"/>
      <w:bookmarkEnd w:id="26"/>
      <w:bookmarkEnd w:id="27"/>
      <w:bookmarkEnd w:id="28"/>
      <w:bookmarkEnd w:id="29"/>
      <w:bookmarkEnd w:id="30"/>
      <w:bookmarkEnd w:id="31"/>
      <w:bookmarkEnd w:id="32"/>
    </w:p>
    <w:p w14:paraId="11584C5D" w14:textId="77777777" w:rsidR="00B74EE3" w:rsidRPr="00D36EFF" w:rsidRDefault="00B74EE3" w:rsidP="00B74EE3">
      <w:pPr>
        <w:ind w:left="360"/>
        <w:outlineLvl w:val="0"/>
        <w:rPr>
          <w:rFonts w:ascii="Tahoma" w:hAnsi="Tahoma" w:cs="Tahoma"/>
          <w:b/>
          <w:sz w:val="20"/>
          <w:szCs w:val="20"/>
        </w:rPr>
      </w:pPr>
    </w:p>
    <w:p w14:paraId="0376578B" w14:textId="77777777" w:rsidR="00C73D53" w:rsidRPr="00D36EFF" w:rsidRDefault="00C73D53" w:rsidP="00B74EE3">
      <w:pPr>
        <w:numPr>
          <w:ilvl w:val="1"/>
          <w:numId w:val="1"/>
        </w:numPr>
        <w:jc w:val="both"/>
        <w:rPr>
          <w:rFonts w:ascii="Tahoma" w:hAnsi="Tahoma" w:cs="Tahoma"/>
          <w:sz w:val="20"/>
          <w:szCs w:val="20"/>
        </w:rPr>
      </w:pPr>
      <w:r>
        <w:rPr>
          <w:rFonts w:ascii="Tahoma" w:hAnsi="Tahoma"/>
          <w:sz w:val="20"/>
        </w:rPr>
        <w:t>If any technical failure occurs, specifically in Index calculation or in the course of trading in securities on the Exchange, which corrupts data used for Index calculation, the Index values may be recalculated. Such recalculation is carried out within the shortest possible time from the moment the technical failure has been detected. Information on the Index values as recalculated is published on the Exchange’s website.</w:t>
      </w:r>
    </w:p>
    <w:p w14:paraId="6E09151C" w14:textId="77777777" w:rsidR="00C73D53" w:rsidRPr="00D36EFF" w:rsidRDefault="00C73D53" w:rsidP="00B74EE3">
      <w:pPr>
        <w:numPr>
          <w:ilvl w:val="1"/>
          <w:numId w:val="1"/>
        </w:numPr>
        <w:jc w:val="both"/>
        <w:rPr>
          <w:rFonts w:ascii="Tahoma" w:hAnsi="Tahoma" w:cs="Tahoma"/>
          <w:sz w:val="20"/>
          <w:szCs w:val="20"/>
        </w:rPr>
      </w:pPr>
      <w:r>
        <w:rPr>
          <w:rFonts w:ascii="Tahoma" w:hAnsi="Tahoma"/>
          <w:sz w:val="20"/>
        </w:rPr>
        <w:t>In the event of circumstances which can have a negative effect on the adequacy of the Index reflecting the actual state of the Russian bond market, the Exchange may take any actions to ensure adequacy of the Index, e.g. remove Bonds from Index Constituents etc.</w:t>
      </w:r>
    </w:p>
    <w:p w14:paraId="6D7BB40D" w14:textId="77777777" w:rsidR="00C73D53" w:rsidRPr="00D36EFF" w:rsidRDefault="00C73D53" w:rsidP="00305A98">
      <w:pPr>
        <w:widowControl w:val="0"/>
        <w:spacing w:before="100" w:after="120" w:line="276" w:lineRule="auto"/>
        <w:jc w:val="both"/>
        <w:rPr>
          <w:rFonts w:ascii="Tahoma" w:hAnsi="Tahoma" w:cs="Tahoma"/>
          <w:sz w:val="20"/>
          <w:szCs w:val="20"/>
        </w:rPr>
      </w:pPr>
    </w:p>
    <w:p w14:paraId="3DB751AE" w14:textId="77777777" w:rsidR="00657BF4" w:rsidRPr="00D36EFF" w:rsidRDefault="00657BF4" w:rsidP="00B74EE3">
      <w:pPr>
        <w:numPr>
          <w:ilvl w:val="0"/>
          <w:numId w:val="1"/>
        </w:numPr>
        <w:outlineLvl w:val="0"/>
        <w:rPr>
          <w:rFonts w:ascii="Tahoma" w:hAnsi="Tahoma" w:cs="Tahoma"/>
          <w:b/>
          <w:sz w:val="20"/>
          <w:szCs w:val="20"/>
        </w:rPr>
      </w:pPr>
      <w:bookmarkStart w:id="35" w:name="_Toc150862881"/>
      <w:bookmarkEnd w:id="33"/>
      <w:bookmarkEnd w:id="34"/>
      <w:r>
        <w:rPr>
          <w:rFonts w:ascii="Tahoma" w:hAnsi="Tahoma"/>
          <w:b/>
          <w:sz w:val="20"/>
        </w:rPr>
        <w:t>Information Disclosure</w:t>
      </w:r>
      <w:bookmarkEnd w:id="35"/>
    </w:p>
    <w:p w14:paraId="3CC55CE6" w14:textId="77777777" w:rsidR="00657BF4" w:rsidRPr="00D36EFF" w:rsidRDefault="00657BF4" w:rsidP="00B74EE3">
      <w:pPr>
        <w:ind w:left="972"/>
        <w:jc w:val="both"/>
        <w:rPr>
          <w:rFonts w:ascii="Tahoma" w:hAnsi="Tahoma" w:cs="Tahoma"/>
          <w:sz w:val="20"/>
          <w:szCs w:val="20"/>
        </w:rPr>
      </w:pPr>
    </w:p>
    <w:p w14:paraId="7A89B17A" w14:textId="77777777" w:rsidR="00EB69B2" w:rsidRPr="00D36EFF" w:rsidRDefault="00EB69B2" w:rsidP="00B74EE3">
      <w:pPr>
        <w:numPr>
          <w:ilvl w:val="1"/>
          <w:numId w:val="1"/>
        </w:numPr>
        <w:jc w:val="both"/>
        <w:rPr>
          <w:rFonts w:ascii="Tahoma" w:hAnsi="Tahoma" w:cs="Tahoma"/>
          <w:sz w:val="20"/>
          <w:szCs w:val="20"/>
        </w:rPr>
      </w:pPr>
      <w:r>
        <w:rPr>
          <w:rFonts w:ascii="Tahoma" w:hAnsi="Tahoma"/>
          <w:sz w:val="20"/>
        </w:rPr>
        <w:lastRenderedPageBreak/>
        <w:t>The Exchange discloses the Index values and additional metrics for the previous trading day every trading day no later than 12:00 MSK.</w:t>
      </w:r>
    </w:p>
    <w:p w14:paraId="0F6A91EE" w14:textId="77777777" w:rsidR="009523B4" w:rsidRPr="00D36EFF" w:rsidRDefault="006260C6" w:rsidP="00B74EE3">
      <w:pPr>
        <w:numPr>
          <w:ilvl w:val="1"/>
          <w:numId w:val="1"/>
        </w:numPr>
        <w:jc w:val="both"/>
        <w:rPr>
          <w:rFonts w:ascii="Tahoma" w:hAnsi="Tahoma" w:cs="Tahoma"/>
          <w:sz w:val="20"/>
          <w:szCs w:val="20"/>
        </w:rPr>
      </w:pPr>
      <w:r>
        <w:rPr>
          <w:rFonts w:ascii="Tahoma" w:hAnsi="Tahoma"/>
          <w:sz w:val="20"/>
        </w:rPr>
        <w:t xml:space="preserve"> Announcements on the Index Constituents periodic review are posted within three working days as from the date of Exchanges resolution on approval of new Index Constituents, but no later than one week prior to the day on which such resolution becomes effective.</w:t>
      </w:r>
    </w:p>
    <w:p w14:paraId="066D0DA3" w14:textId="77777777" w:rsidR="009523B4" w:rsidRPr="00D36EFF" w:rsidRDefault="009523B4" w:rsidP="00B74EE3">
      <w:pPr>
        <w:numPr>
          <w:ilvl w:val="1"/>
          <w:numId w:val="1"/>
        </w:numPr>
        <w:jc w:val="both"/>
        <w:rPr>
          <w:rFonts w:ascii="Tahoma" w:hAnsi="Tahoma" w:cs="Tahoma"/>
          <w:sz w:val="20"/>
          <w:szCs w:val="20"/>
        </w:rPr>
      </w:pPr>
      <w:r>
        <w:rPr>
          <w:rFonts w:ascii="Tahoma" w:hAnsi="Tahoma"/>
          <w:sz w:val="20"/>
        </w:rPr>
        <w:t>Announcements on extraordinary reviews of Index Constituents are posted no later than on the day preceding the effective day of the Exchange's resolution on approval of new Index Constituents.</w:t>
      </w:r>
    </w:p>
    <w:p w14:paraId="20B0E635" w14:textId="77777777" w:rsidR="00657BF4" w:rsidRPr="00D36EFF" w:rsidRDefault="00657BF4" w:rsidP="00B74EE3">
      <w:pPr>
        <w:numPr>
          <w:ilvl w:val="1"/>
          <w:numId w:val="1"/>
        </w:numPr>
        <w:jc w:val="both"/>
        <w:rPr>
          <w:rFonts w:ascii="Tahoma" w:hAnsi="Tahoma" w:cs="Tahoma"/>
          <w:sz w:val="20"/>
          <w:szCs w:val="20"/>
        </w:rPr>
      </w:pPr>
      <w:r>
        <w:rPr>
          <w:rFonts w:ascii="Tahoma" w:hAnsi="Tahoma"/>
          <w:sz w:val="20"/>
        </w:rPr>
        <w:t>The Information to be disclosed under this Methodology is posted on the official website of the Exchange. Such information may also be disseminated in other ways, specifically through information agencies distributing data about on-Exchange trading in Securities.</w:t>
      </w:r>
    </w:p>
    <w:p w14:paraId="3D7C3760" w14:textId="77777777" w:rsidR="00645F36" w:rsidRPr="000348BF" w:rsidRDefault="00645F36" w:rsidP="000B712B">
      <w:pPr>
        <w:jc w:val="right"/>
        <w:rPr>
          <w:rFonts w:ascii="Tahoma" w:hAnsi="Tahoma" w:cs="Tahoma"/>
          <w:sz w:val="20"/>
        </w:rPr>
      </w:pPr>
    </w:p>
    <w:sectPr w:rsidR="00645F36" w:rsidRPr="000348BF" w:rsidSect="004534E4">
      <w:headerReference w:type="default" r:id="rId8"/>
      <w:footerReference w:type="default" r:id="rId9"/>
      <w:footerReference w:type="first" r:id="rId10"/>
      <w:pgSz w:w="11906" w:h="16838"/>
      <w:pgMar w:top="1079" w:right="1134" w:bottom="107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F989" w14:textId="77777777" w:rsidR="00546B05" w:rsidRDefault="00546B05">
      <w:r>
        <w:separator/>
      </w:r>
    </w:p>
  </w:endnote>
  <w:endnote w:type="continuationSeparator" w:id="0">
    <w:p w14:paraId="3FAAB525" w14:textId="77777777" w:rsidR="00546B05" w:rsidRDefault="0054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6EBB" w14:textId="77777777" w:rsidR="000611BC" w:rsidRPr="006D19CD" w:rsidRDefault="000611BC"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rPr>
      <w:fldChar w:fldCharType="begin"/>
    </w:r>
    <w:r w:rsidRPr="006D19CD">
      <w:rPr>
        <w:rStyle w:val="aa"/>
        <w:rFonts w:ascii="Arial" w:hAnsi="Arial" w:cs="Arial"/>
        <w:sz w:val="20"/>
      </w:rPr>
      <w:instrText xml:space="preserve">PAGE  </w:instrText>
    </w:r>
    <w:r w:rsidRPr="006D19CD">
      <w:rPr>
        <w:rStyle w:val="aa"/>
        <w:rFonts w:ascii="Arial" w:hAnsi="Arial" w:cs="Arial"/>
        <w:sz w:val="20"/>
      </w:rPr>
      <w:fldChar w:fldCharType="separate"/>
    </w:r>
    <w:r w:rsidR="00BA6B78">
      <w:rPr>
        <w:rStyle w:val="aa"/>
        <w:rFonts w:ascii="Arial" w:hAnsi="Arial" w:cs="Arial"/>
        <w:sz w:val="20"/>
      </w:rPr>
      <w:t>2</w:t>
    </w:r>
    <w:r w:rsidRPr="006D19CD">
      <w:rPr>
        <w:rStyle w:val="aa"/>
        <w:rFonts w:ascii="Arial" w:hAnsi="Arial" w:cs="Arial"/>
        <w:sz w:val="20"/>
      </w:rPr>
      <w:fldChar w:fldCharType="end"/>
    </w:r>
  </w:p>
  <w:p w14:paraId="4971FFCF" w14:textId="77777777" w:rsidR="000611BC" w:rsidRDefault="000611BC" w:rsidP="0052580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A000" w14:textId="77777777" w:rsidR="000611BC" w:rsidRDefault="000611BC" w:rsidP="00B21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A96F" w14:textId="77777777" w:rsidR="00546B05" w:rsidRDefault="00546B05">
      <w:r>
        <w:separator/>
      </w:r>
    </w:p>
  </w:footnote>
  <w:footnote w:type="continuationSeparator" w:id="0">
    <w:p w14:paraId="0F4AD4C3" w14:textId="77777777" w:rsidR="00546B05" w:rsidRDefault="0054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4B35" w14:textId="77777777" w:rsidR="000611BC" w:rsidRDefault="000611B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F45"/>
    <w:multiLevelType w:val="hybridMultilevel"/>
    <w:tmpl w:val="A3883F64"/>
    <w:lvl w:ilvl="0" w:tplc="04190001">
      <w:start w:val="1"/>
      <w:numFmt w:val="bullet"/>
      <w:lvlText w:val=""/>
      <w:lvlJc w:val="left"/>
      <w:pPr>
        <w:ind w:left="1692" w:hanging="360"/>
      </w:pPr>
      <w:rPr>
        <w:rFonts w:ascii="Symbol" w:hAnsi="Symbol" w:hint="default"/>
      </w:rPr>
    </w:lvl>
    <w:lvl w:ilvl="1" w:tplc="04190003">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1"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1F535FB4"/>
    <w:multiLevelType w:val="multilevel"/>
    <w:tmpl w:val="83A243B2"/>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bullet"/>
      <w:lvlText w:val=""/>
      <w:lvlJc w:val="left"/>
      <w:pPr>
        <w:ind w:left="2488" w:hanging="1080"/>
      </w:pPr>
      <w:rPr>
        <w:rFonts w:ascii="Symbol" w:hAnsi="Symbol"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1"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4" w15:restartNumberingAfterBreak="0">
    <w:nsid w:val="2EDD169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3ED4F3E"/>
    <w:multiLevelType w:val="multilevel"/>
    <w:tmpl w:val="76D2C37E"/>
    <w:lvl w:ilvl="0">
      <w:start w:val="1"/>
      <w:numFmt w:val="decimal"/>
      <w:lvlText w:val="%1."/>
      <w:lvlJc w:val="left"/>
      <w:pPr>
        <w:tabs>
          <w:tab w:val="num" w:pos="0"/>
        </w:tabs>
        <w:ind w:left="0" w:firstLine="0"/>
      </w:pPr>
      <w:rPr>
        <w:rFonts w:ascii="Arial" w:hAnsi="Arial" w:hint="default"/>
        <w:b/>
        <w:i w:val="0"/>
        <w:sz w:val="24"/>
        <w:szCs w:val="24"/>
      </w:rPr>
    </w:lvl>
    <w:lvl w:ilvl="1">
      <w:start w:val="1"/>
      <w:numFmt w:val="bullet"/>
      <w:lvlText w:val=""/>
      <w:lvlJc w:val="left"/>
      <w:pPr>
        <w:tabs>
          <w:tab w:val="num" w:pos="792"/>
        </w:tabs>
        <w:ind w:left="792" w:hanging="432"/>
      </w:pPr>
      <w:rPr>
        <w:rFonts w:ascii="Symbol" w:hAnsi="Symbol"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8"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4E12BE0"/>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7084D98"/>
    <w:multiLevelType w:val="hybridMultilevel"/>
    <w:tmpl w:val="021A0594"/>
    <w:lvl w:ilvl="0" w:tplc="E6ECA8EE">
      <w:start w:val="1"/>
      <w:numFmt w:val="bullet"/>
      <w:lvlText w:val=""/>
      <w:lvlJc w:val="left"/>
      <w:pPr>
        <w:tabs>
          <w:tab w:val="num" w:pos="720"/>
        </w:tabs>
        <w:ind w:left="720" w:hanging="360"/>
      </w:pPr>
      <w:rPr>
        <w:rFonts w:ascii="Symbol" w:hAnsi="Symbol" w:hint="default"/>
      </w:rPr>
    </w:lvl>
    <w:lvl w:ilvl="1" w:tplc="2E8CFA5E">
      <w:start w:val="1"/>
      <w:numFmt w:val="bullet"/>
      <w:lvlText w:val="o"/>
      <w:lvlJc w:val="left"/>
      <w:pPr>
        <w:tabs>
          <w:tab w:val="num" w:pos="1440"/>
        </w:tabs>
        <w:ind w:left="1440" w:hanging="360"/>
      </w:pPr>
      <w:rPr>
        <w:rFonts w:ascii="Courier New" w:hAnsi="Courier New" w:hint="default"/>
      </w:rPr>
    </w:lvl>
    <w:lvl w:ilvl="2" w:tplc="A1720EA6" w:tentative="1">
      <w:start w:val="1"/>
      <w:numFmt w:val="bullet"/>
      <w:lvlText w:val=""/>
      <w:lvlJc w:val="left"/>
      <w:pPr>
        <w:tabs>
          <w:tab w:val="num" w:pos="2160"/>
        </w:tabs>
        <w:ind w:left="2160" w:hanging="360"/>
      </w:pPr>
      <w:rPr>
        <w:rFonts w:ascii="Wingdings" w:hAnsi="Wingdings" w:hint="default"/>
      </w:rPr>
    </w:lvl>
    <w:lvl w:ilvl="3" w:tplc="379EF966" w:tentative="1">
      <w:start w:val="1"/>
      <w:numFmt w:val="bullet"/>
      <w:lvlText w:val=""/>
      <w:lvlJc w:val="left"/>
      <w:pPr>
        <w:tabs>
          <w:tab w:val="num" w:pos="2880"/>
        </w:tabs>
        <w:ind w:left="2880" w:hanging="360"/>
      </w:pPr>
      <w:rPr>
        <w:rFonts w:ascii="Symbol" w:hAnsi="Symbol" w:hint="default"/>
      </w:rPr>
    </w:lvl>
    <w:lvl w:ilvl="4" w:tplc="46F6D98C" w:tentative="1">
      <w:start w:val="1"/>
      <w:numFmt w:val="bullet"/>
      <w:lvlText w:val="o"/>
      <w:lvlJc w:val="left"/>
      <w:pPr>
        <w:tabs>
          <w:tab w:val="num" w:pos="3600"/>
        </w:tabs>
        <w:ind w:left="3600" w:hanging="360"/>
      </w:pPr>
      <w:rPr>
        <w:rFonts w:ascii="Courier New" w:hAnsi="Courier New" w:hint="default"/>
      </w:rPr>
    </w:lvl>
    <w:lvl w:ilvl="5" w:tplc="73DE7CC2" w:tentative="1">
      <w:start w:val="1"/>
      <w:numFmt w:val="bullet"/>
      <w:lvlText w:val=""/>
      <w:lvlJc w:val="left"/>
      <w:pPr>
        <w:tabs>
          <w:tab w:val="num" w:pos="4320"/>
        </w:tabs>
        <w:ind w:left="4320" w:hanging="360"/>
      </w:pPr>
      <w:rPr>
        <w:rFonts w:ascii="Wingdings" w:hAnsi="Wingdings" w:hint="default"/>
      </w:rPr>
    </w:lvl>
    <w:lvl w:ilvl="6" w:tplc="A9A48F14" w:tentative="1">
      <w:start w:val="1"/>
      <w:numFmt w:val="bullet"/>
      <w:lvlText w:val=""/>
      <w:lvlJc w:val="left"/>
      <w:pPr>
        <w:tabs>
          <w:tab w:val="num" w:pos="5040"/>
        </w:tabs>
        <w:ind w:left="5040" w:hanging="360"/>
      </w:pPr>
      <w:rPr>
        <w:rFonts w:ascii="Symbol" w:hAnsi="Symbol" w:hint="default"/>
      </w:rPr>
    </w:lvl>
    <w:lvl w:ilvl="7" w:tplc="963E3EAC" w:tentative="1">
      <w:start w:val="1"/>
      <w:numFmt w:val="bullet"/>
      <w:lvlText w:val="o"/>
      <w:lvlJc w:val="left"/>
      <w:pPr>
        <w:tabs>
          <w:tab w:val="num" w:pos="5760"/>
        </w:tabs>
        <w:ind w:left="5760" w:hanging="360"/>
      </w:pPr>
      <w:rPr>
        <w:rFonts w:ascii="Courier New" w:hAnsi="Courier New" w:hint="default"/>
      </w:rPr>
    </w:lvl>
    <w:lvl w:ilvl="8" w:tplc="DAB867E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C704E"/>
    <w:multiLevelType w:val="multilevel"/>
    <w:tmpl w:val="F95267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577A1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3"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1824C9"/>
    <w:multiLevelType w:val="multilevel"/>
    <w:tmpl w:val="C43CA94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4F330D2E"/>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52426852"/>
    <w:multiLevelType w:val="hybridMultilevel"/>
    <w:tmpl w:val="AA74C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8F45A07"/>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AFE7A6B"/>
    <w:multiLevelType w:val="hybridMultilevel"/>
    <w:tmpl w:val="60AAD4A6"/>
    <w:lvl w:ilvl="0" w:tplc="FFFFFFFF">
      <w:start w:val="1"/>
      <w:numFmt w:val="bullet"/>
      <w:lvlText w:val=""/>
      <w:lvlJc w:val="left"/>
      <w:pPr>
        <w:tabs>
          <w:tab w:val="num" w:pos="1512"/>
        </w:tabs>
        <w:ind w:left="1512" w:hanging="360"/>
      </w:pPr>
      <w:rPr>
        <w:rFonts w:ascii="Symbol" w:hAnsi="Symbol" w:hint="default"/>
      </w:rPr>
    </w:lvl>
    <w:lvl w:ilvl="1" w:tplc="FFFFFFFF" w:tentative="1">
      <w:start w:val="1"/>
      <w:numFmt w:val="bullet"/>
      <w:lvlText w:val="o"/>
      <w:lvlJc w:val="left"/>
      <w:pPr>
        <w:tabs>
          <w:tab w:val="num" w:pos="2232"/>
        </w:tabs>
        <w:ind w:left="2232" w:hanging="360"/>
      </w:pPr>
      <w:rPr>
        <w:rFonts w:ascii="Courier New" w:hAnsi="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2" w15:restartNumberingAfterBreak="0">
    <w:nsid w:val="5C6C68BD"/>
    <w:multiLevelType w:val="hybridMultilevel"/>
    <w:tmpl w:val="B09E1E5A"/>
    <w:lvl w:ilvl="0" w:tplc="FFFFFFFF">
      <w:start w:val="1"/>
      <w:numFmt w:val="decimal"/>
      <w:lvlText w:val="%1)"/>
      <w:lvlJc w:val="left"/>
      <w:pPr>
        <w:ind w:left="1996" w:hanging="360"/>
      </w:pPr>
      <w:rPr>
        <w:rFonts w:cs="Times New Roman"/>
      </w:rPr>
    </w:lvl>
    <w:lvl w:ilvl="1" w:tplc="FFFFFFFF">
      <w:start w:val="1"/>
      <w:numFmt w:val="lowerLetter"/>
      <w:lvlText w:val="%2."/>
      <w:lvlJc w:val="left"/>
      <w:pPr>
        <w:ind w:left="2716" w:hanging="360"/>
      </w:pPr>
      <w:rPr>
        <w:rFonts w:cs="Times New Roman"/>
      </w:rPr>
    </w:lvl>
    <w:lvl w:ilvl="2" w:tplc="72B04BDA"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33" w15:restartNumberingAfterBreak="0">
    <w:nsid w:val="5F6740AD"/>
    <w:multiLevelType w:val="hybridMultilevel"/>
    <w:tmpl w:val="B6BE399C"/>
    <w:lvl w:ilvl="0" w:tplc="04190001">
      <w:start w:val="1"/>
      <w:numFmt w:val="bullet"/>
      <w:lvlText w:val=""/>
      <w:lvlJc w:val="left"/>
      <w:pPr>
        <w:ind w:left="1332" w:hanging="360"/>
      </w:pPr>
      <w:rPr>
        <w:rFonts w:ascii="Symbol" w:hAnsi="Symbol" w:hint="default"/>
      </w:rPr>
    </w:lvl>
    <w:lvl w:ilvl="1" w:tplc="04190003">
      <w:start w:val="1"/>
      <w:numFmt w:val="bullet"/>
      <w:lvlText w:val="o"/>
      <w:lvlJc w:val="left"/>
      <w:pPr>
        <w:ind w:left="2052" w:hanging="360"/>
      </w:pPr>
      <w:rPr>
        <w:rFonts w:ascii="Courier New" w:hAnsi="Courier New" w:cs="Courier New" w:hint="default"/>
      </w:rPr>
    </w:lvl>
    <w:lvl w:ilvl="2" w:tplc="04190005">
      <w:start w:val="1"/>
      <w:numFmt w:val="bullet"/>
      <w:lvlText w:val=""/>
      <w:lvlJc w:val="left"/>
      <w:pPr>
        <w:ind w:left="2772" w:hanging="360"/>
      </w:pPr>
      <w:rPr>
        <w:rFonts w:ascii="Wingdings" w:hAnsi="Wingdings" w:hint="default"/>
      </w:rPr>
    </w:lvl>
    <w:lvl w:ilvl="3" w:tplc="04190001">
      <w:start w:val="1"/>
      <w:numFmt w:val="bullet"/>
      <w:lvlText w:val=""/>
      <w:lvlJc w:val="left"/>
      <w:pPr>
        <w:ind w:left="3492" w:hanging="360"/>
      </w:pPr>
      <w:rPr>
        <w:rFonts w:ascii="Symbol" w:hAnsi="Symbol" w:hint="default"/>
      </w:rPr>
    </w:lvl>
    <w:lvl w:ilvl="4" w:tplc="04190003">
      <w:start w:val="1"/>
      <w:numFmt w:val="bullet"/>
      <w:lvlText w:val="o"/>
      <w:lvlJc w:val="left"/>
      <w:pPr>
        <w:ind w:left="4212" w:hanging="360"/>
      </w:pPr>
      <w:rPr>
        <w:rFonts w:ascii="Courier New" w:hAnsi="Courier New" w:cs="Courier New" w:hint="default"/>
      </w:rPr>
    </w:lvl>
    <w:lvl w:ilvl="5" w:tplc="04190005">
      <w:start w:val="1"/>
      <w:numFmt w:val="bullet"/>
      <w:lvlText w:val=""/>
      <w:lvlJc w:val="left"/>
      <w:pPr>
        <w:ind w:left="4932" w:hanging="360"/>
      </w:pPr>
      <w:rPr>
        <w:rFonts w:ascii="Wingdings" w:hAnsi="Wingdings" w:hint="default"/>
      </w:rPr>
    </w:lvl>
    <w:lvl w:ilvl="6" w:tplc="04190001">
      <w:start w:val="1"/>
      <w:numFmt w:val="bullet"/>
      <w:lvlText w:val=""/>
      <w:lvlJc w:val="left"/>
      <w:pPr>
        <w:ind w:left="5652" w:hanging="360"/>
      </w:pPr>
      <w:rPr>
        <w:rFonts w:ascii="Symbol" w:hAnsi="Symbol" w:hint="default"/>
      </w:rPr>
    </w:lvl>
    <w:lvl w:ilvl="7" w:tplc="04190003">
      <w:start w:val="1"/>
      <w:numFmt w:val="bullet"/>
      <w:lvlText w:val="o"/>
      <w:lvlJc w:val="left"/>
      <w:pPr>
        <w:ind w:left="6372" w:hanging="360"/>
      </w:pPr>
      <w:rPr>
        <w:rFonts w:ascii="Courier New" w:hAnsi="Courier New" w:cs="Courier New" w:hint="default"/>
      </w:rPr>
    </w:lvl>
    <w:lvl w:ilvl="8" w:tplc="04190005">
      <w:start w:val="1"/>
      <w:numFmt w:val="bullet"/>
      <w:lvlText w:val=""/>
      <w:lvlJc w:val="left"/>
      <w:pPr>
        <w:ind w:left="7092" w:hanging="360"/>
      </w:pPr>
      <w:rPr>
        <w:rFonts w:ascii="Wingdings" w:hAnsi="Wingdings" w:hint="default"/>
      </w:rPr>
    </w:lvl>
  </w:abstractNum>
  <w:abstractNum w:abstractNumId="34" w15:restartNumberingAfterBreak="0">
    <w:nsid w:val="674D360E"/>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71004AC0"/>
    <w:multiLevelType w:val="hybridMultilevel"/>
    <w:tmpl w:val="EAD80562"/>
    <w:lvl w:ilvl="0" w:tplc="29841CD0">
      <w:start w:val="1"/>
      <w:numFmt w:val="russianLower"/>
      <w:lvlText w:val="%1)"/>
      <w:lvlJc w:val="left"/>
      <w:pPr>
        <w:ind w:left="1713" w:hanging="360"/>
      </w:pPr>
      <w:rPr>
        <w:rFonts w:hint="default"/>
      </w:rPr>
    </w:lvl>
    <w:lvl w:ilvl="1" w:tplc="C8A28510" w:tentative="1">
      <w:start w:val="1"/>
      <w:numFmt w:val="lowerLetter"/>
      <w:lvlText w:val="%2."/>
      <w:lvlJc w:val="left"/>
      <w:pPr>
        <w:ind w:left="2433" w:hanging="360"/>
      </w:pPr>
    </w:lvl>
    <w:lvl w:ilvl="2" w:tplc="60FE644C" w:tentative="1">
      <w:start w:val="1"/>
      <w:numFmt w:val="lowerRoman"/>
      <w:lvlText w:val="%3."/>
      <w:lvlJc w:val="right"/>
      <w:pPr>
        <w:ind w:left="3153" w:hanging="180"/>
      </w:pPr>
    </w:lvl>
    <w:lvl w:ilvl="3" w:tplc="3AECC386" w:tentative="1">
      <w:start w:val="1"/>
      <w:numFmt w:val="decimal"/>
      <w:lvlText w:val="%4."/>
      <w:lvlJc w:val="left"/>
      <w:pPr>
        <w:ind w:left="3873" w:hanging="360"/>
      </w:pPr>
    </w:lvl>
    <w:lvl w:ilvl="4" w:tplc="86249B7E" w:tentative="1">
      <w:start w:val="1"/>
      <w:numFmt w:val="lowerLetter"/>
      <w:lvlText w:val="%5."/>
      <w:lvlJc w:val="left"/>
      <w:pPr>
        <w:ind w:left="4593" w:hanging="360"/>
      </w:pPr>
    </w:lvl>
    <w:lvl w:ilvl="5" w:tplc="A06E43B6" w:tentative="1">
      <w:start w:val="1"/>
      <w:numFmt w:val="lowerRoman"/>
      <w:lvlText w:val="%6."/>
      <w:lvlJc w:val="right"/>
      <w:pPr>
        <w:ind w:left="5313" w:hanging="180"/>
      </w:pPr>
    </w:lvl>
    <w:lvl w:ilvl="6" w:tplc="FB64E068" w:tentative="1">
      <w:start w:val="1"/>
      <w:numFmt w:val="decimal"/>
      <w:lvlText w:val="%7."/>
      <w:lvlJc w:val="left"/>
      <w:pPr>
        <w:ind w:left="6033" w:hanging="360"/>
      </w:pPr>
    </w:lvl>
    <w:lvl w:ilvl="7" w:tplc="90A48C56" w:tentative="1">
      <w:start w:val="1"/>
      <w:numFmt w:val="lowerLetter"/>
      <w:lvlText w:val="%8."/>
      <w:lvlJc w:val="left"/>
      <w:pPr>
        <w:ind w:left="6753" w:hanging="360"/>
      </w:pPr>
    </w:lvl>
    <w:lvl w:ilvl="8" w:tplc="4B7074EE" w:tentative="1">
      <w:start w:val="1"/>
      <w:numFmt w:val="lowerRoman"/>
      <w:lvlText w:val="%9."/>
      <w:lvlJc w:val="right"/>
      <w:pPr>
        <w:ind w:left="7473" w:hanging="180"/>
      </w:pPr>
    </w:lvl>
  </w:abstractNum>
  <w:abstractNum w:abstractNumId="39"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4B64FE"/>
    <w:multiLevelType w:val="hybridMultilevel"/>
    <w:tmpl w:val="3D9E2B14"/>
    <w:lvl w:ilvl="0" w:tplc="5CB6084A">
      <w:start w:val="1"/>
      <w:numFmt w:val="bullet"/>
      <w:lvlText w:val=""/>
      <w:lvlJc w:val="left"/>
      <w:pPr>
        <w:ind w:left="2520" w:hanging="360"/>
      </w:pPr>
      <w:rPr>
        <w:rFonts w:ascii="Symbol" w:hAnsi="Symbol" w:hint="default"/>
      </w:rPr>
    </w:lvl>
    <w:lvl w:ilvl="1" w:tplc="5CF0B9C0">
      <w:start w:val="1"/>
      <w:numFmt w:val="bullet"/>
      <w:lvlText w:val="o"/>
      <w:lvlJc w:val="left"/>
      <w:pPr>
        <w:ind w:left="3240" w:hanging="360"/>
      </w:pPr>
      <w:rPr>
        <w:rFonts w:ascii="Courier New" w:hAnsi="Courier New" w:cs="Courier New" w:hint="default"/>
      </w:rPr>
    </w:lvl>
    <w:lvl w:ilvl="2" w:tplc="A078B3CC" w:tentative="1">
      <w:start w:val="1"/>
      <w:numFmt w:val="bullet"/>
      <w:lvlText w:val=""/>
      <w:lvlJc w:val="left"/>
      <w:pPr>
        <w:ind w:left="3960" w:hanging="360"/>
      </w:pPr>
      <w:rPr>
        <w:rFonts w:ascii="Wingdings" w:hAnsi="Wingdings" w:hint="default"/>
      </w:rPr>
    </w:lvl>
    <w:lvl w:ilvl="3" w:tplc="4F98EBE4" w:tentative="1">
      <w:start w:val="1"/>
      <w:numFmt w:val="bullet"/>
      <w:lvlText w:val=""/>
      <w:lvlJc w:val="left"/>
      <w:pPr>
        <w:ind w:left="4680" w:hanging="360"/>
      </w:pPr>
      <w:rPr>
        <w:rFonts w:ascii="Symbol" w:hAnsi="Symbol" w:hint="default"/>
      </w:rPr>
    </w:lvl>
    <w:lvl w:ilvl="4" w:tplc="325E98B6" w:tentative="1">
      <w:start w:val="1"/>
      <w:numFmt w:val="bullet"/>
      <w:lvlText w:val="o"/>
      <w:lvlJc w:val="left"/>
      <w:pPr>
        <w:ind w:left="5400" w:hanging="360"/>
      </w:pPr>
      <w:rPr>
        <w:rFonts w:ascii="Courier New" w:hAnsi="Courier New" w:cs="Courier New" w:hint="default"/>
      </w:rPr>
    </w:lvl>
    <w:lvl w:ilvl="5" w:tplc="EA905494" w:tentative="1">
      <w:start w:val="1"/>
      <w:numFmt w:val="bullet"/>
      <w:lvlText w:val=""/>
      <w:lvlJc w:val="left"/>
      <w:pPr>
        <w:ind w:left="6120" w:hanging="360"/>
      </w:pPr>
      <w:rPr>
        <w:rFonts w:ascii="Wingdings" w:hAnsi="Wingdings" w:hint="default"/>
      </w:rPr>
    </w:lvl>
    <w:lvl w:ilvl="6" w:tplc="2D0436C4" w:tentative="1">
      <w:start w:val="1"/>
      <w:numFmt w:val="bullet"/>
      <w:lvlText w:val=""/>
      <w:lvlJc w:val="left"/>
      <w:pPr>
        <w:ind w:left="6840" w:hanging="360"/>
      </w:pPr>
      <w:rPr>
        <w:rFonts w:ascii="Symbol" w:hAnsi="Symbol" w:hint="default"/>
      </w:rPr>
    </w:lvl>
    <w:lvl w:ilvl="7" w:tplc="5A526D50" w:tentative="1">
      <w:start w:val="1"/>
      <w:numFmt w:val="bullet"/>
      <w:lvlText w:val="o"/>
      <w:lvlJc w:val="left"/>
      <w:pPr>
        <w:ind w:left="7560" w:hanging="360"/>
      </w:pPr>
      <w:rPr>
        <w:rFonts w:ascii="Courier New" w:hAnsi="Courier New" w:cs="Courier New" w:hint="default"/>
      </w:rPr>
    </w:lvl>
    <w:lvl w:ilvl="8" w:tplc="37FC25E6" w:tentative="1">
      <w:start w:val="1"/>
      <w:numFmt w:val="bullet"/>
      <w:lvlText w:val=""/>
      <w:lvlJc w:val="left"/>
      <w:pPr>
        <w:ind w:left="8280" w:hanging="360"/>
      </w:pPr>
      <w:rPr>
        <w:rFonts w:ascii="Wingdings" w:hAnsi="Wingdings" w:hint="default"/>
      </w:rPr>
    </w:lvl>
  </w:abstractNum>
  <w:abstractNum w:abstractNumId="42" w15:restartNumberingAfterBreak="0">
    <w:nsid w:val="7E1961A4"/>
    <w:multiLevelType w:val="hybridMultilevel"/>
    <w:tmpl w:val="343EA44A"/>
    <w:lvl w:ilvl="0" w:tplc="31366948">
      <w:start w:val="1"/>
      <w:numFmt w:val="bullet"/>
      <w:lvlText w:val="-"/>
      <w:lvlJc w:val="left"/>
      <w:pPr>
        <w:tabs>
          <w:tab w:val="num" w:pos="2291"/>
        </w:tabs>
        <w:ind w:left="2291" w:hanging="360"/>
      </w:pPr>
      <w:rPr>
        <w:rFonts w:ascii="Arial" w:hAnsi="Arial" w:hint="default"/>
      </w:rPr>
    </w:lvl>
    <w:lvl w:ilvl="1" w:tplc="6E065E62">
      <w:start w:val="1"/>
      <w:numFmt w:val="bullet"/>
      <w:lvlText w:val="-"/>
      <w:lvlJc w:val="left"/>
      <w:pPr>
        <w:tabs>
          <w:tab w:val="num" w:pos="2291"/>
        </w:tabs>
        <w:ind w:left="2291" w:hanging="360"/>
      </w:pPr>
      <w:rPr>
        <w:rFonts w:ascii="Arial" w:hAnsi="Arial" w:hint="default"/>
      </w:rPr>
    </w:lvl>
    <w:lvl w:ilvl="2" w:tplc="43BE4404" w:tentative="1">
      <w:start w:val="1"/>
      <w:numFmt w:val="bullet"/>
      <w:lvlText w:val=""/>
      <w:lvlJc w:val="left"/>
      <w:pPr>
        <w:tabs>
          <w:tab w:val="num" w:pos="3011"/>
        </w:tabs>
        <w:ind w:left="3011" w:hanging="360"/>
      </w:pPr>
      <w:rPr>
        <w:rFonts w:ascii="Wingdings" w:hAnsi="Wingdings" w:hint="default"/>
      </w:rPr>
    </w:lvl>
    <w:lvl w:ilvl="3" w:tplc="DC3ED8A0" w:tentative="1">
      <w:start w:val="1"/>
      <w:numFmt w:val="bullet"/>
      <w:lvlText w:val=""/>
      <w:lvlJc w:val="left"/>
      <w:pPr>
        <w:tabs>
          <w:tab w:val="num" w:pos="3731"/>
        </w:tabs>
        <w:ind w:left="3731" w:hanging="360"/>
      </w:pPr>
      <w:rPr>
        <w:rFonts w:ascii="Symbol" w:hAnsi="Symbol" w:hint="default"/>
      </w:rPr>
    </w:lvl>
    <w:lvl w:ilvl="4" w:tplc="EFE85108" w:tentative="1">
      <w:start w:val="1"/>
      <w:numFmt w:val="bullet"/>
      <w:lvlText w:val="o"/>
      <w:lvlJc w:val="left"/>
      <w:pPr>
        <w:tabs>
          <w:tab w:val="num" w:pos="4451"/>
        </w:tabs>
        <w:ind w:left="4451" w:hanging="360"/>
      </w:pPr>
      <w:rPr>
        <w:rFonts w:ascii="Courier New" w:hAnsi="Courier New" w:cs="Courier New" w:hint="default"/>
      </w:rPr>
    </w:lvl>
    <w:lvl w:ilvl="5" w:tplc="0776836C" w:tentative="1">
      <w:start w:val="1"/>
      <w:numFmt w:val="bullet"/>
      <w:lvlText w:val=""/>
      <w:lvlJc w:val="left"/>
      <w:pPr>
        <w:tabs>
          <w:tab w:val="num" w:pos="5171"/>
        </w:tabs>
        <w:ind w:left="5171" w:hanging="360"/>
      </w:pPr>
      <w:rPr>
        <w:rFonts w:ascii="Wingdings" w:hAnsi="Wingdings" w:hint="default"/>
      </w:rPr>
    </w:lvl>
    <w:lvl w:ilvl="6" w:tplc="2C46D09A" w:tentative="1">
      <w:start w:val="1"/>
      <w:numFmt w:val="bullet"/>
      <w:lvlText w:val=""/>
      <w:lvlJc w:val="left"/>
      <w:pPr>
        <w:tabs>
          <w:tab w:val="num" w:pos="5891"/>
        </w:tabs>
        <w:ind w:left="5891" w:hanging="360"/>
      </w:pPr>
      <w:rPr>
        <w:rFonts w:ascii="Symbol" w:hAnsi="Symbol" w:hint="default"/>
      </w:rPr>
    </w:lvl>
    <w:lvl w:ilvl="7" w:tplc="1FFC51DA" w:tentative="1">
      <w:start w:val="1"/>
      <w:numFmt w:val="bullet"/>
      <w:lvlText w:val="o"/>
      <w:lvlJc w:val="left"/>
      <w:pPr>
        <w:tabs>
          <w:tab w:val="num" w:pos="6611"/>
        </w:tabs>
        <w:ind w:left="6611" w:hanging="360"/>
      </w:pPr>
      <w:rPr>
        <w:rFonts w:ascii="Courier New" w:hAnsi="Courier New" w:cs="Courier New" w:hint="default"/>
      </w:rPr>
    </w:lvl>
    <w:lvl w:ilvl="8" w:tplc="76A27FB6" w:tentative="1">
      <w:start w:val="1"/>
      <w:numFmt w:val="bullet"/>
      <w:lvlText w:val=""/>
      <w:lvlJc w:val="left"/>
      <w:pPr>
        <w:tabs>
          <w:tab w:val="num" w:pos="7331"/>
        </w:tabs>
        <w:ind w:left="7331" w:hanging="360"/>
      </w:pPr>
      <w:rPr>
        <w:rFonts w:ascii="Wingdings" w:hAnsi="Wingdings" w:hint="default"/>
      </w:rPr>
    </w:lvl>
  </w:abstractNum>
  <w:num w:numId="1">
    <w:abstractNumId w:val="28"/>
  </w:num>
  <w:num w:numId="2">
    <w:abstractNumId w:val="39"/>
  </w:num>
  <w:num w:numId="3">
    <w:abstractNumId w:val="26"/>
  </w:num>
  <w:num w:numId="4">
    <w:abstractNumId w:val="40"/>
  </w:num>
  <w:num w:numId="5">
    <w:abstractNumId w:val="13"/>
  </w:num>
  <w:num w:numId="6">
    <w:abstractNumId w:val="31"/>
  </w:num>
  <w:num w:numId="7">
    <w:abstractNumId w:val="20"/>
  </w:num>
  <w:num w:numId="8">
    <w:abstractNumId w:val="12"/>
  </w:num>
  <w:num w:numId="9">
    <w:abstractNumId w:val="23"/>
  </w:num>
  <w:num w:numId="10">
    <w:abstractNumId w:val="36"/>
  </w:num>
  <w:num w:numId="11">
    <w:abstractNumId w:val="15"/>
  </w:num>
  <w:num w:numId="12">
    <w:abstractNumId w:val="35"/>
  </w:num>
  <w:num w:numId="13">
    <w:abstractNumId w:val="32"/>
  </w:num>
  <w:num w:numId="14">
    <w:abstractNumId w:val="7"/>
  </w:num>
  <w:num w:numId="15">
    <w:abstractNumId w:val="8"/>
  </w:num>
  <w:num w:numId="16">
    <w:abstractNumId w:val="42"/>
  </w:num>
  <w:num w:numId="17">
    <w:abstractNumId w:val="38"/>
  </w:num>
  <w:num w:numId="18">
    <w:abstractNumId w:val="2"/>
  </w:num>
  <w:num w:numId="19">
    <w:abstractNumId w:val="4"/>
  </w:num>
  <w:num w:numId="20">
    <w:abstractNumId w:val="11"/>
  </w:num>
  <w:num w:numId="21">
    <w:abstractNumId w:val="29"/>
  </w:num>
  <w:num w:numId="22">
    <w:abstractNumId w:val="1"/>
  </w:num>
  <w:num w:numId="23">
    <w:abstractNumId w:val="3"/>
  </w:num>
  <w:num w:numId="24">
    <w:abstractNumId w:val="5"/>
  </w:num>
  <w:num w:numId="25">
    <w:abstractNumId w:val="18"/>
  </w:num>
  <w:num w:numId="26">
    <w:abstractNumId w:val="5"/>
  </w:num>
  <w:num w:numId="27">
    <w:abstractNumId w:val="16"/>
  </w:num>
  <w:num w:numId="28">
    <w:abstractNumId w:val="41"/>
  </w:num>
  <w:num w:numId="29">
    <w:abstractNumId w:val="27"/>
  </w:num>
  <w:num w:numId="30">
    <w:abstractNumId w:val="37"/>
  </w:num>
  <w:num w:numId="31">
    <w:abstractNumId w:val="24"/>
  </w:num>
  <w:num w:numId="32">
    <w:abstractNumId w:val="25"/>
  </w:num>
  <w:num w:numId="33">
    <w:abstractNumId w:val="14"/>
  </w:num>
  <w:num w:numId="34">
    <w:abstractNumId w:val="22"/>
  </w:num>
  <w:num w:numId="35">
    <w:abstractNumId w:val="9"/>
  </w:num>
  <w:num w:numId="36">
    <w:abstractNumId w:val="21"/>
  </w:num>
  <w:num w:numId="37">
    <w:abstractNumId w:val="30"/>
  </w:num>
  <w:num w:numId="38">
    <w:abstractNumId w:val="34"/>
  </w:num>
  <w:num w:numId="39">
    <w:abstractNumId w:val="19"/>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0"/>
  </w:num>
  <w:num w:numId="43">
    <w:abstractNumId w:val="28"/>
    <w:lvlOverride w:ilvl="0">
      <w:lvl w:ilvl="0">
        <w:start w:val="1"/>
        <w:numFmt w:val="decimal"/>
        <w:lvlText w:val="%1."/>
        <w:lvlJc w:val="left"/>
        <w:pPr>
          <w:ind w:left="397" w:hanging="397"/>
        </w:pPr>
        <w:rPr>
          <w:rFonts w:ascii="Tahoma" w:hAnsi="Tahoma" w:hint="default"/>
          <w:b/>
          <w:i w:val="0"/>
          <w:sz w:val="20"/>
        </w:rPr>
      </w:lvl>
    </w:lvlOverride>
    <w:lvlOverride w:ilvl="1">
      <w:lvl w:ilvl="1">
        <w:start w:val="1"/>
        <w:numFmt w:val="decimal"/>
        <w:lvlText w:val="%1.%2."/>
        <w:lvlJc w:val="left"/>
        <w:pPr>
          <w:ind w:left="567" w:hanging="567"/>
        </w:pPr>
        <w:rPr>
          <w:rFonts w:ascii="Tahoma" w:hAnsi="Tahoma" w:hint="default"/>
          <w:b/>
          <w:i w:val="0"/>
          <w:sz w:val="20"/>
          <w:szCs w:val="24"/>
        </w:rPr>
      </w:lvl>
    </w:lvlOverride>
    <w:lvlOverride w:ilvl="2">
      <w:lvl w:ilvl="2">
        <w:start w:val="1"/>
        <w:numFmt w:val="decimal"/>
        <w:lvlText w:val="%1.%2.%3."/>
        <w:lvlJc w:val="left"/>
        <w:pPr>
          <w:ind w:left="3628" w:hanging="793"/>
        </w:pPr>
        <w:rPr>
          <w:rFonts w:ascii="Tahoma" w:hAnsi="Tahoma" w:hint="default"/>
          <w:b w:val="0"/>
          <w:sz w:val="20"/>
          <w:szCs w:val="24"/>
        </w:rPr>
      </w:lvl>
    </w:lvlOverride>
    <w:lvlOverride w:ilvl="3">
      <w:lvl w:ilvl="3">
        <w:start w:val="1"/>
        <w:numFmt w:val="decimal"/>
        <w:lvlText w:val="%1.%2.%3.%4."/>
        <w:lvlJc w:val="left"/>
        <w:pPr>
          <w:ind w:left="1701" w:hanging="1134"/>
        </w:pPr>
        <w:rPr>
          <w:rFonts w:ascii="Tahoma" w:hAnsi="Tahoma" w:hint="default"/>
          <w:sz w:val="20"/>
        </w:rPr>
      </w:lvl>
    </w:lvlOverride>
    <w:lvlOverride w:ilvl="4">
      <w:lvl w:ilvl="4">
        <w:start w:val="1"/>
        <w:numFmt w:val="bullet"/>
        <w:lvlText w:val=""/>
        <w:lvlJc w:val="left"/>
        <w:pPr>
          <w:ind w:left="1701" w:hanging="397"/>
        </w:pPr>
        <w:rPr>
          <w:rFonts w:ascii="Symbol" w:hAnsi="Symbol" w:hint="default"/>
          <w:color w:val="auto"/>
          <w:sz w:val="20"/>
        </w:rPr>
      </w:lvl>
    </w:lvlOverride>
    <w:lvlOverride w:ilvl="5">
      <w:lvl w:ilvl="5">
        <w:start w:val="1"/>
        <w:numFmt w:val="bullet"/>
        <w:lvlText w:val=""/>
        <w:lvlJc w:val="left"/>
        <w:pPr>
          <w:ind w:left="1814" w:hanging="340"/>
        </w:pPr>
        <w:rPr>
          <w:rFonts w:ascii="Symbol" w:hAnsi="Symbol" w:hint="default"/>
          <w:color w:val="auto"/>
          <w:sz w:val="20"/>
        </w:rPr>
      </w:lvl>
    </w:lvlOverride>
    <w:lvlOverride w:ilvl="6">
      <w:lvl w:ilvl="6">
        <w:start w:val="1"/>
        <w:numFmt w:val="decimal"/>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44">
    <w:abstractNumId w:val="6"/>
  </w:num>
  <w:num w:numId="45">
    <w:abstractNumId w:val="33"/>
  </w:num>
  <w:num w:numId="46">
    <w:abstractNumId w:val="0"/>
  </w:num>
  <w:num w:numId="47">
    <w:abstractNumId w:val="28"/>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972"/>
          </w:tabs>
          <w:ind w:left="972" w:hanging="432"/>
        </w:pPr>
        <w:rPr>
          <w:rFonts w:ascii="Arial" w:hAnsi="Arial" w:cs="Arial" w:hint="default"/>
          <w:b w:val="0"/>
          <w:sz w:val="20"/>
          <w:szCs w:val="20"/>
        </w:rPr>
      </w:lvl>
    </w:lvlOverride>
    <w:lvlOverride w:ilvl="2">
      <w:lvl w:ilvl="2">
        <w:start w:val="1"/>
        <w:numFmt w:val="decimal"/>
        <w:lvlText w:val="%1.%2.%3."/>
        <w:lvlJc w:val="left"/>
        <w:pPr>
          <w:tabs>
            <w:tab w:val="num" w:pos="504"/>
          </w:tabs>
          <w:ind w:left="504" w:hanging="504"/>
        </w:pPr>
        <w:rPr>
          <w:rFonts w:cs="Times New Roman"/>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D6"/>
    <w:rsid w:val="00000530"/>
    <w:rsid w:val="000006DC"/>
    <w:rsid w:val="00000726"/>
    <w:rsid w:val="0000137A"/>
    <w:rsid w:val="00001973"/>
    <w:rsid w:val="00001C77"/>
    <w:rsid w:val="00001E00"/>
    <w:rsid w:val="0000288E"/>
    <w:rsid w:val="00002D56"/>
    <w:rsid w:val="0000383E"/>
    <w:rsid w:val="00003F00"/>
    <w:rsid w:val="000052C9"/>
    <w:rsid w:val="0000537C"/>
    <w:rsid w:val="000057B1"/>
    <w:rsid w:val="00005C3D"/>
    <w:rsid w:val="00005F86"/>
    <w:rsid w:val="00006A72"/>
    <w:rsid w:val="00006E2C"/>
    <w:rsid w:val="00010E7F"/>
    <w:rsid w:val="00012255"/>
    <w:rsid w:val="00013643"/>
    <w:rsid w:val="00014370"/>
    <w:rsid w:val="00014845"/>
    <w:rsid w:val="00014BB7"/>
    <w:rsid w:val="00014E31"/>
    <w:rsid w:val="000156F5"/>
    <w:rsid w:val="00015D70"/>
    <w:rsid w:val="00017088"/>
    <w:rsid w:val="00017B26"/>
    <w:rsid w:val="00017CDA"/>
    <w:rsid w:val="00017D6E"/>
    <w:rsid w:val="000200A2"/>
    <w:rsid w:val="0002032B"/>
    <w:rsid w:val="0002071B"/>
    <w:rsid w:val="000209E1"/>
    <w:rsid w:val="00020C32"/>
    <w:rsid w:val="00020E7B"/>
    <w:rsid w:val="00021354"/>
    <w:rsid w:val="000216B0"/>
    <w:rsid w:val="00022191"/>
    <w:rsid w:val="00022588"/>
    <w:rsid w:val="00022E77"/>
    <w:rsid w:val="00022F3B"/>
    <w:rsid w:val="000230F8"/>
    <w:rsid w:val="000240F9"/>
    <w:rsid w:val="00024137"/>
    <w:rsid w:val="00024CB3"/>
    <w:rsid w:val="00025299"/>
    <w:rsid w:val="00026638"/>
    <w:rsid w:val="000266F8"/>
    <w:rsid w:val="000275C7"/>
    <w:rsid w:val="00027958"/>
    <w:rsid w:val="00027A8F"/>
    <w:rsid w:val="00031091"/>
    <w:rsid w:val="000310D1"/>
    <w:rsid w:val="00031AA3"/>
    <w:rsid w:val="00031AEC"/>
    <w:rsid w:val="00032240"/>
    <w:rsid w:val="00032718"/>
    <w:rsid w:val="0003271D"/>
    <w:rsid w:val="00032D07"/>
    <w:rsid w:val="00032FF3"/>
    <w:rsid w:val="0003320F"/>
    <w:rsid w:val="00033388"/>
    <w:rsid w:val="00033A1A"/>
    <w:rsid w:val="00033C3D"/>
    <w:rsid w:val="000348BF"/>
    <w:rsid w:val="00035132"/>
    <w:rsid w:val="00035CED"/>
    <w:rsid w:val="00036606"/>
    <w:rsid w:val="00037772"/>
    <w:rsid w:val="00040096"/>
    <w:rsid w:val="00040DBD"/>
    <w:rsid w:val="00041BAD"/>
    <w:rsid w:val="0004241E"/>
    <w:rsid w:val="000426EF"/>
    <w:rsid w:val="00042CA2"/>
    <w:rsid w:val="00042E39"/>
    <w:rsid w:val="0004480F"/>
    <w:rsid w:val="00044C15"/>
    <w:rsid w:val="00045B1C"/>
    <w:rsid w:val="00045D5E"/>
    <w:rsid w:val="000466F6"/>
    <w:rsid w:val="00046847"/>
    <w:rsid w:val="000476B3"/>
    <w:rsid w:val="00050071"/>
    <w:rsid w:val="000501B8"/>
    <w:rsid w:val="00050270"/>
    <w:rsid w:val="000503C8"/>
    <w:rsid w:val="000504C8"/>
    <w:rsid w:val="00050707"/>
    <w:rsid w:val="000509C7"/>
    <w:rsid w:val="00050E75"/>
    <w:rsid w:val="00051F6A"/>
    <w:rsid w:val="000520AE"/>
    <w:rsid w:val="00052400"/>
    <w:rsid w:val="00052C04"/>
    <w:rsid w:val="00052E1D"/>
    <w:rsid w:val="00053C47"/>
    <w:rsid w:val="0005407A"/>
    <w:rsid w:val="000548FC"/>
    <w:rsid w:val="000564B6"/>
    <w:rsid w:val="000567D3"/>
    <w:rsid w:val="00056A65"/>
    <w:rsid w:val="00056F15"/>
    <w:rsid w:val="000611BC"/>
    <w:rsid w:val="00061BC0"/>
    <w:rsid w:val="00061D41"/>
    <w:rsid w:val="000629D7"/>
    <w:rsid w:val="00062FF5"/>
    <w:rsid w:val="000647C9"/>
    <w:rsid w:val="000650F3"/>
    <w:rsid w:val="00065638"/>
    <w:rsid w:val="00065CB7"/>
    <w:rsid w:val="00066324"/>
    <w:rsid w:val="00066340"/>
    <w:rsid w:val="00066DF8"/>
    <w:rsid w:val="00066E06"/>
    <w:rsid w:val="00066EEF"/>
    <w:rsid w:val="00067025"/>
    <w:rsid w:val="00067894"/>
    <w:rsid w:val="00067A61"/>
    <w:rsid w:val="00067DAE"/>
    <w:rsid w:val="00070564"/>
    <w:rsid w:val="00071BB8"/>
    <w:rsid w:val="000725D7"/>
    <w:rsid w:val="00072A00"/>
    <w:rsid w:val="00073DFC"/>
    <w:rsid w:val="00073E13"/>
    <w:rsid w:val="00075C76"/>
    <w:rsid w:val="00076644"/>
    <w:rsid w:val="00076956"/>
    <w:rsid w:val="00076D09"/>
    <w:rsid w:val="00077110"/>
    <w:rsid w:val="000801B5"/>
    <w:rsid w:val="00080249"/>
    <w:rsid w:val="00080DAB"/>
    <w:rsid w:val="00080FD4"/>
    <w:rsid w:val="0008280D"/>
    <w:rsid w:val="00082DB5"/>
    <w:rsid w:val="00082F1C"/>
    <w:rsid w:val="00083708"/>
    <w:rsid w:val="0008386E"/>
    <w:rsid w:val="00085FB5"/>
    <w:rsid w:val="0008600B"/>
    <w:rsid w:val="00086286"/>
    <w:rsid w:val="00086B7B"/>
    <w:rsid w:val="00086BDD"/>
    <w:rsid w:val="000876A9"/>
    <w:rsid w:val="00090308"/>
    <w:rsid w:val="000913A3"/>
    <w:rsid w:val="00091756"/>
    <w:rsid w:val="00091813"/>
    <w:rsid w:val="00092AAF"/>
    <w:rsid w:val="00092D8B"/>
    <w:rsid w:val="0009352D"/>
    <w:rsid w:val="00093AB8"/>
    <w:rsid w:val="00093D87"/>
    <w:rsid w:val="00094086"/>
    <w:rsid w:val="00094427"/>
    <w:rsid w:val="000953B8"/>
    <w:rsid w:val="00095B88"/>
    <w:rsid w:val="00095C40"/>
    <w:rsid w:val="00095D81"/>
    <w:rsid w:val="000963A8"/>
    <w:rsid w:val="00096656"/>
    <w:rsid w:val="00097085"/>
    <w:rsid w:val="00097628"/>
    <w:rsid w:val="00097E08"/>
    <w:rsid w:val="00097F55"/>
    <w:rsid w:val="000A0B1A"/>
    <w:rsid w:val="000A1345"/>
    <w:rsid w:val="000A2AE6"/>
    <w:rsid w:val="000A37C8"/>
    <w:rsid w:val="000A430C"/>
    <w:rsid w:val="000A4ACC"/>
    <w:rsid w:val="000A4C28"/>
    <w:rsid w:val="000A4D9F"/>
    <w:rsid w:val="000A5803"/>
    <w:rsid w:val="000A5AAA"/>
    <w:rsid w:val="000A6293"/>
    <w:rsid w:val="000A6C67"/>
    <w:rsid w:val="000B005B"/>
    <w:rsid w:val="000B0EC6"/>
    <w:rsid w:val="000B1117"/>
    <w:rsid w:val="000B1512"/>
    <w:rsid w:val="000B1BE2"/>
    <w:rsid w:val="000B1E75"/>
    <w:rsid w:val="000B47FE"/>
    <w:rsid w:val="000B5305"/>
    <w:rsid w:val="000B5B7B"/>
    <w:rsid w:val="000B624A"/>
    <w:rsid w:val="000B65FE"/>
    <w:rsid w:val="000B665E"/>
    <w:rsid w:val="000B678B"/>
    <w:rsid w:val="000B6C13"/>
    <w:rsid w:val="000B6DA4"/>
    <w:rsid w:val="000B6EA2"/>
    <w:rsid w:val="000B712B"/>
    <w:rsid w:val="000B718E"/>
    <w:rsid w:val="000B7444"/>
    <w:rsid w:val="000B751D"/>
    <w:rsid w:val="000B75AE"/>
    <w:rsid w:val="000C1276"/>
    <w:rsid w:val="000C173A"/>
    <w:rsid w:val="000C1C63"/>
    <w:rsid w:val="000C1CA4"/>
    <w:rsid w:val="000C2944"/>
    <w:rsid w:val="000C2A24"/>
    <w:rsid w:val="000C301D"/>
    <w:rsid w:val="000C357E"/>
    <w:rsid w:val="000C373D"/>
    <w:rsid w:val="000C378F"/>
    <w:rsid w:val="000C6325"/>
    <w:rsid w:val="000C6B26"/>
    <w:rsid w:val="000C726B"/>
    <w:rsid w:val="000C7A80"/>
    <w:rsid w:val="000C7E51"/>
    <w:rsid w:val="000D032C"/>
    <w:rsid w:val="000D1663"/>
    <w:rsid w:val="000D1FF9"/>
    <w:rsid w:val="000D40AB"/>
    <w:rsid w:val="000D4221"/>
    <w:rsid w:val="000D5344"/>
    <w:rsid w:val="000D566E"/>
    <w:rsid w:val="000D5727"/>
    <w:rsid w:val="000D6090"/>
    <w:rsid w:val="000D634E"/>
    <w:rsid w:val="000D6DAA"/>
    <w:rsid w:val="000D7501"/>
    <w:rsid w:val="000D775B"/>
    <w:rsid w:val="000D7A1F"/>
    <w:rsid w:val="000E0ECB"/>
    <w:rsid w:val="000E12E7"/>
    <w:rsid w:val="000E14E3"/>
    <w:rsid w:val="000E179D"/>
    <w:rsid w:val="000E1CFA"/>
    <w:rsid w:val="000E1D27"/>
    <w:rsid w:val="000E2701"/>
    <w:rsid w:val="000E2EED"/>
    <w:rsid w:val="000E36C9"/>
    <w:rsid w:val="000E40A9"/>
    <w:rsid w:val="000E4CD8"/>
    <w:rsid w:val="000E50D7"/>
    <w:rsid w:val="000E5463"/>
    <w:rsid w:val="000E5682"/>
    <w:rsid w:val="000E5D8D"/>
    <w:rsid w:val="000E63A5"/>
    <w:rsid w:val="000E647D"/>
    <w:rsid w:val="000E654D"/>
    <w:rsid w:val="000E660C"/>
    <w:rsid w:val="000E6CAA"/>
    <w:rsid w:val="000E7580"/>
    <w:rsid w:val="000F06A3"/>
    <w:rsid w:val="000F1127"/>
    <w:rsid w:val="000F1145"/>
    <w:rsid w:val="000F117A"/>
    <w:rsid w:val="000F13C1"/>
    <w:rsid w:val="000F24C4"/>
    <w:rsid w:val="000F28A8"/>
    <w:rsid w:val="000F2B92"/>
    <w:rsid w:val="000F32D3"/>
    <w:rsid w:val="000F37B6"/>
    <w:rsid w:val="000F3B2B"/>
    <w:rsid w:val="000F467C"/>
    <w:rsid w:val="000F4CD4"/>
    <w:rsid w:val="000F4E39"/>
    <w:rsid w:val="000F5C30"/>
    <w:rsid w:val="000F5EFB"/>
    <w:rsid w:val="000F64BE"/>
    <w:rsid w:val="000F7FE1"/>
    <w:rsid w:val="0010146F"/>
    <w:rsid w:val="00101C6B"/>
    <w:rsid w:val="00101EAD"/>
    <w:rsid w:val="00103B76"/>
    <w:rsid w:val="00103E59"/>
    <w:rsid w:val="001040A2"/>
    <w:rsid w:val="001042DF"/>
    <w:rsid w:val="00106E61"/>
    <w:rsid w:val="0011077D"/>
    <w:rsid w:val="00110F5E"/>
    <w:rsid w:val="00110FC6"/>
    <w:rsid w:val="00112D1F"/>
    <w:rsid w:val="00113288"/>
    <w:rsid w:val="00115892"/>
    <w:rsid w:val="001173DD"/>
    <w:rsid w:val="0011778E"/>
    <w:rsid w:val="00117B92"/>
    <w:rsid w:val="00117D76"/>
    <w:rsid w:val="00120391"/>
    <w:rsid w:val="001204A6"/>
    <w:rsid w:val="00120E28"/>
    <w:rsid w:val="00121530"/>
    <w:rsid w:val="00121824"/>
    <w:rsid w:val="0012282C"/>
    <w:rsid w:val="001229D2"/>
    <w:rsid w:val="001232CD"/>
    <w:rsid w:val="0012338F"/>
    <w:rsid w:val="0012429E"/>
    <w:rsid w:val="00124330"/>
    <w:rsid w:val="00124668"/>
    <w:rsid w:val="00124788"/>
    <w:rsid w:val="001254C5"/>
    <w:rsid w:val="001258DF"/>
    <w:rsid w:val="0012602F"/>
    <w:rsid w:val="00126D95"/>
    <w:rsid w:val="00126E03"/>
    <w:rsid w:val="00127280"/>
    <w:rsid w:val="00130079"/>
    <w:rsid w:val="0013067F"/>
    <w:rsid w:val="00130BB6"/>
    <w:rsid w:val="001318F7"/>
    <w:rsid w:val="001325C5"/>
    <w:rsid w:val="00132B59"/>
    <w:rsid w:val="00132D55"/>
    <w:rsid w:val="00132FD8"/>
    <w:rsid w:val="00133D5D"/>
    <w:rsid w:val="001345E4"/>
    <w:rsid w:val="0013499C"/>
    <w:rsid w:val="00135D30"/>
    <w:rsid w:val="00136B43"/>
    <w:rsid w:val="00137771"/>
    <w:rsid w:val="0014120D"/>
    <w:rsid w:val="001420C9"/>
    <w:rsid w:val="00142F36"/>
    <w:rsid w:val="00143312"/>
    <w:rsid w:val="0014348D"/>
    <w:rsid w:val="00144549"/>
    <w:rsid w:val="00144CB6"/>
    <w:rsid w:val="001467B6"/>
    <w:rsid w:val="00147470"/>
    <w:rsid w:val="00147682"/>
    <w:rsid w:val="00147C74"/>
    <w:rsid w:val="00147F06"/>
    <w:rsid w:val="0015082F"/>
    <w:rsid w:val="00150BA3"/>
    <w:rsid w:val="00150CE2"/>
    <w:rsid w:val="00152FE9"/>
    <w:rsid w:val="001532B1"/>
    <w:rsid w:val="00153981"/>
    <w:rsid w:val="00154165"/>
    <w:rsid w:val="00154263"/>
    <w:rsid w:val="00154728"/>
    <w:rsid w:val="00154853"/>
    <w:rsid w:val="00154C58"/>
    <w:rsid w:val="00155031"/>
    <w:rsid w:val="00155376"/>
    <w:rsid w:val="00155749"/>
    <w:rsid w:val="001558B8"/>
    <w:rsid w:val="00155980"/>
    <w:rsid w:val="00155EFA"/>
    <w:rsid w:val="001573D4"/>
    <w:rsid w:val="00157677"/>
    <w:rsid w:val="00160E01"/>
    <w:rsid w:val="001610D8"/>
    <w:rsid w:val="00161F15"/>
    <w:rsid w:val="0016266D"/>
    <w:rsid w:val="0016273B"/>
    <w:rsid w:val="00162BD6"/>
    <w:rsid w:val="001635A3"/>
    <w:rsid w:val="00164AA9"/>
    <w:rsid w:val="00165044"/>
    <w:rsid w:val="001659CF"/>
    <w:rsid w:val="00165D75"/>
    <w:rsid w:val="00165EB7"/>
    <w:rsid w:val="001669BD"/>
    <w:rsid w:val="00166B4C"/>
    <w:rsid w:val="0016706E"/>
    <w:rsid w:val="001675B9"/>
    <w:rsid w:val="001675DA"/>
    <w:rsid w:val="0016797C"/>
    <w:rsid w:val="00167BA3"/>
    <w:rsid w:val="00170B1F"/>
    <w:rsid w:val="00170EE7"/>
    <w:rsid w:val="001714DF"/>
    <w:rsid w:val="00172E7E"/>
    <w:rsid w:val="00172F22"/>
    <w:rsid w:val="00173031"/>
    <w:rsid w:val="0017428E"/>
    <w:rsid w:val="00174B8F"/>
    <w:rsid w:val="00174D14"/>
    <w:rsid w:val="00175E40"/>
    <w:rsid w:val="00175FB5"/>
    <w:rsid w:val="001764AA"/>
    <w:rsid w:val="00176DC2"/>
    <w:rsid w:val="00177817"/>
    <w:rsid w:val="00177FCD"/>
    <w:rsid w:val="00182166"/>
    <w:rsid w:val="00182F52"/>
    <w:rsid w:val="00183888"/>
    <w:rsid w:val="00185A65"/>
    <w:rsid w:val="001869A1"/>
    <w:rsid w:val="00186F7C"/>
    <w:rsid w:val="00187B02"/>
    <w:rsid w:val="00187D5C"/>
    <w:rsid w:val="00190B76"/>
    <w:rsid w:val="001913F0"/>
    <w:rsid w:val="0019394B"/>
    <w:rsid w:val="00194D13"/>
    <w:rsid w:val="00194E98"/>
    <w:rsid w:val="00195886"/>
    <w:rsid w:val="001958BC"/>
    <w:rsid w:val="00195BF6"/>
    <w:rsid w:val="00195C26"/>
    <w:rsid w:val="00196314"/>
    <w:rsid w:val="00196316"/>
    <w:rsid w:val="00196342"/>
    <w:rsid w:val="00196D37"/>
    <w:rsid w:val="00197DFD"/>
    <w:rsid w:val="001A0451"/>
    <w:rsid w:val="001A1388"/>
    <w:rsid w:val="001A178E"/>
    <w:rsid w:val="001A19CC"/>
    <w:rsid w:val="001A1D4C"/>
    <w:rsid w:val="001A2CF0"/>
    <w:rsid w:val="001A30B4"/>
    <w:rsid w:val="001A32A1"/>
    <w:rsid w:val="001A39EA"/>
    <w:rsid w:val="001A3CA0"/>
    <w:rsid w:val="001A492A"/>
    <w:rsid w:val="001A6E35"/>
    <w:rsid w:val="001A7AD7"/>
    <w:rsid w:val="001B004A"/>
    <w:rsid w:val="001B07D8"/>
    <w:rsid w:val="001B07DE"/>
    <w:rsid w:val="001B0E7B"/>
    <w:rsid w:val="001B0ED4"/>
    <w:rsid w:val="001B0F73"/>
    <w:rsid w:val="001B103A"/>
    <w:rsid w:val="001B17E2"/>
    <w:rsid w:val="001B20D2"/>
    <w:rsid w:val="001B33BC"/>
    <w:rsid w:val="001B366D"/>
    <w:rsid w:val="001B36C2"/>
    <w:rsid w:val="001B3EB2"/>
    <w:rsid w:val="001B4068"/>
    <w:rsid w:val="001B468F"/>
    <w:rsid w:val="001B518C"/>
    <w:rsid w:val="001B5531"/>
    <w:rsid w:val="001B56F3"/>
    <w:rsid w:val="001B5883"/>
    <w:rsid w:val="001B5AC9"/>
    <w:rsid w:val="001B6275"/>
    <w:rsid w:val="001B67FE"/>
    <w:rsid w:val="001C008A"/>
    <w:rsid w:val="001C26E8"/>
    <w:rsid w:val="001C2780"/>
    <w:rsid w:val="001C35C2"/>
    <w:rsid w:val="001C3681"/>
    <w:rsid w:val="001C3B67"/>
    <w:rsid w:val="001C3FA9"/>
    <w:rsid w:val="001C4A61"/>
    <w:rsid w:val="001C4E07"/>
    <w:rsid w:val="001C512E"/>
    <w:rsid w:val="001C5169"/>
    <w:rsid w:val="001C5B9F"/>
    <w:rsid w:val="001C652B"/>
    <w:rsid w:val="001C695D"/>
    <w:rsid w:val="001C7901"/>
    <w:rsid w:val="001D0B14"/>
    <w:rsid w:val="001D1782"/>
    <w:rsid w:val="001D2032"/>
    <w:rsid w:val="001D3A1F"/>
    <w:rsid w:val="001D4692"/>
    <w:rsid w:val="001D487A"/>
    <w:rsid w:val="001D4F69"/>
    <w:rsid w:val="001D514A"/>
    <w:rsid w:val="001D57A7"/>
    <w:rsid w:val="001D69CE"/>
    <w:rsid w:val="001D6E0A"/>
    <w:rsid w:val="001D6E2F"/>
    <w:rsid w:val="001D6F52"/>
    <w:rsid w:val="001E0165"/>
    <w:rsid w:val="001E0B48"/>
    <w:rsid w:val="001E0C66"/>
    <w:rsid w:val="001E12D4"/>
    <w:rsid w:val="001E1B06"/>
    <w:rsid w:val="001E1FF3"/>
    <w:rsid w:val="001E2F58"/>
    <w:rsid w:val="001E328D"/>
    <w:rsid w:val="001E3DE2"/>
    <w:rsid w:val="001E496A"/>
    <w:rsid w:val="001E49DE"/>
    <w:rsid w:val="001E4BB5"/>
    <w:rsid w:val="001E5BF5"/>
    <w:rsid w:val="001E5E04"/>
    <w:rsid w:val="001E5E0D"/>
    <w:rsid w:val="001E6BFE"/>
    <w:rsid w:val="001E71D5"/>
    <w:rsid w:val="001E7AB5"/>
    <w:rsid w:val="001F02B2"/>
    <w:rsid w:val="001F0784"/>
    <w:rsid w:val="001F079D"/>
    <w:rsid w:val="001F0814"/>
    <w:rsid w:val="001F0A7A"/>
    <w:rsid w:val="001F10AC"/>
    <w:rsid w:val="001F15DF"/>
    <w:rsid w:val="001F17A0"/>
    <w:rsid w:val="001F1907"/>
    <w:rsid w:val="001F246A"/>
    <w:rsid w:val="001F2B72"/>
    <w:rsid w:val="001F4224"/>
    <w:rsid w:val="001F57D1"/>
    <w:rsid w:val="001F657D"/>
    <w:rsid w:val="001F6B48"/>
    <w:rsid w:val="001F7F0B"/>
    <w:rsid w:val="0020092B"/>
    <w:rsid w:val="002025E4"/>
    <w:rsid w:val="002027E3"/>
    <w:rsid w:val="00202A7C"/>
    <w:rsid w:val="0020328C"/>
    <w:rsid w:val="00203334"/>
    <w:rsid w:val="002047C0"/>
    <w:rsid w:val="00204C78"/>
    <w:rsid w:val="00204C7C"/>
    <w:rsid w:val="00204D50"/>
    <w:rsid w:val="00205F41"/>
    <w:rsid w:val="0020621D"/>
    <w:rsid w:val="00206386"/>
    <w:rsid w:val="002067FC"/>
    <w:rsid w:val="00207365"/>
    <w:rsid w:val="00207D2B"/>
    <w:rsid w:val="002102F1"/>
    <w:rsid w:val="00210F0F"/>
    <w:rsid w:val="0021125A"/>
    <w:rsid w:val="0021166E"/>
    <w:rsid w:val="00211794"/>
    <w:rsid w:val="00211FF7"/>
    <w:rsid w:val="002139E2"/>
    <w:rsid w:val="00213AE1"/>
    <w:rsid w:val="00213E49"/>
    <w:rsid w:val="002149BA"/>
    <w:rsid w:val="00215009"/>
    <w:rsid w:val="002154C7"/>
    <w:rsid w:val="00216396"/>
    <w:rsid w:val="0021697A"/>
    <w:rsid w:val="00217123"/>
    <w:rsid w:val="002171C9"/>
    <w:rsid w:val="002175C0"/>
    <w:rsid w:val="002200CE"/>
    <w:rsid w:val="002205D2"/>
    <w:rsid w:val="00220993"/>
    <w:rsid w:val="00220ED2"/>
    <w:rsid w:val="00220FCA"/>
    <w:rsid w:val="00221585"/>
    <w:rsid w:val="00221B2D"/>
    <w:rsid w:val="00222570"/>
    <w:rsid w:val="00222A1C"/>
    <w:rsid w:val="002231DD"/>
    <w:rsid w:val="00223229"/>
    <w:rsid w:val="00223D97"/>
    <w:rsid w:val="00223F33"/>
    <w:rsid w:val="00224554"/>
    <w:rsid w:val="0022485B"/>
    <w:rsid w:val="002248F4"/>
    <w:rsid w:val="00224EE8"/>
    <w:rsid w:val="0022661C"/>
    <w:rsid w:val="00227241"/>
    <w:rsid w:val="00227DFF"/>
    <w:rsid w:val="002309C4"/>
    <w:rsid w:val="00231232"/>
    <w:rsid w:val="00232740"/>
    <w:rsid w:val="002330C7"/>
    <w:rsid w:val="002332C7"/>
    <w:rsid w:val="002349E7"/>
    <w:rsid w:val="0023549E"/>
    <w:rsid w:val="00235668"/>
    <w:rsid w:val="00235925"/>
    <w:rsid w:val="002362F3"/>
    <w:rsid w:val="002370C4"/>
    <w:rsid w:val="0023759B"/>
    <w:rsid w:val="00237905"/>
    <w:rsid w:val="0024042C"/>
    <w:rsid w:val="00241058"/>
    <w:rsid w:val="0024153A"/>
    <w:rsid w:val="002419B4"/>
    <w:rsid w:val="00242B24"/>
    <w:rsid w:val="00242E65"/>
    <w:rsid w:val="00243DC4"/>
    <w:rsid w:val="00244335"/>
    <w:rsid w:val="002444AB"/>
    <w:rsid w:val="00244757"/>
    <w:rsid w:val="00244AE4"/>
    <w:rsid w:val="00245357"/>
    <w:rsid w:val="00245B58"/>
    <w:rsid w:val="00245C9E"/>
    <w:rsid w:val="0024627E"/>
    <w:rsid w:val="0024656E"/>
    <w:rsid w:val="00246B3D"/>
    <w:rsid w:val="00246BC9"/>
    <w:rsid w:val="00246EB1"/>
    <w:rsid w:val="00247E62"/>
    <w:rsid w:val="00250DD1"/>
    <w:rsid w:val="00251171"/>
    <w:rsid w:val="00251E4B"/>
    <w:rsid w:val="00252310"/>
    <w:rsid w:val="002532CE"/>
    <w:rsid w:val="00254463"/>
    <w:rsid w:val="00254481"/>
    <w:rsid w:val="002545D3"/>
    <w:rsid w:val="002553EF"/>
    <w:rsid w:val="00255A2F"/>
    <w:rsid w:val="00255EE3"/>
    <w:rsid w:val="002567CF"/>
    <w:rsid w:val="00257028"/>
    <w:rsid w:val="0026001D"/>
    <w:rsid w:val="002603BA"/>
    <w:rsid w:val="002606AA"/>
    <w:rsid w:val="002607BB"/>
    <w:rsid w:val="002629D6"/>
    <w:rsid w:val="00262DB5"/>
    <w:rsid w:val="00263537"/>
    <w:rsid w:val="002640AE"/>
    <w:rsid w:val="002640C4"/>
    <w:rsid w:val="00265C38"/>
    <w:rsid w:val="00265C4F"/>
    <w:rsid w:val="00265E60"/>
    <w:rsid w:val="00265EDE"/>
    <w:rsid w:val="00266B01"/>
    <w:rsid w:val="00267288"/>
    <w:rsid w:val="002673C9"/>
    <w:rsid w:val="0026744E"/>
    <w:rsid w:val="00267716"/>
    <w:rsid w:val="00267B1F"/>
    <w:rsid w:val="00267EB9"/>
    <w:rsid w:val="002707C7"/>
    <w:rsid w:val="002717F5"/>
    <w:rsid w:val="00271844"/>
    <w:rsid w:val="00272962"/>
    <w:rsid w:val="00272C55"/>
    <w:rsid w:val="00273339"/>
    <w:rsid w:val="00273B5B"/>
    <w:rsid w:val="00273CE3"/>
    <w:rsid w:val="00274D2A"/>
    <w:rsid w:val="00274F28"/>
    <w:rsid w:val="002751E7"/>
    <w:rsid w:val="0027546F"/>
    <w:rsid w:val="00275F4E"/>
    <w:rsid w:val="00275FAC"/>
    <w:rsid w:val="0027770E"/>
    <w:rsid w:val="00277727"/>
    <w:rsid w:val="00277F31"/>
    <w:rsid w:val="002814EC"/>
    <w:rsid w:val="0028171C"/>
    <w:rsid w:val="00281FC0"/>
    <w:rsid w:val="00282A1A"/>
    <w:rsid w:val="00282BBB"/>
    <w:rsid w:val="00283411"/>
    <w:rsid w:val="0028361A"/>
    <w:rsid w:val="0028554A"/>
    <w:rsid w:val="002855F6"/>
    <w:rsid w:val="00286030"/>
    <w:rsid w:val="0028633F"/>
    <w:rsid w:val="00286B4D"/>
    <w:rsid w:val="00287F81"/>
    <w:rsid w:val="00292913"/>
    <w:rsid w:val="00292F26"/>
    <w:rsid w:val="00293304"/>
    <w:rsid w:val="00293FCA"/>
    <w:rsid w:val="00294446"/>
    <w:rsid w:val="00294AD0"/>
    <w:rsid w:val="00295D07"/>
    <w:rsid w:val="0029623A"/>
    <w:rsid w:val="00296EF1"/>
    <w:rsid w:val="00297737"/>
    <w:rsid w:val="00297A86"/>
    <w:rsid w:val="002A0244"/>
    <w:rsid w:val="002A02CF"/>
    <w:rsid w:val="002A062B"/>
    <w:rsid w:val="002A0705"/>
    <w:rsid w:val="002A0760"/>
    <w:rsid w:val="002A123A"/>
    <w:rsid w:val="002A17EE"/>
    <w:rsid w:val="002A1A7E"/>
    <w:rsid w:val="002A1AF1"/>
    <w:rsid w:val="002A267B"/>
    <w:rsid w:val="002A2FA7"/>
    <w:rsid w:val="002A363B"/>
    <w:rsid w:val="002A37FB"/>
    <w:rsid w:val="002A3B5F"/>
    <w:rsid w:val="002A4FCC"/>
    <w:rsid w:val="002A55C8"/>
    <w:rsid w:val="002A56E4"/>
    <w:rsid w:val="002A582B"/>
    <w:rsid w:val="002A5850"/>
    <w:rsid w:val="002A5881"/>
    <w:rsid w:val="002A5FFB"/>
    <w:rsid w:val="002A6306"/>
    <w:rsid w:val="002A6ACD"/>
    <w:rsid w:val="002A70D6"/>
    <w:rsid w:val="002A725F"/>
    <w:rsid w:val="002A7757"/>
    <w:rsid w:val="002A775B"/>
    <w:rsid w:val="002A77B1"/>
    <w:rsid w:val="002A797A"/>
    <w:rsid w:val="002B1004"/>
    <w:rsid w:val="002B1D4B"/>
    <w:rsid w:val="002B1F00"/>
    <w:rsid w:val="002B2174"/>
    <w:rsid w:val="002B2CA0"/>
    <w:rsid w:val="002B3208"/>
    <w:rsid w:val="002B4BD8"/>
    <w:rsid w:val="002B51FB"/>
    <w:rsid w:val="002B562B"/>
    <w:rsid w:val="002B57C4"/>
    <w:rsid w:val="002B5927"/>
    <w:rsid w:val="002B5AD6"/>
    <w:rsid w:val="002B5B71"/>
    <w:rsid w:val="002B655E"/>
    <w:rsid w:val="002B6B00"/>
    <w:rsid w:val="002B6F0F"/>
    <w:rsid w:val="002B6F3A"/>
    <w:rsid w:val="002B6F9D"/>
    <w:rsid w:val="002C0697"/>
    <w:rsid w:val="002C06E4"/>
    <w:rsid w:val="002C0C79"/>
    <w:rsid w:val="002C1A3F"/>
    <w:rsid w:val="002C1D31"/>
    <w:rsid w:val="002C1E00"/>
    <w:rsid w:val="002C2696"/>
    <w:rsid w:val="002C2B06"/>
    <w:rsid w:val="002C2B08"/>
    <w:rsid w:val="002C2FBF"/>
    <w:rsid w:val="002C2FF6"/>
    <w:rsid w:val="002C3295"/>
    <w:rsid w:val="002C3639"/>
    <w:rsid w:val="002C3866"/>
    <w:rsid w:val="002C43AC"/>
    <w:rsid w:val="002C48D1"/>
    <w:rsid w:val="002C50E3"/>
    <w:rsid w:val="002C5EF1"/>
    <w:rsid w:val="002C6E26"/>
    <w:rsid w:val="002C7B63"/>
    <w:rsid w:val="002D0D0B"/>
    <w:rsid w:val="002D1021"/>
    <w:rsid w:val="002D120A"/>
    <w:rsid w:val="002D2854"/>
    <w:rsid w:val="002D2D43"/>
    <w:rsid w:val="002D3348"/>
    <w:rsid w:val="002D3C18"/>
    <w:rsid w:val="002D3FC5"/>
    <w:rsid w:val="002D4284"/>
    <w:rsid w:val="002D4722"/>
    <w:rsid w:val="002D5193"/>
    <w:rsid w:val="002D5906"/>
    <w:rsid w:val="002D5E9F"/>
    <w:rsid w:val="002D5EE7"/>
    <w:rsid w:val="002D63DB"/>
    <w:rsid w:val="002D6AB5"/>
    <w:rsid w:val="002D71CE"/>
    <w:rsid w:val="002D78D1"/>
    <w:rsid w:val="002D7D08"/>
    <w:rsid w:val="002E0A12"/>
    <w:rsid w:val="002E15C9"/>
    <w:rsid w:val="002E1FC3"/>
    <w:rsid w:val="002E2289"/>
    <w:rsid w:val="002E28FD"/>
    <w:rsid w:val="002E2D2E"/>
    <w:rsid w:val="002E3307"/>
    <w:rsid w:val="002E342F"/>
    <w:rsid w:val="002E37C7"/>
    <w:rsid w:val="002E5086"/>
    <w:rsid w:val="002E51CE"/>
    <w:rsid w:val="002E549B"/>
    <w:rsid w:val="002E56F1"/>
    <w:rsid w:val="002E5F58"/>
    <w:rsid w:val="002E6B39"/>
    <w:rsid w:val="002E7003"/>
    <w:rsid w:val="002E725A"/>
    <w:rsid w:val="002E729B"/>
    <w:rsid w:val="002E7370"/>
    <w:rsid w:val="002E7588"/>
    <w:rsid w:val="002F0C9C"/>
    <w:rsid w:val="002F17BA"/>
    <w:rsid w:val="002F1993"/>
    <w:rsid w:val="002F1E22"/>
    <w:rsid w:val="002F1E2C"/>
    <w:rsid w:val="002F2039"/>
    <w:rsid w:val="002F22FF"/>
    <w:rsid w:val="002F3368"/>
    <w:rsid w:val="002F3D21"/>
    <w:rsid w:val="002F52E8"/>
    <w:rsid w:val="002F65ED"/>
    <w:rsid w:val="002F6BD9"/>
    <w:rsid w:val="002F6BE7"/>
    <w:rsid w:val="002F6E54"/>
    <w:rsid w:val="002F6F97"/>
    <w:rsid w:val="002F74EF"/>
    <w:rsid w:val="002F7EB1"/>
    <w:rsid w:val="00300129"/>
    <w:rsid w:val="003008A7"/>
    <w:rsid w:val="00301184"/>
    <w:rsid w:val="003022B1"/>
    <w:rsid w:val="003024FF"/>
    <w:rsid w:val="00302843"/>
    <w:rsid w:val="00302D4B"/>
    <w:rsid w:val="00302EB5"/>
    <w:rsid w:val="00303946"/>
    <w:rsid w:val="00303DB4"/>
    <w:rsid w:val="00304317"/>
    <w:rsid w:val="00304625"/>
    <w:rsid w:val="0030486E"/>
    <w:rsid w:val="0030540D"/>
    <w:rsid w:val="00305A98"/>
    <w:rsid w:val="0030639A"/>
    <w:rsid w:val="00306D78"/>
    <w:rsid w:val="003071DB"/>
    <w:rsid w:val="0030797D"/>
    <w:rsid w:val="003108C0"/>
    <w:rsid w:val="00310944"/>
    <w:rsid w:val="00310945"/>
    <w:rsid w:val="003110FE"/>
    <w:rsid w:val="00311928"/>
    <w:rsid w:val="00311E74"/>
    <w:rsid w:val="00312DBE"/>
    <w:rsid w:val="00312F17"/>
    <w:rsid w:val="00313814"/>
    <w:rsid w:val="00313C96"/>
    <w:rsid w:val="00313D34"/>
    <w:rsid w:val="00314DBB"/>
    <w:rsid w:val="00315188"/>
    <w:rsid w:val="0031534F"/>
    <w:rsid w:val="00316566"/>
    <w:rsid w:val="0031667B"/>
    <w:rsid w:val="00316808"/>
    <w:rsid w:val="00316D0D"/>
    <w:rsid w:val="00317564"/>
    <w:rsid w:val="0031760C"/>
    <w:rsid w:val="00317B22"/>
    <w:rsid w:val="003208F0"/>
    <w:rsid w:val="00320F2A"/>
    <w:rsid w:val="0032179D"/>
    <w:rsid w:val="00321CE2"/>
    <w:rsid w:val="00322715"/>
    <w:rsid w:val="00322EFF"/>
    <w:rsid w:val="00322FAC"/>
    <w:rsid w:val="003232B7"/>
    <w:rsid w:val="00323686"/>
    <w:rsid w:val="00324A57"/>
    <w:rsid w:val="00324B09"/>
    <w:rsid w:val="00326453"/>
    <w:rsid w:val="003268C5"/>
    <w:rsid w:val="00326DE6"/>
    <w:rsid w:val="00327881"/>
    <w:rsid w:val="00327A2D"/>
    <w:rsid w:val="00332A4D"/>
    <w:rsid w:val="00332A82"/>
    <w:rsid w:val="00332FDF"/>
    <w:rsid w:val="00333238"/>
    <w:rsid w:val="003333AB"/>
    <w:rsid w:val="003335D4"/>
    <w:rsid w:val="003339F2"/>
    <w:rsid w:val="0033410F"/>
    <w:rsid w:val="00334118"/>
    <w:rsid w:val="00334A13"/>
    <w:rsid w:val="00334E64"/>
    <w:rsid w:val="00334FD4"/>
    <w:rsid w:val="003356F3"/>
    <w:rsid w:val="00335975"/>
    <w:rsid w:val="003362B6"/>
    <w:rsid w:val="00336969"/>
    <w:rsid w:val="003372D0"/>
    <w:rsid w:val="0033785A"/>
    <w:rsid w:val="003402B9"/>
    <w:rsid w:val="00340BEE"/>
    <w:rsid w:val="003417E8"/>
    <w:rsid w:val="003420AD"/>
    <w:rsid w:val="00343709"/>
    <w:rsid w:val="00343CFA"/>
    <w:rsid w:val="00344D88"/>
    <w:rsid w:val="00345080"/>
    <w:rsid w:val="0034552C"/>
    <w:rsid w:val="00346080"/>
    <w:rsid w:val="0034625D"/>
    <w:rsid w:val="00346591"/>
    <w:rsid w:val="00346A13"/>
    <w:rsid w:val="00347039"/>
    <w:rsid w:val="00347131"/>
    <w:rsid w:val="0034745E"/>
    <w:rsid w:val="00347F20"/>
    <w:rsid w:val="00350191"/>
    <w:rsid w:val="003507B3"/>
    <w:rsid w:val="003515C0"/>
    <w:rsid w:val="00351774"/>
    <w:rsid w:val="00351961"/>
    <w:rsid w:val="003532F1"/>
    <w:rsid w:val="00354830"/>
    <w:rsid w:val="00354CCB"/>
    <w:rsid w:val="0035663B"/>
    <w:rsid w:val="00356C0B"/>
    <w:rsid w:val="00357610"/>
    <w:rsid w:val="003576A0"/>
    <w:rsid w:val="00357E1E"/>
    <w:rsid w:val="0036001E"/>
    <w:rsid w:val="003609E0"/>
    <w:rsid w:val="00360D26"/>
    <w:rsid w:val="0036322E"/>
    <w:rsid w:val="0036328D"/>
    <w:rsid w:val="00364BE2"/>
    <w:rsid w:val="00364DE1"/>
    <w:rsid w:val="00366435"/>
    <w:rsid w:val="003665B9"/>
    <w:rsid w:val="00366AED"/>
    <w:rsid w:val="00367081"/>
    <w:rsid w:val="00370051"/>
    <w:rsid w:val="003705A0"/>
    <w:rsid w:val="00370BE1"/>
    <w:rsid w:val="00370C5A"/>
    <w:rsid w:val="00371297"/>
    <w:rsid w:val="0037156B"/>
    <w:rsid w:val="00371595"/>
    <w:rsid w:val="003720CB"/>
    <w:rsid w:val="00372374"/>
    <w:rsid w:val="00372AFF"/>
    <w:rsid w:val="00373308"/>
    <w:rsid w:val="00373ED1"/>
    <w:rsid w:val="003744B1"/>
    <w:rsid w:val="0037528A"/>
    <w:rsid w:val="0037536E"/>
    <w:rsid w:val="003758F0"/>
    <w:rsid w:val="00375B54"/>
    <w:rsid w:val="00375E9E"/>
    <w:rsid w:val="00376914"/>
    <w:rsid w:val="00376F05"/>
    <w:rsid w:val="00377659"/>
    <w:rsid w:val="00377692"/>
    <w:rsid w:val="0037774C"/>
    <w:rsid w:val="003777F9"/>
    <w:rsid w:val="00377AE6"/>
    <w:rsid w:val="00382072"/>
    <w:rsid w:val="003822ED"/>
    <w:rsid w:val="00382788"/>
    <w:rsid w:val="00382C55"/>
    <w:rsid w:val="00382C6A"/>
    <w:rsid w:val="003832B6"/>
    <w:rsid w:val="003834B2"/>
    <w:rsid w:val="00383BD0"/>
    <w:rsid w:val="00383F6C"/>
    <w:rsid w:val="00384DF8"/>
    <w:rsid w:val="00386BD5"/>
    <w:rsid w:val="003874A8"/>
    <w:rsid w:val="003878E6"/>
    <w:rsid w:val="00387A77"/>
    <w:rsid w:val="00387F4F"/>
    <w:rsid w:val="00390461"/>
    <w:rsid w:val="00390FBE"/>
    <w:rsid w:val="003911D5"/>
    <w:rsid w:val="003915AE"/>
    <w:rsid w:val="00391738"/>
    <w:rsid w:val="00391F6B"/>
    <w:rsid w:val="00392100"/>
    <w:rsid w:val="00392390"/>
    <w:rsid w:val="00392682"/>
    <w:rsid w:val="00392993"/>
    <w:rsid w:val="00394A49"/>
    <w:rsid w:val="00394B4B"/>
    <w:rsid w:val="00395852"/>
    <w:rsid w:val="00395E30"/>
    <w:rsid w:val="00396D6A"/>
    <w:rsid w:val="0039746E"/>
    <w:rsid w:val="00397CF8"/>
    <w:rsid w:val="00397F41"/>
    <w:rsid w:val="003A062B"/>
    <w:rsid w:val="003A1059"/>
    <w:rsid w:val="003A168C"/>
    <w:rsid w:val="003A1E47"/>
    <w:rsid w:val="003A27F2"/>
    <w:rsid w:val="003A294B"/>
    <w:rsid w:val="003A2DF4"/>
    <w:rsid w:val="003A4FA3"/>
    <w:rsid w:val="003A70DC"/>
    <w:rsid w:val="003A7A3C"/>
    <w:rsid w:val="003B09FE"/>
    <w:rsid w:val="003B0EA1"/>
    <w:rsid w:val="003B1591"/>
    <w:rsid w:val="003B230C"/>
    <w:rsid w:val="003B2E0E"/>
    <w:rsid w:val="003B3FA6"/>
    <w:rsid w:val="003B4354"/>
    <w:rsid w:val="003B4820"/>
    <w:rsid w:val="003B5133"/>
    <w:rsid w:val="003B65F7"/>
    <w:rsid w:val="003B6707"/>
    <w:rsid w:val="003B7195"/>
    <w:rsid w:val="003B751F"/>
    <w:rsid w:val="003B7ED4"/>
    <w:rsid w:val="003B7FEB"/>
    <w:rsid w:val="003C089B"/>
    <w:rsid w:val="003C0DCD"/>
    <w:rsid w:val="003C16BF"/>
    <w:rsid w:val="003C1D60"/>
    <w:rsid w:val="003C237A"/>
    <w:rsid w:val="003C2B56"/>
    <w:rsid w:val="003C2CA7"/>
    <w:rsid w:val="003C416D"/>
    <w:rsid w:val="003C4457"/>
    <w:rsid w:val="003C4DB6"/>
    <w:rsid w:val="003C562F"/>
    <w:rsid w:val="003C65CA"/>
    <w:rsid w:val="003C6629"/>
    <w:rsid w:val="003C693F"/>
    <w:rsid w:val="003D0084"/>
    <w:rsid w:val="003D0A4B"/>
    <w:rsid w:val="003D3225"/>
    <w:rsid w:val="003D42FD"/>
    <w:rsid w:val="003D4D86"/>
    <w:rsid w:val="003D5109"/>
    <w:rsid w:val="003D55D0"/>
    <w:rsid w:val="003D56DB"/>
    <w:rsid w:val="003D7141"/>
    <w:rsid w:val="003D76BB"/>
    <w:rsid w:val="003E020C"/>
    <w:rsid w:val="003E02BE"/>
    <w:rsid w:val="003E07AA"/>
    <w:rsid w:val="003E09EE"/>
    <w:rsid w:val="003E0C2D"/>
    <w:rsid w:val="003E1290"/>
    <w:rsid w:val="003E13A5"/>
    <w:rsid w:val="003E19D1"/>
    <w:rsid w:val="003E1C4A"/>
    <w:rsid w:val="003E2036"/>
    <w:rsid w:val="003E214F"/>
    <w:rsid w:val="003E242D"/>
    <w:rsid w:val="003E287B"/>
    <w:rsid w:val="003E303C"/>
    <w:rsid w:val="003E3F2C"/>
    <w:rsid w:val="003E6AB8"/>
    <w:rsid w:val="003E7046"/>
    <w:rsid w:val="003F090A"/>
    <w:rsid w:val="003F0B0D"/>
    <w:rsid w:val="003F144F"/>
    <w:rsid w:val="003F178B"/>
    <w:rsid w:val="003F24A5"/>
    <w:rsid w:val="003F255B"/>
    <w:rsid w:val="003F27BB"/>
    <w:rsid w:val="003F2CD3"/>
    <w:rsid w:val="003F4605"/>
    <w:rsid w:val="003F488C"/>
    <w:rsid w:val="003F4E65"/>
    <w:rsid w:val="003F4F7D"/>
    <w:rsid w:val="003F56CA"/>
    <w:rsid w:val="003F5782"/>
    <w:rsid w:val="003F58AA"/>
    <w:rsid w:val="003F5945"/>
    <w:rsid w:val="003F5A43"/>
    <w:rsid w:val="003F6D59"/>
    <w:rsid w:val="003F6E41"/>
    <w:rsid w:val="003F72E3"/>
    <w:rsid w:val="003F7434"/>
    <w:rsid w:val="003F7F6A"/>
    <w:rsid w:val="003F7FEF"/>
    <w:rsid w:val="00400792"/>
    <w:rsid w:val="00400BA9"/>
    <w:rsid w:val="00400EF6"/>
    <w:rsid w:val="004011AD"/>
    <w:rsid w:val="00401661"/>
    <w:rsid w:val="00401D0F"/>
    <w:rsid w:val="00401EAF"/>
    <w:rsid w:val="004020E5"/>
    <w:rsid w:val="004032A5"/>
    <w:rsid w:val="004035DB"/>
    <w:rsid w:val="00403A4E"/>
    <w:rsid w:val="00404091"/>
    <w:rsid w:val="004044F4"/>
    <w:rsid w:val="004052DC"/>
    <w:rsid w:val="00405441"/>
    <w:rsid w:val="004063EC"/>
    <w:rsid w:val="004064D8"/>
    <w:rsid w:val="00406B68"/>
    <w:rsid w:val="0040773B"/>
    <w:rsid w:val="00407FD9"/>
    <w:rsid w:val="004109D1"/>
    <w:rsid w:val="00410EE8"/>
    <w:rsid w:val="00411296"/>
    <w:rsid w:val="0041152B"/>
    <w:rsid w:val="00411603"/>
    <w:rsid w:val="004120A5"/>
    <w:rsid w:val="00412833"/>
    <w:rsid w:val="00412B00"/>
    <w:rsid w:val="00412BF1"/>
    <w:rsid w:val="00412CEB"/>
    <w:rsid w:val="00412D99"/>
    <w:rsid w:val="004145E5"/>
    <w:rsid w:val="00415E7B"/>
    <w:rsid w:val="00416006"/>
    <w:rsid w:val="0041739D"/>
    <w:rsid w:val="0041745F"/>
    <w:rsid w:val="004175E8"/>
    <w:rsid w:val="00420289"/>
    <w:rsid w:val="004210B6"/>
    <w:rsid w:val="00421101"/>
    <w:rsid w:val="00421445"/>
    <w:rsid w:val="00421716"/>
    <w:rsid w:val="00422188"/>
    <w:rsid w:val="00422ACE"/>
    <w:rsid w:val="004230BD"/>
    <w:rsid w:val="004232E8"/>
    <w:rsid w:val="00423E45"/>
    <w:rsid w:val="004241D6"/>
    <w:rsid w:val="00424D1A"/>
    <w:rsid w:val="004251C0"/>
    <w:rsid w:val="004252FF"/>
    <w:rsid w:val="0042569A"/>
    <w:rsid w:val="00426C32"/>
    <w:rsid w:val="004277E5"/>
    <w:rsid w:val="004279C1"/>
    <w:rsid w:val="004300C9"/>
    <w:rsid w:val="00430133"/>
    <w:rsid w:val="0043094C"/>
    <w:rsid w:val="00431E00"/>
    <w:rsid w:val="0043200D"/>
    <w:rsid w:val="00432996"/>
    <w:rsid w:val="00433959"/>
    <w:rsid w:val="004339AD"/>
    <w:rsid w:val="00433D2D"/>
    <w:rsid w:val="0043401E"/>
    <w:rsid w:val="004347BB"/>
    <w:rsid w:val="0043486B"/>
    <w:rsid w:val="00434BCA"/>
    <w:rsid w:val="00434E42"/>
    <w:rsid w:val="004352E5"/>
    <w:rsid w:val="004354F9"/>
    <w:rsid w:val="00435E07"/>
    <w:rsid w:val="004369B0"/>
    <w:rsid w:val="00436FF0"/>
    <w:rsid w:val="00437153"/>
    <w:rsid w:val="00437616"/>
    <w:rsid w:val="004378D0"/>
    <w:rsid w:val="00437D55"/>
    <w:rsid w:val="004406B3"/>
    <w:rsid w:val="00440F4B"/>
    <w:rsid w:val="00441989"/>
    <w:rsid w:val="00442243"/>
    <w:rsid w:val="004437F7"/>
    <w:rsid w:val="00444BA1"/>
    <w:rsid w:val="00445268"/>
    <w:rsid w:val="00445342"/>
    <w:rsid w:val="004457E8"/>
    <w:rsid w:val="004458AC"/>
    <w:rsid w:val="00445DF1"/>
    <w:rsid w:val="00446316"/>
    <w:rsid w:val="004465DD"/>
    <w:rsid w:val="004479ED"/>
    <w:rsid w:val="00447D80"/>
    <w:rsid w:val="00450022"/>
    <w:rsid w:val="00450202"/>
    <w:rsid w:val="004506C1"/>
    <w:rsid w:val="004509B3"/>
    <w:rsid w:val="00450E1D"/>
    <w:rsid w:val="00450FDB"/>
    <w:rsid w:val="00451A98"/>
    <w:rsid w:val="00451EAE"/>
    <w:rsid w:val="0045255D"/>
    <w:rsid w:val="004534E4"/>
    <w:rsid w:val="00453785"/>
    <w:rsid w:val="00453C96"/>
    <w:rsid w:val="00456261"/>
    <w:rsid w:val="00456542"/>
    <w:rsid w:val="00456A61"/>
    <w:rsid w:val="0045744F"/>
    <w:rsid w:val="00457936"/>
    <w:rsid w:val="00460A34"/>
    <w:rsid w:val="0046133B"/>
    <w:rsid w:val="00461597"/>
    <w:rsid w:val="0046272A"/>
    <w:rsid w:val="00463A75"/>
    <w:rsid w:val="00463AB9"/>
    <w:rsid w:val="00463DB1"/>
    <w:rsid w:val="00463DF8"/>
    <w:rsid w:val="004644F5"/>
    <w:rsid w:val="00464A43"/>
    <w:rsid w:val="00464BD6"/>
    <w:rsid w:val="00464FF7"/>
    <w:rsid w:val="00465106"/>
    <w:rsid w:val="004652B8"/>
    <w:rsid w:val="00465317"/>
    <w:rsid w:val="00465640"/>
    <w:rsid w:val="0046574D"/>
    <w:rsid w:val="00465A06"/>
    <w:rsid w:val="00466002"/>
    <w:rsid w:val="004663F9"/>
    <w:rsid w:val="004679F4"/>
    <w:rsid w:val="00470B07"/>
    <w:rsid w:val="004714D6"/>
    <w:rsid w:val="004719F4"/>
    <w:rsid w:val="00471C3A"/>
    <w:rsid w:val="004724F4"/>
    <w:rsid w:val="00473091"/>
    <w:rsid w:val="00474079"/>
    <w:rsid w:val="00474EEE"/>
    <w:rsid w:val="0047518D"/>
    <w:rsid w:val="004751AF"/>
    <w:rsid w:val="004753F2"/>
    <w:rsid w:val="00475503"/>
    <w:rsid w:val="0047584A"/>
    <w:rsid w:val="0047597B"/>
    <w:rsid w:val="00475C83"/>
    <w:rsid w:val="004761B7"/>
    <w:rsid w:val="004765E3"/>
    <w:rsid w:val="0047681E"/>
    <w:rsid w:val="00477432"/>
    <w:rsid w:val="004776DE"/>
    <w:rsid w:val="004777D8"/>
    <w:rsid w:val="00480040"/>
    <w:rsid w:val="00480852"/>
    <w:rsid w:val="00481152"/>
    <w:rsid w:val="004811B1"/>
    <w:rsid w:val="00481419"/>
    <w:rsid w:val="00481970"/>
    <w:rsid w:val="00481ADE"/>
    <w:rsid w:val="004836D1"/>
    <w:rsid w:val="00483A90"/>
    <w:rsid w:val="004843CC"/>
    <w:rsid w:val="00484442"/>
    <w:rsid w:val="004850EC"/>
    <w:rsid w:val="0048545E"/>
    <w:rsid w:val="00485526"/>
    <w:rsid w:val="00485EF9"/>
    <w:rsid w:val="00487DCE"/>
    <w:rsid w:val="0049061A"/>
    <w:rsid w:val="004909A3"/>
    <w:rsid w:val="004909EA"/>
    <w:rsid w:val="00491459"/>
    <w:rsid w:val="00491670"/>
    <w:rsid w:val="004929C1"/>
    <w:rsid w:val="004929D8"/>
    <w:rsid w:val="00492A2C"/>
    <w:rsid w:val="00493755"/>
    <w:rsid w:val="00493E00"/>
    <w:rsid w:val="004948AA"/>
    <w:rsid w:val="00494A56"/>
    <w:rsid w:val="00495419"/>
    <w:rsid w:val="00495F0B"/>
    <w:rsid w:val="00496B75"/>
    <w:rsid w:val="00496FD6"/>
    <w:rsid w:val="00497BE2"/>
    <w:rsid w:val="004A0BAD"/>
    <w:rsid w:val="004A2A85"/>
    <w:rsid w:val="004A2E3D"/>
    <w:rsid w:val="004A321F"/>
    <w:rsid w:val="004A3824"/>
    <w:rsid w:val="004A3D7E"/>
    <w:rsid w:val="004A4F47"/>
    <w:rsid w:val="004A4F4B"/>
    <w:rsid w:val="004A5067"/>
    <w:rsid w:val="004A53BE"/>
    <w:rsid w:val="004A62F6"/>
    <w:rsid w:val="004A6810"/>
    <w:rsid w:val="004A685F"/>
    <w:rsid w:val="004A6BAF"/>
    <w:rsid w:val="004A6C1D"/>
    <w:rsid w:val="004A6DB5"/>
    <w:rsid w:val="004A7D62"/>
    <w:rsid w:val="004B015D"/>
    <w:rsid w:val="004B0F3C"/>
    <w:rsid w:val="004B1907"/>
    <w:rsid w:val="004B325D"/>
    <w:rsid w:val="004B3F74"/>
    <w:rsid w:val="004B4DE2"/>
    <w:rsid w:val="004B52F3"/>
    <w:rsid w:val="004B5312"/>
    <w:rsid w:val="004B6010"/>
    <w:rsid w:val="004B6074"/>
    <w:rsid w:val="004B60C4"/>
    <w:rsid w:val="004B678C"/>
    <w:rsid w:val="004B683C"/>
    <w:rsid w:val="004B6A8E"/>
    <w:rsid w:val="004B7004"/>
    <w:rsid w:val="004B70A0"/>
    <w:rsid w:val="004B73E4"/>
    <w:rsid w:val="004B76EC"/>
    <w:rsid w:val="004B7B70"/>
    <w:rsid w:val="004B7EE1"/>
    <w:rsid w:val="004C1116"/>
    <w:rsid w:val="004C114D"/>
    <w:rsid w:val="004C1AC3"/>
    <w:rsid w:val="004C2B68"/>
    <w:rsid w:val="004C2FA4"/>
    <w:rsid w:val="004C3678"/>
    <w:rsid w:val="004C3EBF"/>
    <w:rsid w:val="004C405D"/>
    <w:rsid w:val="004C4655"/>
    <w:rsid w:val="004C53C1"/>
    <w:rsid w:val="004C5653"/>
    <w:rsid w:val="004C5DCA"/>
    <w:rsid w:val="004C5FBD"/>
    <w:rsid w:val="004C7117"/>
    <w:rsid w:val="004C774F"/>
    <w:rsid w:val="004C7C37"/>
    <w:rsid w:val="004D01A7"/>
    <w:rsid w:val="004D0D2C"/>
    <w:rsid w:val="004D17C2"/>
    <w:rsid w:val="004D2149"/>
    <w:rsid w:val="004D2316"/>
    <w:rsid w:val="004D2472"/>
    <w:rsid w:val="004D2ADA"/>
    <w:rsid w:val="004D316C"/>
    <w:rsid w:val="004D498A"/>
    <w:rsid w:val="004D4DC8"/>
    <w:rsid w:val="004D5720"/>
    <w:rsid w:val="004D58A6"/>
    <w:rsid w:val="004D5D3E"/>
    <w:rsid w:val="004D5DB9"/>
    <w:rsid w:val="004D6101"/>
    <w:rsid w:val="004D62FF"/>
    <w:rsid w:val="004D6CB3"/>
    <w:rsid w:val="004D6DCB"/>
    <w:rsid w:val="004D6DE4"/>
    <w:rsid w:val="004D7569"/>
    <w:rsid w:val="004D7AC6"/>
    <w:rsid w:val="004D7D82"/>
    <w:rsid w:val="004E096F"/>
    <w:rsid w:val="004E0D16"/>
    <w:rsid w:val="004E1217"/>
    <w:rsid w:val="004E1D7D"/>
    <w:rsid w:val="004E1E45"/>
    <w:rsid w:val="004E2177"/>
    <w:rsid w:val="004E2FDD"/>
    <w:rsid w:val="004E34EE"/>
    <w:rsid w:val="004E46D6"/>
    <w:rsid w:val="004E4783"/>
    <w:rsid w:val="004E49BC"/>
    <w:rsid w:val="004E5B93"/>
    <w:rsid w:val="004E643A"/>
    <w:rsid w:val="004E6A91"/>
    <w:rsid w:val="004E6BD2"/>
    <w:rsid w:val="004E6C13"/>
    <w:rsid w:val="004E7374"/>
    <w:rsid w:val="004E752D"/>
    <w:rsid w:val="004F09F2"/>
    <w:rsid w:val="004F0A9C"/>
    <w:rsid w:val="004F0AAF"/>
    <w:rsid w:val="004F11B4"/>
    <w:rsid w:val="004F1277"/>
    <w:rsid w:val="004F208E"/>
    <w:rsid w:val="004F20D5"/>
    <w:rsid w:val="004F24EC"/>
    <w:rsid w:val="004F2E19"/>
    <w:rsid w:val="004F31C6"/>
    <w:rsid w:val="004F40CD"/>
    <w:rsid w:val="004F44CC"/>
    <w:rsid w:val="004F479C"/>
    <w:rsid w:val="004F4FD7"/>
    <w:rsid w:val="004F5727"/>
    <w:rsid w:val="004F5BC7"/>
    <w:rsid w:val="004F695A"/>
    <w:rsid w:val="004F6FB6"/>
    <w:rsid w:val="004F73D7"/>
    <w:rsid w:val="004F740C"/>
    <w:rsid w:val="004F7F10"/>
    <w:rsid w:val="005013FE"/>
    <w:rsid w:val="005017A9"/>
    <w:rsid w:val="00501C13"/>
    <w:rsid w:val="00501C1F"/>
    <w:rsid w:val="005025D8"/>
    <w:rsid w:val="00502E52"/>
    <w:rsid w:val="005039AE"/>
    <w:rsid w:val="00503B37"/>
    <w:rsid w:val="00503FAC"/>
    <w:rsid w:val="0050474F"/>
    <w:rsid w:val="005055BC"/>
    <w:rsid w:val="005060BE"/>
    <w:rsid w:val="005066E4"/>
    <w:rsid w:val="005068B1"/>
    <w:rsid w:val="00510441"/>
    <w:rsid w:val="005109B9"/>
    <w:rsid w:val="00510A46"/>
    <w:rsid w:val="0051102D"/>
    <w:rsid w:val="00511B1D"/>
    <w:rsid w:val="005125F4"/>
    <w:rsid w:val="00512A00"/>
    <w:rsid w:val="005136F8"/>
    <w:rsid w:val="00514154"/>
    <w:rsid w:val="0051453B"/>
    <w:rsid w:val="00514552"/>
    <w:rsid w:val="005148B3"/>
    <w:rsid w:val="00514F6E"/>
    <w:rsid w:val="005152B3"/>
    <w:rsid w:val="00516073"/>
    <w:rsid w:val="0051616B"/>
    <w:rsid w:val="0051643F"/>
    <w:rsid w:val="005169E4"/>
    <w:rsid w:val="0051782F"/>
    <w:rsid w:val="005201C6"/>
    <w:rsid w:val="0052028F"/>
    <w:rsid w:val="005207C0"/>
    <w:rsid w:val="0052097A"/>
    <w:rsid w:val="00520A3A"/>
    <w:rsid w:val="00521AC8"/>
    <w:rsid w:val="005228E2"/>
    <w:rsid w:val="0052369D"/>
    <w:rsid w:val="00523A9C"/>
    <w:rsid w:val="00524E6B"/>
    <w:rsid w:val="0052580F"/>
    <w:rsid w:val="00525A97"/>
    <w:rsid w:val="00525C3A"/>
    <w:rsid w:val="00525C9A"/>
    <w:rsid w:val="00525E52"/>
    <w:rsid w:val="00525E65"/>
    <w:rsid w:val="00525E78"/>
    <w:rsid w:val="00527002"/>
    <w:rsid w:val="005272A4"/>
    <w:rsid w:val="00527484"/>
    <w:rsid w:val="00527A2F"/>
    <w:rsid w:val="0053061B"/>
    <w:rsid w:val="0053090F"/>
    <w:rsid w:val="00530D23"/>
    <w:rsid w:val="00531E9D"/>
    <w:rsid w:val="0053273E"/>
    <w:rsid w:val="00533AA8"/>
    <w:rsid w:val="0053408B"/>
    <w:rsid w:val="00534447"/>
    <w:rsid w:val="00534878"/>
    <w:rsid w:val="00536191"/>
    <w:rsid w:val="005368DC"/>
    <w:rsid w:val="005372DB"/>
    <w:rsid w:val="00537839"/>
    <w:rsid w:val="00537840"/>
    <w:rsid w:val="00540432"/>
    <w:rsid w:val="00540665"/>
    <w:rsid w:val="00540A22"/>
    <w:rsid w:val="00540CF5"/>
    <w:rsid w:val="00540F13"/>
    <w:rsid w:val="00541174"/>
    <w:rsid w:val="0054134F"/>
    <w:rsid w:val="005414D3"/>
    <w:rsid w:val="0054187D"/>
    <w:rsid w:val="0054188B"/>
    <w:rsid w:val="00542977"/>
    <w:rsid w:val="00542D19"/>
    <w:rsid w:val="005437D6"/>
    <w:rsid w:val="00543920"/>
    <w:rsid w:val="0054482E"/>
    <w:rsid w:val="00545511"/>
    <w:rsid w:val="00545ADA"/>
    <w:rsid w:val="00545C46"/>
    <w:rsid w:val="00545CC2"/>
    <w:rsid w:val="00545D44"/>
    <w:rsid w:val="0054675C"/>
    <w:rsid w:val="00546B05"/>
    <w:rsid w:val="0054702B"/>
    <w:rsid w:val="0055020C"/>
    <w:rsid w:val="005506B5"/>
    <w:rsid w:val="00551617"/>
    <w:rsid w:val="005518FA"/>
    <w:rsid w:val="0055203D"/>
    <w:rsid w:val="00552075"/>
    <w:rsid w:val="00552629"/>
    <w:rsid w:val="00552E6F"/>
    <w:rsid w:val="00552FF9"/>
    <w:rsid w:val="0055308A"/>
    <w:rsid w:val="005534D5"/>
    <w:rsid w:val="0055382F"/>
    <w:rsid w:val="00553B60"/>
    <w:rsid w:val="00554066"/>
    <w:rsid w:val="00554A31"/>
    <w:rsid w:val="00554DFD"/>
    <w:rsid w:val="0055549C"/>
    <w:rsid w:val="005570D2"/>
    <w:rsid w:val="00557138"/>
    <w:rsid w:val="0055785A"/>
    <w:rsid w:val="00557A95"/>
    <w:rsid w:val="0056039E"/>
    <w:rsid w:val="005606AE"/>
    <w:rsid w:val="0056088F"/>
    <w:rsid w:val="00561607"/>
    <w:rsid w:val="005618B5"/>
    <w:rsid w:val="00561B6F"/>
    <w:rsid w:val="00561BD8"/>
    <w:rsid w:val="0056267D"/>
    <w:rsid w:val="00562A4F"/>
    <w:rsid w:val="00563F22"/>
    <w:rsid w:val="005647EB"/>
    <w:rsid w:val="00564FC3"/>
    <w:rsid w:val="00564FDB"/>
    <w:rsid w:val="00565F14"/>
    <w:rsid w:val="00566090"/>
    <w:rsid w:val="0056658D"/>
    <w:rsid w:val="00566804"/>
    <w:rsid w:val="00566AAA"/>
    <w:rsid w:val="00567150"/>
    <w:rsid w:val="005676FB"/>
    <w:rsid w:val="00567F8D"/>
    <w:rsid w:val="0057076B"/>
    <w:rsid w:val="005707B9"/>
    <w:rsid w:val="00570DE9"/>
    <w:rsid w:val="00570F82"/>
    <w:rsid w:val="00571180"/>
    <w:rsid w:val="0057156B"/>
    <w:rsid w:val="0057261E"/>
    <w:rsid w:val="00572F2A"/>
    <w:rsid w:val="005730A8"/>
    <w:rsid w:val="005731CB"/>
    <w:rsid w:val="00573C58"/>
    <w:rsid w:val="00574DD7"/>
    <w:rsid w:val="00574F17"/>
    <w:rsid w:val="005752BF"/>
    <w:rsid w:val="00575522"/>
    <w:rsid w:val="0057652C"/>
    <w:rsid w:val="005773E1"/>
    <w:rsid w:val="00577C94"/>
    <w:rsid w:val="00580198"/>
    <w:rsid w:val="00582B40"/>
    <w:rsid w:val="00582E4C"/>
    <w:rsid w:val="005837EF"/>
    <w:rsid w:val="00583925"/>
    <w:rsid w:val="00583E1A"/>
    <w:rsid w:val="00584291"/>
    <w:rsid w:val="005843C4"/>
    <w:rsid w:val="00584CB8"/>
    <w:rsid w:val="00584FAD"/>
    <w:rsid w:val="00585027"/>
    <w:rsid w:val="005857C7"/>
    <w:rsid w:val="00586428"/>
    <w:rsid w:val="00586851"/>
    <w:rsid w:val="00586B85"/>
    <w:rsid w:val="00587623"/>
    <w:rsid w:val="00590309"/>
    <w:rsid w:val="00590A61"/>
    <w:rsid w:val="00591ED0"/>
    <w:rsid w:val="005922D0"/>
    <w:rsid w:val="00593B53"/>
    <w:rsid w:val="00593D68"/>
    <w:rsid w:val="005941A6"/>
    <w:rsid w:val="005942FE"/>
    <w:rsid w:val="00594422"/>
    <w:rsid w:val="00594678"/>
    <w:rsid w:val="00594736"/>
    <w:rsid w:val="00595240"/>
    <w:rsid w:val="00595788"/>
    <w:rsid w:val="00595E00"/>
    <w:rsid w:val="00596582"/>
    <w:rsid w:val="005965B0"/>
    <w:rsid w:val="00596A7A"/>
    <w:rsid w:val="00597539"/>
    <w:rsid w:val="00597784"/>
    <w:rsid w:val="005979A3"/>
    <w:rsid w:val="005A0111"/>
    <w:rsid w:val="005A10EB"/>
    <w:rsid w:val="005A2879"/>
    <w:rsid w:val="005A3882"/>
    <w:rsid w:val="005A40EE"/>
    <w:rsid w:val="005A4E1B"/>
    <w:rsid w:val="005A5A8D"/>
    <w:rsid w:val="005A5B48"/>
    <w:rsid w:val="005A5E1D"/>
    <w:rsid w:val="005A7AA5"/>
    <w:rsid w:val="005B0682"/>
    <w:rsid w:val="005B0824"/>
    <w:rsid w:val="005B0DCB"/>
    <w:rsid w:val="005B0FF4"/>
    <w:rsid w:val="005B133A"/>
    <w:rsid w:val="005B1ECE"/>
    <w:rsid w:val="005B1F1F"/>
    <w:rsid w:val="005B2979"/>
    <w:rsid w:val="005B3D37"/>
    <w:rsid w:val="005B3ED2"/>
    <w:rsid w:val="005B45E5"/>
    <w:rsid w:val="005B4DFB"/>
    <w:rsid w:val="005B5612"/>
    <w:rsid w:val="005B5AC5"/>
    <w:rsid w:val="005B7E04"/>
    <w:rsid w:val="005B7FAE"/>
    <w:rsid w:val="005C0F2F"/>
    <w:rsid w:val="005C1740"/>
    <w:rsid w:val="005C21BA"/>
    <w:rsid w:val="005C27CE"/>
    <w:rsid w:val="005C2FDC"/>
    <w:rsid w:val="005C3C50"/>
    <w:rsid w:val="005C4690"/>
    <w:rsid w:val="005C4891"/>
    <w:rsid w:val="005C4C63"/>
    <w:rsid w:val="005C7271"/>
    <w:rsid w:val="005D0459"/>
    <w:rsid w:val="005D056C"/>
    <w:rsid w:val="005D1093"/>
    <w:rsid w:val="005D153F"/>
    <w:rsid w:val="005D243C"/>
    <w:rsid w:val="005D2B28"/>
    <w:rsid w:val="005D3CE3"/>
    <w:rsid w:val="005D538F"/>
    <w:rsid w:val="005D780C"/>
    <w:rsid w:val="005E041F"/>
    <w:rsid w:val="005E06DB"/>
    <w:rsid w:val="005E0770"/>
    <w:rsid w:val="005E0799"/>
    <w:rsid w:val="005E0CC4"/>
    <w:rsid w:val="005E1751"/>
    <w:rsid w:val="005E2684"/>
    <w:rsid w:val="005E3D98"/>
    <w:rsid w:val="005E3DA9"/>
    <w:rsid w:val="005E4228"/>
    <w:rsid w:val="005E464C"/>
    <w:rsid w:val="005E5EB0"/>
    <w:rsid w:val="005E6DC5"/>
    <w:rsid w:val="005E70B9"/>
    <w:rsid w:val="005E7E63"/>
    <w:rsid w:val="005F0ACB"/>
    <w:rsid w:val="005F0AEF"/>
    <w:rsid w:val="005F0BDC"/>
    <w:rsid w:val="005F0CBA"/>
    <w:rsid w:val="005F16B5"/>
    <w:rsid w:val="005F1E80"/>
    <w:rsid w:val="005F20B5"/>
    <w:rsid w:val="005F252A"/>
    <w:rsid w:val="005F254D"/>
    <w:rsid w:val="005F265A"/>
    <w:rsid w:val="005F508C"/>
    <w:rsid w:val="005F5478"/>
    <w:rsid w:val="005F6434"/>
    <w:rsid w:val="005F6F58"/>
    <w:rsid w:val="005F7171"/>
    <w:rsid w:val="005F7909"/>
    <w:rsid w:val="005F7E6B"/>
    <w:rsid w:val="0060019F"/>
    <w:rsid w:val="00600886"/>
    <w:rsid w:val="00600B3C"/>
    <w:rsid w:val="00600FA2"/>
    <w:rsid w:val="006010BA"/>
    <w:rsid w:val="00601107"/>
    <w:rsid w:val="006015A4"/>
    <w:rsid w:val="00601769"/>
    <w:rsid w:val="00601CED"/>
    <w:rsid w:val="00601DBB"/>
    <w:rsid w:val="00603D42"/>
    <w:rsid w:val="00606336"/>
    <w:rsid w:val="00606E43"/>
    <w:rsid w:val="00606F4B"/>
    <w:rsid w:val="00607248"/>
    <w:rsid w:val="00607C4D"/>
    <w:rsid w:val="0061032B"/>
    <w:rsid w:val="0061097E"/>
    <w:rsid w:val="00610A3E"/>
    <w:rsid w:val="00610BA5"/>
    <w:rsid w:val="00611584"/>
    <w:rsid w:val="00611B4E"/>
    <w:rsid w:val="00611B5E"/>
    <w:rsid w:val="00612C7A"/>
    <w:rsid w:val="006131BA"/>
    <w:rsid w:val="00614AAF"/>
    <w:rsid w:val="0061545C"/>
    <w:rsid w:val="00615F90"/>
    <w:rsid w:val="00616723"/>
    <w:rsid w:val="00616B5B"/>
    <w:rsid w:val="00617560"/>
    <w:rsid w:val="006200DF"/>
    <w:rsid w:val="006201FA"/>
    <w:rsid w:val="006202E0"/>
    <w:rsid w:val="00621587"/>
    <w:rsid w:val="0062164A"/>
    <w:rsid w:val="00621DE4"/>
    <w:rsid w:val="00623552"/>
    <w:rsid w:val="0062498E"/>
    <w:rsid w:val="00624EBC"/>
    <w:rsid w:val="00625B87"/>
    <w:rsid w:val="006260C6"/>
    <w:rsid w:val="006262A5"/>
    <w:rsid w:val="00626E36"/>
    <w:rsid w:val="006277C3"/>
    <w:rsid w:val="006277D1"/>
    <w:rsid w:val="00627B86"/>
    <w:rsid w:val="00627FE9"/>
    <w:rsid w:val="00630202"/>
    <w:rsid w:val="0063146D"/>
    <w:rsid w:val="006314F7"/>
    <w:rsid w:val="006325DA"/>
    <w:rsid w:val="00633E99"/>
    <w:rsid w:val="00633F51"/>
    <w:rsid w:val="006347E2"/>
    <w:rsid w:val="0063488A"/>
    <w:rsid w:val="00634A40"/>
    <w:rsid w:val="006357B9"/>
    <w:rsid w:val="006358D5"/>
    <w:rsid w:val="00635AE0"/>
    <w:rsid w:val="006360E7"/>
    <w:rsid w:val="0063647E"/>
    <w:rsid w:val="006364A6"/>
    <w:rsid w:val="006367F6"/>
    <w:rsid w:val="00636BAD"/>
    <w:rsid w:val="00637085"/>
    <w:rsid w:val="0063734A"/>
    <w:rsid w:val="006374AC"/>
    <w:rsid w:val="0064016E"/>
    <w:rsid w:val="006402E8"/>
    <w:rsid w:val="006409B3"/>
    <w:rsid w:val="00642785"/>
    <w:rsid w:val="006457BA"/>
    <w:rsid w:val="00645F36"/>
    <w:rsid w:val="00647C7A"/>
    <w:rsid w:val="00650120"/>
    <w:rsid w:val="006504B5"/>
    <w:rsid w:val="0065106A"/>
    <w:rsid w:val="0065113F"/>
    <w:rsid w:val="00653326"/>
    <w:rsid w:val="006539A4"/>
    <w:rsid w:val="00654E6E"/>
    <w:rsid w:val="0065559D"/>
    <w:rsid w:val="00655A14"/>
    <w:rsid w:val="00655EFE"/>
    <w:rsid w:val="00656D9F"/>
    <w:rsid w:val="00657155"/>
    <w:rsid w:val="00657923"/>
    <w:rsid w:val="00657BF4"/>
    <w:rsid w:val="00657DB4"/>
    <w:rsid w:val="0066004D"/>
    <w:rsid w:val="006600E6"/>
    <w:rsid w:val="00660629"/>
    <w:rsid w:val="006617FF"/>
    <w:rsid w:val="00661905"/>
    <w:rsid w:val="00661A30"/>
    <w:rsid w:val="00661E3D"/>
    <w:rsid w:val="0066250E"/>
    <w:rsid w:val="0066265A"/>
    <w:rsid w:val="006627EF"/>
    <w:rsid w:val="00663E31"/>
    <w:rsid w:val="00664173"/>
    <w:rsid w:val="00665BCF"/>
    <w:rsid w:val="00666A09"/>
    <w:rsid w:val="00667266"/>
    <w:rsid w:val="006672B5"/>
    <w:rsid w:val="00667945"/>
    <w:rsid w:val="00667969"/>
    <w:rsid w:val="00667FA5"/>
    <w:rsid w:val="006703EA"/>
    <w:rsid w:val="00670420"/>
    <w:rsid w:val="006709A0"/>
    <w:rsid w:val="00670FE3"/>
    <w:rsid w:val="00671497"/>
    <w:rsid w:val="006725D0"/>
    <w:rsid w:val="00672982"/>
    <w:rsid w:val="00672B79"/>
    <w:rsid w:val="00673068"/>
    <w:rsid w:val="006734E7"/>
    <w:rsid w:val="00673D14"/>
    <w:rsid w:val="0067493B"/>
    <w:rsid w:val="00674F91"/>
    <w:rsid w:val="00675127"/>
    <w:rsid w:val="0067581A"/>
    <w:rsid w:val="00676D6A"/>
    <w:rsid w:val="006775D5"/>
    <w:rsid w:val="00677DDA"/>
    <w:rsid w:val="006801C4"/>
    <w:rsid w:val="00680BE0"/>
    <w:rsid w:val="00681D4C"/>
    <w:rsid w:val="00681D99"/>
    <w:rsid w:val="00683A95"/>
    <w:rsid w:val="00683CFE"/>
    <w:rsid w:val="00683ECB"/>
    <w:rsid w:val="006843B8"/>
    <w:rsid w:val="006848C1"/>
    <w:rsid w:val="006859A8"/>
    <w:rsid w:val="00685A22"/>
    <w:rsid w:val="00685AC9"/>
    <w:rsid w:val="00686123"/>
    <w:rsid w:val="00686579"/>
    <w:rsid w:val="006866FE"/>
    <w:rsid w:val="006870F9"/>
    <w:rsid w:val="006872F1"/>
    <w:rsid w:val="00687496"/>
    <w:rsid w:val="00690F78"/>
    <w:rsid w:val="00692D37"/>
    <w:rsid w:val="0069318F"/>
    <w:rsid w:val="0069349C"/>
    <w:rsid w:val="006943DF"/>
    <w:rsid w:val="00694A9A"/>
    <w:rsid w:val="00694BC5"/>
    <w:rsid w:val="006955D3"/>
    <w:rsid w:val="00695826"/>
    <w:rsid w:val="00696681"/>
    <w:rsid w:val="006972D7"/>
    <w:rsid w:val="00697B16"/>
    <w:rsid w:val="00697D0C"/>
    <w:rsid w:val="006A2101"/>
    <w:rsid w:val="006A21CD"/>
    <w:rsid w:val="006A3321"/>
    <w:rsid w:val="006A381D"/>
    <w:rsid w:val="006A3D04"/>
    <w:rsid w:val="006A3DE5"/>
    <w:rsid w:val="006A4FDF"/>
    <w:rsid w:val="006A6006"/>
    <w:rsid w:val="006A6263"/>
    <w:rsid w:val="006A6963"/>
    <w:rsid w:val="006A6DE0"/>
    <w:rsid w:val="006A7057"/>
    <w:rsid w:val="006A755D"/>
    <w:rsid w:val="006A7E4E"/>
    <w:rsid w:val="006B0022"/>
    <w:rsid w:val="006B0B95"/>
    <w:rsid w:val="006B14D7"/>
    <w:rsid w:val="006B1BA8"/>
    <w:rsid w:val="006B2502"/>
    <w:rsid w:val="006B2C2A"/>
    <w:rsid w:val="006B3418"/>
    <w:rsid w:val="006B3C2E"/>
    <w:rsid w:val="006B4667"/>
    <w:rsid w:val="006B516B"/>
    <w:rsid w:val="006B5661"/>
    <w:rsid w:val="006B5DE7"/>
    <w:rsid w:val="006B676B"/>
    <w:rsid w:val="006B7B2A"/>
    <w:rsid w:val="006C0F48"/>
    <w:rsid w:val="006C2C15"/>
    <w:rsid w:val="006C3506"/>
    <w:rsid w:val="006C3992"/>
    <w:rsid w:val="006C4AFA"/>
    <w:rsid w:val="006C5269"/>
    <w:rsid w:val="006C54B8"/>
    <w:rsid w:val="006C54C3"/>
    <w:rsid w:val="006C5575"/>
    <w:rsid w:val="006C57EC"/>
    <w:rsid w:val="006C6F9A"/>
    <w:rsid w:val="006C7DFD"/>
    <w:rsid w:val="006D0DC9"/>
    <w:rsid w:val="006D0F82"/>
    <w:rsid w:val="006D13C6"/>
    <w:rsid w:val="006D19CD"/>
    <w:rsid w:val="006D1EC9"/>
    <w:rsid w:val="006D2383"/>
    <w:rsid w:val="006D2A17"/>
    <w:rsid w:val="006D2D2B"/>
    <w:rsid w:val="006D2DFB"/>
    <w:rsid w:val="006D318A"/>
    <w:rsid w:val="006D3629"/>
    <w:rsid w:val="006D386F"/>
    <w:rsid w:val="006D4980"/>
    <w:rsid w:val="006D4AC0"/>
    <w:rsid w:val="006D5D0B"/>
    <w:rsid w:val="006D60F3"/>
    <w:rsid w:val="006D64EF"/>
    <w:rsid w:val="006D6616"/>
    <w:rsid w:val="006D662D"/>
    <w:rsid w:val="006D6F01"/>
    <w:rsid w:val="006D7350"/>
    <w:rsid w:val="006D7539"/>
    <w:rsid w:val="006D794D"/>
    <w:rsid w:val="006D7E80"/>
    <w:rsid w:val="006E09CD"/>
    <w:rsid w:val="006E0A59"/>
    <w:rsid w:val="006E0C72"/>
    <w:rsid w:val="006E1C3B"/>
    <w:rsid w:val="006E1F17"/>
    <w:rsid w:val="006E1F1B"/>
    <w:rsid w:val="006E2232"/>
    <w:rsid w:val="006E2254"/>
    <w:rsid w:val="006E2866"/>
    <w:rsid w:val="006E322A"/>
    <w:rsid w:val="006E369C"/>
    <w:rsid w:val="006E3739"/>
    <w:rsid w:val="006E553C"/>
    <w:rsid w:val="006E5E37"/>
    <w:rsid w:val="006E6207"/>
    <w:rsid w:val="006E71DD"/>
    <w:rsid w:val="006E7C27"/>
    <w:rsid w:val="006F0063"/>
    <w:rsid w:val="006F03D8"/>
    <w:rsid w:val="006F07E5"/>
    <w:rsid w:val="006F09AB"/>
    <w:rsid w:val="006F166C"/>
    <w:rsid w:val="006F2A1D"/>
    <w:rsid w:val="006F36F9"/>
    <w:rsid w:val="006F3D2A"/>
    <w:rsid w:val="006F4A18"/>
    <w:rsid w:val="006F5899"/>
    <w:rsid w:val="006F58D6"/>
    <w:rsid w:val="006F5977"/>
    <w:rsid w:val="006F6EDB"/>
    <w:rsid w:val="006F758A"/>
    <w:rsid w:val="006F7A7E"/>
    <w:rsid w:val="006F7E41"/>
    <w:rsid w:val="00701285"/>
    <w:rsid w:val="0070138D"/>
    <w:rsid w:val="00702113"/>
    <w:rsid w:val="00702710"/>
    <w:rsid w:val="00702E81"/>
    <w:rsid w:val="007034B9"/>
    <w:rsid w:val="00704046"/>
    <w:rsid w:val="007045CE"/>
    <w:rsid w:val="00704761"/>
    <w:rsid w:val="00705052"/>
    <w:rsid w:val="007060AC"/>
    <w:rsid w:val="0070610F"/>
    <w:rsid w:val="00706CA4"/>
    <w:rsid w:val="00706EF3"/>
    <w:rsid w:val="00707EAF"/>
    <w:rsid w:val="00707F5D"/>
    <w:rsid w:val="007100A2"/>
    <w:rsid w:val="007121BE"/>
    <w:rsid w:val="007121DC"/>
    <w:rsid w:val="007126BE"/>
    <w:rsid w:val="00713521"/>
    <w:rsid w:val="00713595"/>
    <w:rsid w:val="00713B7C"/>
    <w:rsid w:val="0071457F"/>
    <w:rsid w:val="00714972"/>
    <w:rsid w:val="00716A62"/>
    <w:rsid w:val="00716DD6"/>
    <w:rsid w:val="007208A2"/>
    <w:rsid w:val="007213DE"/>
    <w:rsid w:val="00721787"/>
    <w:rsid w:val="00721D3F"/>
    <w:rsid w:val="0072207C"/>
    <w:rsid w:val="00722335"/>
    <w:rsid w:val="00722ADC"/>
    <w:rsid w:val="0072300A"/>
    <w:rsid w:val="00723D5A"/>
    <w:rsid w:val="00724D31"/>
    <w:rsid w:val="00725638"/>
    <w:rsid w:val="00725ABA"/>
    <w:rsid w:val="00725BE9"/>
    <w:rsid w:val="00725F3F"/>
    <w:rsid w:val="00726323"/>
    <w:rsid w:val="007264C4"/>
    <w:rsid w:val="00726950"/>
    <w:rsid w:val="0072731A"/>
    <w:rsid w:val="00727A43"/>
    <w:rsid w:val="00727C85"/>
    <w:rsid w:val="007306D3"/>
    <w:rsid w:val="00731C53"/>
    <w:rsid w:val="007323DB"/>
    <w:rsid w:val="007324EC"/>
    <w:rsid w:val="00732762"/>
    <w:rsid w:val="00732A26"/>
    <w:rsid w:val="00732A3D"/>
    <w:rsid w:val="00732F8B"/>
    <w:rsid w:val="007330D4"/>
    <w:rsid w:val="0073317C"/>
    <w:rsid w:val="00733C46"/>
    <w:rsid w:val="00734F37"/>
    <w:rsid w:val="00734FAD"/>
    <w:rsid w:val="007352F8"/>
    <w:rsid w:val="007358AF"/>
    <w:rsid w:val="00736CCF"/>
    <w:rsid w:val="00740736"/>
    <w:rsid w:val="00740C76"/>
    <w:rsid w:val="00742B75"/>
    <w:rsid w:val="00743168"/>
    <w:rsid w:val="0074431B"/>
    <w:rsid w:val="00744D31"/>
    <w:rsid w:val="007453B4"/>
    <w:rsid w:val="00745CB7"/>
    <w:rsid w:val="00745EF1"/>
    <w:rsid w:val="00746D65"/>
    <w:rsid w:val="00747AF6"/>
    <w:rsid w:val="00747B85"/>
    <w:rsid w:val="00747D68"/>
    <w:rsid w:val="00750475"/>
    <w:rsid w:val="007508E1"/>
    <w:rsid w:val="00750F57"/>
    <w:rsid w:val="00751004"/>
    <w:rsid w:val="00751558"/>
    <w:rsid w:val="0075292C"/>
    <w:rsid w:val="00752C8F"/>
    <w:rsid w:val="00752D8F"/>
    <w:rsid w:val="00753073"/>
    <w:rsid w:val="0075385B"/>
    <w:rsid w:val="00753966"/>
    <w:rsid w:val="00754172"/>
    <w:rsid w:val="00754338"/>
    <w:rsid w:val="00754878"/>
    <w:rsid w:val="00757B12"/>
    <w:rsid w:val="00757B90"/>
    <w:rsid w:val="00757BF8"/>
    <w:rsid w:val="00760F3D"/>
    <w:rsid w:val="00761DC8"/>
    <w:rsid w:val="00762914"/>
    <w:rsid w:val="00763255"/>
    <w:rsid w:val="00763B1B"/>
    <w:rsid w:val="00764100"/>
    <w:rsid w:val="007649CB"/>
    <w:rsid w:val="00764FDC"/>
    <w:rsid w:val="00765068"/>
    <w:rsid w:val="0076573B"/>
    <w:rsid w:val="007659ED"/>
    <w:rsid w:val="007671B2"/>
    <w:rsid w:val="00767458"/>
    <w:rsid w:val="00767DC8"/>
    <w:rsid w:val="007702EE"/>
    <w:rsid w:val="00771094"/>
    <w:rsid w:val="007717C3"/>
    <w:rsid w:val="0077254E"/>
    <w:rsid w:val="0077275C"/>
    <w:rsid w:val="007728E4"/>
    <w:rsid w:val="00772BF9"/>
    <w:rsid w:val="00772EE6"/>
    <w:rsid w:val="0077300B"/>
    <w:rsid w:val="00773A6E"/>
    <w:rsid w:val="00773C47"/>
    <w:rsid w:val="00774E6B"/>
    <w:rsid w:val="007751E6"/>
    <w:rsid w:val="00776630"/>
    <w:rsid w:val="00776DAC"/>
    <w:rsid w:val="0077738E"/>
    <w:rsid w:val="007774C6"/>
    <w:rsid w:val="00777562"/>
    <w:rsid w:val="007779D9"/>
    <w:rsid w:val="00780695"/>
    <w:rsid w:val="00780750"/>
    <w:rsid w:val="00780BA3"/>
    <w:rsid w:val="00780D5F"/>
    <w:rsid w:val="00780EB1"/>
    <w:rsid w:val="00781467"/>
    <w:rsid w:val="0078157D"/>
    <w:rsid w:val="007817CC"/>
    <w:rsid w:val="00782781"/>
    <w:rsid w:val="0078288E"/>
    <w:rsid w:val="00782FA9"/>
    <w:rsid w:val="00784512"/>
    <w:rsid w:val="0078495D"/>
    <w:rsid w:val="00786B30"/>
    <w:rsid w:val="00786CCC"/>
    <w:rsid w:val="007876AB"/>
    <w:rsid w:val="00790073"/>
    <w:rsid w:val="0079092E"/>
    <w:rsid w:val="00790A8A"/>
    <w:rsid w:val="00790DCE"/>
    <w:rsid w:val="007913F1"/>
    <w:rsid w:val="007929F3"/>
    <w:rsid w:val="00792B1E"/>
    <w:rsid w:val="00793183"/>
    <w:rsid w:val="00794585"/>
    <w:rsid w:val="0079491D"/>
    <w:rsid w:val="00794926"/>
    <w:rsid w:val="00794FA3"/>
    <w:rsid w:val="00795770"/>
    <w:rsid w:val="0079663F"/>
    <w:rsid w:val="007966D1"/>
    <w:rsid w:val="00796D69"/>
    <w:rsid w:val="00797112"/>
    <w:rsid w:val="007979B5"/>
    <w:rsid w:val="00797AB3"/>
    <w:rsid w:val="00797B4B"/>
    <w:rsid w:val="007A031B"/>
    <w:rsid w:val="007A051B"/>
    <w:rsid w:val="007A07C5"/>
    <w:rsid w:val="007A0BC2"/>
    <w:rsid w:val="007A0C18"/>
    <w:rsid w:val="007A15A6"/>
    <w:rsid w:val="007A1667"/>
    <w:rsid w:val="007A2224"/>
    <w:rsid w:val="007A2227"/>
    <w:rsid w:val="007A2804"/>
    <w:rsid w:val="007A41DD"/>
    <w:rsid w:val="007A5A73"/>
    <w:rsid w:val="007A61DA"/>
    <w:rsid w:val="007A664E"/>
    <w:rsid w:val="007A68AE"/>
    <w:rsid w:val="007A70DA"/>
    <w:rsid w:val="007A76B0"/>
    <w:rsid w:val="007A7B62"/>
    <w:rsid w:val="007B008D"/>
    <w:rsid w:val="007B059E"/>
    <w:rsid w:val="007B0BA0"/>
    <w:rsid w:val="007B0BD3"/>
    <w:rsid w:val="007B1B14"/>
    <w:rsid w:val="007B1ED0"/>
    <w:rsid w:val="007B2730"/>
    <w:rsid w:val="007B2AC0"/>
    <w:rsid w:val="007B41FC"/>
    <w:rsid w:val="007B4A29"/>
    <w:rsid w:val="007B4F50"/>
    <w:rsid w:val="007B4FE6"/>
    <w:rsid w:val="007B5464"/>
    <w:rsid w:val="007B54DF"/>
    <w:rsid w:val="007B5C09"/>
    <w:rsid w:val="007B6EB3"/>
    <w:rsid w:val="007B73D9"/>
    <w:rsid w:val="007B797B"/>
    <w:rsid w:val="007C02C7"/>
    <w:rsid w:val="007C0342"/>
    <w:rsid w:val="007C03AB"/>
    <w:rsid w:val="007C0CAF"/>
    <w:rsid w:val="007C232F"/>
    <w:rsid w:val="007C2AE7"/>
    <w:rsid w:val="007C2B2D"/>
    <w:rsid w:val="007C360E"/>
    <w:rsid w:val="007C4324"/>
    <w:rsid w:val="007C48CA"/>
    <w:rsid w:val="007C4DE4"/>
    <w:rsid w:val="007C5935"/>
    <w:rsid w:val="007C5E94"/>
    <w:rsid w:val="007C6081"/>
    <w:rsid w:val="007D0346"/>
    <w:rsid w:val="007D0BE4"/>
    <w:rsid w:val="007D158D"/>
    <w:rsid w:val="007D1AD9"/>
    <w:rsid w:val="007D1B7E"/>
    <w:rsid w:val="007D1EBC"/>
    <w:rsid w:val="007D2294"/>
    <w:rsid w:val="007D30CA"/>
    <w:rsid w:val="007D36E2"/>
    <w:rsid w:val="007D51DD"/>
    <w:rsid w:val="007D57E7"/>
    <w:rsid w:val="007D59DA"/>
    <w:rsid w:val="007D5F27"/>
    <w:rsid w:val="007D60A5"/>
    <w:rsid w:val="007D663D"/>
    <w:rsid w:val="007D6A48"/>
    <w:rsid w:val="007D6E53"/>
    <w:rsid w:val="007D6F12"/>
    <w:rsid w:val="007D7387"/>
    <w:rsid w:val="007D742B"/>
    <w:rsid w:val="007D7858"/>
    <w:rsid w:val="007D7F4C"/>
    <w:rsid w:val="007E02CF"/>
    <w:rsid w:val="007E080C"/>
    <w:rsid w:val="007E0BBE"/>
    <w:rsid w:val="007E0F73"/>
    <w:rsid w:val="007E19F4"/>
    <w:rsid w:val="007E1C9C"/>
    <w:rsid w:val="007E2051"/>
    <w:rsid w:val="007E25A7"/>
    <w:rsid w:val="007E2CCE"/>
    <w:rsid w:val="007E3550"/>
    <w:rsid w:val="007E3D4A"/>
    <w:rsid w:val="007E4288"/>
    <w:rsid w:val="007E457C"/>
    <w:rsid w:val="007E4CA9"/>
    <w:rsid w:val="007E4E85"/>
    <w:rsid w:val="007E5213"/>
    <w:rsid w:val="007E5461"/>
    <w:rsid w:val="007E55F3"/>
    <w:rsid w:val="007E5E9E"/>
    <w:rsid w:val="007E7965"/>
    <w:rsid w:val="007E7C20"/>
    <w:rsid w:val="007E7C6D"/>
    <w:rsid w:val="007F0438"/>
    <w:rsid w:val="007F1420"/>
    <w:rsid w:val="007F1DF6"/>
    <w:rsid w:val="007F2D27"/>
    <w:rsid w:val="007F37BF"/>
    <w:rsid w:val="007F3931"/>
    <w:rsid w:val="007F3979"/>
    <w:rsid w:val="007F4CE1"/>
    <w:rsid w:val="007F6134"/>
    <w:rsid w:val="007F6775"/>
    <w:rsid w:val="007F747E"/>
    <w:rsid w:val="007F77CA"/>
    <w:rsid w:val="007F7D0E"/>
    <w:rsid w:val="008007E7"/>
    <w:rsid w:val="00800D0E"/>
    <w:rsid w:val="00800D48"/>
    <w:rsid w:val="00802407"/>
    <w:rsid w:val="00803C8D"/>
    <w:rsid w:val="0080632B"/>
    <w:rsid w:val="00806DD5"/>
    <w:rsid w:val="00807036"/>
    <w:rsid w:val="00807824"/>
    <w:rsid w:val="008100F1"/>
    <w:rsid w:val="00810DD7"/>
    <w:rsid w:val="008115B7"/>
    <w:rsid w:val="00811C60"/>
    <w:rsid w:val="008129B0"/>
    <w:rsid w:val="008138ED"/>
    <w:rsid w:val="00814B76"/>
    <w:rsid w:val="00814D36"/>
    <w:rsid w:val="00814D73"/>
    <w:rsid w:val="00814EC1"/>
    <w:rsid w:val="00815040"/>
    <w:rsid w:val="00815FC9"/>
    <w:rsid w:val="008169B1"/>
    <w:rsid w:val="00816A73"/>
    <w:rsid w:val="00817220"/>
    <w:rsid w:val="00817AC3"/>
    <w:rsid w:val="00817E52"/>
    <w:rsid w:val="008206E2"/>
    <w:rsid w:val="008209B3"/>
    <w:rsid w:val="00820A8B"/>
    <w:rsid w:val="00821ACE"/>
    <w:rsid w:val="008229F7"/>
    <w:rsid w:val="00823157"/>
    <w:rsid w:val="008234BF"/>
    <w:rsid w:val="008235FE"/>
    <w:rsid w:val="00823D07"/>
    <w:rsid w:val="00824D76"/>
    <w:rsid w:val="008252BC"/>
    <w:rsid w:val="00825A24"/>
    <w:rsid w:val="0082653D"/>
    <w:rsid w:val="00826FA5"/>
    <w:rsid w:val="00827082"/>
    <w:rsid w:val="00827460"/>
    <w:rsid w:val="008275C3"/>
    <w:rsid w:val="0082782E"/>
    <w:rsid w:val="00827F14"/>
    <w:rsid w:val="00830359"/>
    <w:rsid w:val="00830689"/>
    <w:rsid w:val="00830AAB"/>
    <w:rsid w:val="00831910"/>
    <w:rsid w:val="00831E22"/>
    <w:rsid w:val="0083221C"/>
    <w:rsid w:val="0083285B"/>
    <w:rsid w:val="00832BC1"/>
    <w:rsid w:val="008330A5"/>
    <w:rsid w:val="008334F8"/>
    <w:rsid w:val="00833858"/>
    <w:rsid w:val="0083407B"/>
    <w:rsid w:val="00834415"/>
    <w:rsid w:val="0083590A"/>
    <w:rsid w:val="00835D8C"/>
    <w:rsid w:val="00835FCD"/>
    <w:rsid w:val="00836D77"/>
    <w:rsid w:val="00837964"/>
    <w:rsid w:val="00840827"/>
    <w:rsid w:val="00840B9D"/>
    <w:rsid w:val="0084181F"/>
    <w:rsid w:val="0084187C"/>
    <w:rsid w:val="008429C8"/>
    <w:rsid w:val="008437A6"/>
    <w:rsid w:val="00843843"/>
    <w:rsid w:val="00843865"/>
    <w:rsid w:val="00843AEF"/>
    <w:rsid w:val="008445C0"/>
    <w:rsid w:val="00844BA7"/>
    <w:rsid w:val="00845446"/>
    <w:rsid w:val="00845B23"/>
    <w:rsid w:val="00846978"/>
    <w:rsid w:val="00846BC7"/>
    <w:rsid w:val="00847411"/>
    <w:rsid w:val="00850026"/>
    <w:rsid w:val="008502FB"/>
    <w:rsid w:val="00850344"/>
    <w:rsid w:val="008516CE"/>
    <w:rsid w:val="00851B36"/>
    <w:rsid w:val="00851CCC"/>
    <w:rsid w:val="008526D7"/>
    <w:rsid w:val="0085347D"/>
    <w:rsid w:val="008538F0"/>
    <w:rsid w:val="00854172"/>
    <w:rsid w:val="0085447C"/>
    <w:rsid w:val="00855328"/>
    <w:rsid w:val="00855646"/>
    <w:rsid w:val="0085656B"/>
    <w:rsid w:val="00856871"/>
    <w:rsid w:val="008573A0"/>
    <w:rsid w:val="00860228"/>
    <w:rsid w:val="00860441"/>
    <w:rsid w:val="00860993"/>
    <w:rsid w:val="00861626"/>
    <w:rsid w:val="00861871"/>
    <w:rsid w:val="0086289A"/>
    <w:rsid w:val="00863C47"/>
    <w:rsid w:val="0086470B"/>
    <w:rsid w:val="00864B57"/>
    <w:rsid w:val="00864DDA"/>
    <w:rsid w:val="0086537F"/>
    <w:rsid w:val="00865934"/>
    <w:rsid w:val="00865FA7"/>
    <w:rsid w:val="0086692F"/>
    <w:rsid w:val="00870267"/>
    <w:rsid w:val="008707B9"/>
    <w:rsid w:val="00871158"/>
    <w:rsid w:val="00872ADD"/>
    <w:rsid w:val="00872E4B"/>
    <w:rsid w:val="008733E6"/>
    <w:rsid w:val="00873439"/>
    <w:rsid w:val="00874C8E"/>
    <w:rsid w:val="00875530"/>
    <w:rsid w:val="00875DBD"/>
    <w:rsid w:val="0087640A"/>
    <w:rsid w:val="00876750"/>
    <w:rsid w:val="00876E2F"/>
    <w:rsid w:val="00877068"/>
    <w:rsid w:val="00877889"/>
    <w:rsid w:val="008778B3"/>
    <w:rsid w:val="008802F7"/>
    <w:rsid w:val="008818FD"/>
    <w:rsid w:val="008819A3"/>
    <w:rsid w:val="00881E4B"/>
    <w:rsid w:val="00882678"/>
    <w:rsid w:val="00883283"/>
    <w:rsid w:val="00883606"/>
    <w:rsid w:val="008843CA"/>
    <w:rsid w:val="0088460F"/>
    <w:rsid w:val="00886DB4"/>
    <w:rsid w:val="00887D84"/>
    <w:rsid w:val="008906D2"/>
    <w:rsid w:val="00890818"/>
    <w:rsid w:val="00890949"/>
    <w:rsid w:val="00890E67"/>
    <w:rsid w:val="00891C08"/>
    <w:rsid w:val="0089253B"/>
    <w:rsid w:val="00892EA4"/>
    <w:rsid w:val="008931AA"/>
    <w:rsid w:val="00893ADC"/>
    <w:rsid w:val="008947BD"/>
    <w:rsid w:val="008948C4"/>
    <w:rsid w:val="00894E84"/>
    <w:rsid w:val="008953DC"/>
    <w:rsid w:val="00895ABE"/>
    <w:rsid w:val="00895F3C"/>
    <w:rsid w:val="008964C3"/>
    <w:rsid w:val="00896B74"/>
    <w:rsid w:val="00896CA2"/>
    <w:rsid w:val="00897588"/>
    <w:rsid w:val="008975FC"/>
    <w:rsid w:val="00897A05"/>
    <w:rsid w:val="00897BC7"/>
    <w:rsid w:val="00897C49"/>
    <w:rsid w:val="008A1187"/>
    <w:rsid w:val="008A11E8"/>
    <w:rsid w:val="008A1307"/>
    <w:rsid w:val="008A14D2"/>
    <w:rsid w:val="008A17A8"/>
    <w:rsid w:val="008A227C"/>
    <w:rsid w:val="008A250B"/>
    <w:rsid w:val="008A2C25"/>
    <w:rsid w:val="008A2DB9"/>
    <w:rsid w:val="008A36A7"/>
    <w:rsid w:val="008A4341"/>
    <w:rsid w:val="008A4495"/>
    <w:rsid w:val="008A4FE0"/>
    <w:rsid w:val="008A5136"/>
    <w:rsid w:val="008A605E"/>
    <w:rsid w:val="008A7189"/>
    <w:rsid w:val="008B082F"/>
    <w:rsid w:val="008B0CC0"/>
    <w:rsid w:val="008B0ECA"/>
    <w:rsid w:val="008B0FCF"/>
    <w:rsid w:val="008B13A3"/>
    <w:rsid w:val="008B14DC"/>
    <w:rsid w:val="008B1806"/>
    <w:rsid w:val="008B1E6D"/>
    <w:rsid w:val="008B2438"/>
    <w:rsid w:val="008B2EED"/>
    <w:rsid w:val="008B3944"/>
    <w:rsid w:val="008B3ADB"/>
    <w:rsid w:val="008B3B05"/>
    <w:rsid w:val="008B426B"/>
    <w:rsid w:val="008B521F"/>
    <w:rsid w:val="008B5F4A"/>
    <w:rsid w:val="008B63B9"/>
    <w:rsid w:val="008B6830"/>
    <w:rsid w:val="008B75AD"/>
    <w:rsid w:val="008B780B"/>
    <w:rsid w:val="008C233E"/>
    <w:rsid w:val="008C2682"/>
    <w:rsid w:val="008C2A31"/>
    <w:rsid w:val="008C2A81"/>
    <w:rsid w:val="008C301A"/>
    <w:rsid w:val="008C51BF"/>
    <w:rsid w:val="008C51D6"/>
    <w:rsid w:val="008C5400"/>
    <w:rsid w:val="008C6CF1"/>
    <w:rsid w:val="008C7123"/>
    <w:rsid w:val="008C782D"/>
    <w:rsid w:val="008C78B7"/>
    <w:rsid w:val="008C7B99"/>
    <w:rsid w:val="008D1EAF"/>
    <w:rsid w:val="008D2006"/>
    <w:rsid w:val="008D2305"/>
    <w:rsid w:val="008D2A1A"/>
    <w:rsid w:val="008D397B"/>
    <w:rsid w:val="008D499E"/>
    <w:rsid w:val="008D4C01"/>
    <w:rsid w:val="008D4CA0"/>
    <w:rsid w:val="008D4D69"/>
    <w:rsid w:val="008D553B"/>
    <w:rsid w:val="008D5C27"/>
    <w:rsid w:val="008D6292"/>
    <w:rsid w:val="008D6EDE"/>
    <w:rsid w:val="008D737A"/>
    <w:rsid w:val="008D74FF"/>
    <w:rsid w:val="008D789D"/>
    <w:rsid w:val="008D7D92"/>
    <w:rsid w:val="008E1168"/>
    <w:rsid w:val="008E2403"/>
    <w:rsid w:val="008E32D9"/>
    <w:rsid w:val="008E35F2"/>
    <w:rsid w:val="008E4134"/>
    <w:rsid w:val="008E4EED"/>
    <w:rsid w:val="008E5A21"/>
    <w:rsid w:val="008E6001"/>
    <w:rsid w:val="008E7C56"/>
    <w:rsid w:val="008F20D1"/>
    <w:rsid w:val="008F2B6A"/>
    <w:rsid w:val="008F2E91"/>
    <w:rsid w:val="008F33AB"/>
    <w:rsid w:val="008F440C"/>
    <w:rsid w:val="008F5E8A"/>
    <w:rsid w:val="008F7209"/>
    <w:rsid w:val="008F726E"/>
    <w:rsid w:val="008F7485"/>
    <w:rsid w:val="009006E6"/>
    <w:rsid w:val="00901877"/>
    <w:rsid w:val="00901C82"/>
    <w:rsid w:val="009023EA"/>
    <w:rsid w:val="009025B9"/>
    <w:rsid w:val="0090301D"/>
    <w:rsid w:val="00903543"/>
    <w:rsid w:val="00903D63"/>
    <w:rsid w:val="00905234"/>
    <w:rsid w:val="0090593C"/>
    <w:rsid w:val="00905B0F"/>
    <w:rsid w:val="00906255"/>
    <w:rsid w:val="009063D8"/>
    <w:rsid w:val="009074E4"/>
    <w:rsid w:val="00907501"/>
    <w:rsid w:val="0091072F"/>
    <w:rsid w:val="00910753"/>
    <w:rsid w:val="00910C86"/>
    <w:rsid w:val="00910E4B"/>
    <w:rsid w:val="00910FEB"/>
    <w:rsid w:val="0091144B"/>
    <w:rsid w:val="009115D8"/>
    <w:rsid w:val="009116CE"/>
    <w:rsid w:val="00911B3D"/>
    <w:rsid w:val="00911BEE"/>
    <w:rsid w:val="00912065"/>
    <w:rsid w:val="009125C8"/>
    <w:rsid w:val="009132C7"/>
    <w:rsid w:val="00913CE4"/>
    <w:rsid w:val="00913DBA"/>
    <w:rsid w:val="00914735"/>
    <w:rsid w:val="00914AB6"/>
    <w:rsid w:val="00914D6B"/>
    <w:rsid w:val="009150CB"/>
    <w:rsid w:val="00915276"/>
    <w:rsid w:val="0091555B"/>
    <w:rsid w:val="0091621E"/>
    <w:rsid w:val="00916A53"/>
    <w:rsid w:val="00917D39"/>
    <w:rsid w:val="00917D5C"/>
    <w:rsid w:val="00917D9F"/>
    <w:rsid w:val="00917E37"/>
    <w:rsid w:val="00920003"/>
    <w:rsid w:val="0092026C"/>
    <w:rsid w:val="00921C50"/>
    <w:rsid w:val="009228E0"/>
    <w:rsid w:val="00922B90"/>
    <w:rsid w:val="00922C39"/>
    <w:rsid w:val="00923A0E"/>
    <w:rsid w:val="00923EA1"/>
    <w:rsid w:val="00924173"/>
    <w:rsid w:val="009246B6"/>
    <w:rsid w:val="00925CFE"/>
    <w:rsid w:val="009264DC"/>
    <w:rsid w:val="00926A42"/>
    <w:rsid w:val="00926EEE"/>
    <w:rsid w:val="0092780F"/>
    <w:rsid w:val="00927C70"/>
    <w:rsid w:val="009302AB"/>
    <w:rsid w:val="00930E4E"/>
    <w:rsid w:val="00930EFC"/>
    <w:rsid w:val="009314A4"/>
    <w:rsid w:val="00931CBB"/>
    <w:rsid w:val="0093221D"/>
    <w:rsid w:val="009324B7"/>
    <w:rsid w:val="00932D74"/>
    <w:rsid w:val="0093758D"/>
    <w:rsid w:val="00940229"/>
    <w:rsid w:val="009403CA"/>
    <w:rsid w:val="0094129B"/>
    <w:rsid w:val="009415AF"/>
    <w:rsid w:val="009427BD"/>
    <w:rsid w:val="00942AB6"/>
    <w:rsid w:val="00944312"/>
    <w:rsid w:val="0094587C"/>
    <w:rsid w:val="009458DA"/>
    <w:rsid w:val="00945B62"/>
    <w:rsid w:val="00945BD3"/>
    <w:rsid w:val="00945E76"/>
    <w:rsid w:val="00946391"/>
    <w:rsid w:val="009466A7"/>
    <w:rsid w:val="00946B9D"/>
    <w:rsid w:val="0094797F"/>
    <w:rsid w:val="00947D06"/>
    <w:rsid w:val="00947F64"/>
    <w:rsid w:val="009509C0"/>
    <w:rsid w:val="00950C03"/>
    <w:rsid w:val="00950D33"/>
    <w:rsid w:val="009523B4"/>
    <w:rsid w:val="00953010"/>
    <w:rsid w:val="00953993"/>
    <w:rsid w:val="009545AA"/>
    <w:rsid w:val="00955096"/>
    <w:rsid w:val="0095553F"/>
    <w:rsid w:val="00955C7B"/>
    <w:rsid w:val="00956DBE"/>
    <w:rsid w:val="009571AD"/>
    <w:rsid w:val="00957313"/>
    <w:rsid w:val="0095781B"/>
    <w:rsid w:val="00960268"/>
    <w:rsid w:val="00960458"/>
    <w:rsid w:val="009608DE"/>
    <w:rsid w:val="00960F12"/>
    <w:rsid w:val="00961444"/>
    <w:rsid w:val="00961804"/>
    <w:rsid w:val="00961810"/>
    <w:rsid w:val="00961C9F"/>
    <w:rsid w:val="0096229D"/>
    <w:rsid w:val="00962992"/>
    <w:rsid w:val="00962A65"/>
    <w:rsid w:val="00962F9D"/>
    <w:rsid w:val="009630E3"/>
    <w:rsid w:val="00963346"/>
    <w:rsid w:val="00963426"/>
    <w:rsid w:val="009650C9"/>
    <w:rsid w:val="00966D40"/>
    <w:rsid w:val="00967642"/>
    <w:rsid w:val="00967716"/>
    <w:rsid w:val="00967732"/>
    <w:rsid w:val="00970425"/>
    <w:rsid w:val="00970614"/>
    <w:rsid w:val="0097342D"/>
    <w:rsid w:val="00973BDB"/>
    <w:rsid w:val="00973E48"/>
    <w:rsid w:val="00974049"/>
    <w:rsid w:val="0097411A"/>
    <w:rsid w:val="0097445D"/>
    <w:rsid w:val="009754FF"/>
    <w:rsid w:val="00975CE2"/>
    <w:rsid w:val="009760A4"/>
    <w:rsid w:val="009766AA"/>
    <w:rsid w:val="0097674C"/>
    <w:rsid w:val="009767D8"/>
    <w:rsid w:val="00976B54"/>
    <w:rsid w:val="00976BB8"/>
    <w:rsid w:val="00976C61"/>
    <w:rsid w:val="009776EA"/>
    <w:rsid w:val="009778BF"/>
    <w:rsid w:val="0098084D"/>
    <w:rsid w:val="00980B85"/>
    <w:rsid w:val="0098146C"/>
    <w:rsid w:val="009814F6"/>
    <w:rsid w:val="00981ED0"/>
    <w:rsid w:val="00981F8F"/>
    <w:rsid w:val="009823D9"/>
    <w:rsid w:val="00982A49"/>
    <w:rsid w:val="00982C46"/>
    <w:rsid w:val="00982DC9"/>
    <w:rsid w:val="009834D3"/>
    <w:rsid w:val="0098586D"/>
    <w:rsid w:val="0098662C"/>
    <w:rsid w:val="009870D9"/>
    <w:rsid w:val="009879B2"/>
    <w:rsid w:val="00990094"/>
    <w:rsid w:val="00990927"/>
    <w:rsid w:val="00990CD8"/>
    <w:rsid w:val="00990D9F"/>
    <w:rsid w:val="009910FA"/>
    <w:rsid w:val="00991B42"/>
    <w:rsid w:val="009924AA"/>
    <w:rsid w:val="009926FB"/>
    <w:rsid w:val="00992E85"/>
    <w:rsid w:val="00993153"/>
    <w:rsid w:val="0099347A"/>
    <w:rsid w:val="009935DD"/>
    <w:rsid w:val="00993B68"/>
    <w:rsid w:val="009946AF"/>
    <w:rsid w:val="0099481F"/>
    <w:rsid w:val="009950B6"/>
    <w:rsid w:val="009955E8"/>
    <w:rsid w:val="00995B58"/>
    <w:rsid w:val="009966D9"/>
    <w:rsid w:val="009973FD"/>
    <w:rsid w:val="009976A4"/>
    <w:rsid w:val="009977E2"/>
    <w:rsid w:val="00997B57"/>
    <w:rsid w:val="009A04D1"/>
    <w:rsid w:val="009A0EEE"/>
    <w:rsid w:val="009A1503"/>
    <w:rsid w:val="009A28EE"/>
    <w:rsid w:val="009A2A53"/>
    <w:rsid w:val="009A31F3"/>
    <w:rsid w:val="009A36E9"/>
    <w:rsid w:val="009A4DC6"/>
    <w:rsid w:val="009A6293"/>
    <w:rsid w:val="009A6AEE"/>
    <w:rsid w:val="009A6F31"/>
    <w:rsid w:val="009A6FE8"/>
    <w:rsid w:val="009A7B6C"/>
    <w:rsid w:val="009A7E19"/>
    <w:rsid w:val="009B01D1"/>
    <w:rsid w:val="009B09F6"/>
    <w:rsid w:val="009B0DDD"/>
    <w:rsid w:val="009B132E"/>
    <w:rsid w:val="009B1DD5"/>
    <w:rsid w:val="009B1F0A"/>
    <w:rsid w:val="009B2B91"/>
    <w:rsid w:val="009B2F58"/>
    <w:rsid w:val="009B31EC"/>
    <w:rsid w:val="009B32A5"/>
    <w:rsid w:val="009B34C2"/>
    <w:rsid w:val="009B43EE"/>
    <w:rsid w:val="009B5449"/>
    <w:rsid w:val="009B7DAF"/>
    <w:rsid w:val="009C0956"/>
    <w:rsid w:val="009C10D9"/>
    <w:rsid w:val="009C1FBC"/>
    <w:rsid w:val="009C204C"/>
    <w:rsid w:val="009C227F"/>
    <w:rsid w:val="009C2DEA"/>
    <w:rsid w:val="009C2FBD"/>
    <w:rsid w:val="009C370C"/>
    <w:rsid w:val="009C414A"/>
    <w:rsid w:val="009C4D6A"/>
    <w:rsid w:val="009C50C2"/>
    <w:rsid w:val="009C6BEC"/>
    <w:rsid w:val="009C71D8"/>
    <w:rsid w:val="009C7E22"/>
    <w:rsid w:val="009C7F5B"/>
    <w:rsid w:val="009D0C64"/>
    <w:rsid w:val="009D113F"/>
    <w:rsid w:val="009D221F"/>
    <w:rsid w:val="009D29AA"/>
    <w:rsid w:val="009D2BAE"/>
    <w:rsid w:val="009D3EF7"/>
    <w:rsid w:val="009D5625"/>
    <w:rsid w:val="009D5B7D"/>
    <w:rsid w:val="009D5BE6"/>
    <w:rsid w:val="009D5C8F"/>
    <w:rsid w:val="009E00E8"/>
    <w:rsid w:val="009E0A05"/>
    <w:rsid w:val="009E0C2E"/>
    <w:rsid w:val="009E0C64"/>
    <w:rsid w:val="009E0FD7"/>
    <w:rsid w:val="009E2A6B"/>
    <w:rsid w:val="009E2B6C"/>
    <w:rsid w:val="009E3A8C"/>
    <w:rsid w:val="009E4789"/>
    <w:rsid w:val="009E481B"/>
    <w:rsid w:val="009E51EC"/>
    <w:rsid w:val="009E59B4"/>
    <w:rsid w:val="009E5DB1"/>
    <w:rsid w:val="009F0655"/>
    <w:rsid w:val="009F07FF"/>
    <w:rsid w:val="009F1658"/>
    <w:rsid w:val="009F1822"/>
    <w:rsid w:val="009F261C"/>
    <w:rsid w:val="009F37EC"/>
    <w:rsid w:val="009F4D1F"/>
    <w:rsid w:val="009F509E"/>
    <w:rsid w:val="009F6225"/>
    <w:rsid w:val="009F6243"/>
    <w:rsid w:val="009F691A"/>
    <w:rsid w:val="009F6C5A"/>
    <w:rsid w:val="009F6FD8"/>
    <w:rsid w:val="009F710C"/>
    <w:rsid w:val="009F7E1F"/>
    <w:rsid w:val="00A00110"/>
    <w:rsid w:val="00A00933"/>
    <w:rsid w:val="00A01173"/>
    <w:rsid w:val="00A0225A"/>
    <w:rsid w:val="00A02D8D"/>
    <w:rsid w:val="00A04525"/>
    <w:rsid w:val="00A045F5"/>
    <w:rsid w:val="00A04935"/>
    <w:rsid w:val="00A05344"/>
    <w:rsid w:val="00A05998"/>
    <w:rsid w:val="00A0630D"/>
    <w:rsid w:val="00A06678"/>
    <w:rsid w:val="00A0688A"/>
    <w:rsid w:val="00A06CB3"/>
    <w:rsid w:val="00A07797"/>
    <w:rsid w:val="00A108AF"/>
    <w:rsid w:val="00A1095C"/>
    <w:rsid w:val="00A11237"/>
    <w:rsid w:val="00A117AA"/>
    <w:rsid w:val="00A11ACD"/>
    <w:rsid w:val="00A122AE"/>
    <w:rsid w:val="00A136C1"/>
    <w:rsid w:val="00A13A3F"/>
    <w:rsid w:val="00A141EB"/>
    <w:rsid w:val="00A148FB"/>
    <w:rsid w:val="00A14A9D"/>
    <w:rsid w:val="00A14D5C"/>
    <w:rsid w:val="00A15AF2"/>
    <w:rsid w:val="00A15B96"/>
    <w:rsid w:val="00A16036"/>
    <w:rsid w:val="00A16184"/>
    <w:rsid w:val="00A16325"/>
    <w:rsid w:val="00A165B4"/>
    <w:rsid w:val="00A16DD2"/>
    <w:rsid w:val="00A176F7"/>
    <w:rsid w:val="00A179C6"/>
    <w:rsid w:val="00A17D54"/>
    <w:rsid w:val="00A17D9C"/>
    <w:rsid w:val="00A17F61"/>
    <w:rsid w:val="00A20D8E"/>
    <w:rsid w:val="00A21C15"/>
    <w:rsid w:val="00A22837"/>
    <w:rsid w:val="00A2314C"/>
    <w:rsid w:val="00A234BC"/>
    <w:rsid w:val="00A243D7"/>
    <w:rsid w:val="00A2455B"/>
    <w:rsid w:val="00A2466D"/>
    <w:rsid w:val="00A24C35"/>
    <w:rsid w:val="00A25379"/>
    <w:rsid w:val="00A25675"/>
    <w:rsid w:val="00A25952"/>
    <w:rsid w:val="00A26621"/>
    <w:rsid w:val="00A26ECD"/>
    <w:rsid w:val="00A271CE"/>
    <w:rsid w:val="00A27566"/>
    <w:rsid w:val="00A27AD6"/>
    <w:rsid w:val="00A27DDF"/>
    <w:rsid w:val="00A306FD"/>
    <w:rsid w:val="00A30AF2"/>
    <w:rsid w:val="00A30C28"/>
    <w:rsid w:val="00A314F3"/>
    <w:rsid w:val="00A32250"/>
    <w:rsid w:val="00A32913"/>
    <w:rsid w:val="00A335E2"/>
    <w:rsid w:val="00A33840"/>
    <w:rsid w:val="00A33A12"/>
    <w:rsid w:val="00A33A56"/>
    <w:rsid w:val="00A33A8B"/>
    <w:rsid w:val="00A33BE6"/>
    <w:rsid w:val="00A33F24"/>
    <w:rsid w:val="00A3403F"/>
    <w:rsid w:val="00A3443E"/>
    <w:rsid w:val="00A35459"/>
    <w:rsid w:val="00A35596"/>
    <w:rsid w:val="00A3587C"/>
    <w:rsid w:val="00A35DDE"/>
    <w:rsid w:val="00A365E8"/>
    <w:rsid w:val="00A36B18"/>
    <w:rsid w:val="00A36D57"/>
    <w:rsid w:val="00A37C21"/>
    <w:rsid w:val="00A40005"/>
    <w:rsid w:val="00A40B49"/>
    <w:rsid w:val="00A40E5B"/>
    <w:rsid w:val="00A4109E"/>
    <w:rsid w:val="00A414B1"/>
    <w:rsid w:val="00A41B14"/>
    <w:rsid w:val="00A41EA7"/>
    <w:rsid w:val="00A42711"/>
    <w:rsid w:val="00A42C42"/>
    <w:rsid w:val="00A42F77"/>
    <w:rsid w:val="00A4340A"/>
    <w:rsid w:val="00A44619"/>
    <w:rsid w:val="00A452B3"/>
    <w:rsid w:val="00A45C12"/>
    <w:rsid w:val="00A45EDB"/>
    <w:rsid w:val="00A46BF7"/>
    <w:rsid w:val="00A46CDE"/>
    <w:rsid w:val="00A50204"/>
    <w:rsid w:val="00A505D3"/>
    <w:rsid w:val="00A50F97"/>
    <w:rsid w:val="00A51994"/>
    <w:rsid w:val="00A51A32"/>
    <w:rsid w:val="00A51AE3"/>
    <w:rsid w:val="00A523AC"/>
    <w:rsid w:val="00A538CF"/>
    <w:rsid w:val="00A53960"/>
    <w:rsid w:val="00A53FD8"/>
    <w:rsid w:val="00A5418E"/>
    <w:rsid w:val="00A54784"/>
    <w:rsid w:val="00A55318"/>
    <w:rsid w:val="00A557D4"/>
    <w:rsid w:val="00A565E7"/>
    <w:rsid w:val="00A5668E"/>
    <w:rsid w:val="00A57D42"/>
    <w:rsid w:val="00A601DA"/>
    <w:rsid w:val="00A6135C"/>
    <w:rsid w:val="00A62418"/>
    <w:rsid w:val="00A6260C"/>
    <w:rsid w:val="00A63316"/>
    <w:rsid w:val="00A64770"/>
    <w:rsid w:val="00A649FF"/>
    <w:rsid w:val="00A64AF5"/>
    <w:rsid w:val="00A65728"/>
    <w:rsid w:val="00A659AC"/>
    <w:rsid w:val="00A670E7"/>
    <w:rsid w:val="00A67179"/>
    <w:rsid w:val="00A673FA"/>
    <w:rsid w:val="00A70316"/>
    <w:rsid w:val="00A70350"/>
    <w:rsid w:val="00A7090F"/>
    <w:rsid w:val="00A70B78"/>
    <w:rsid w:val="00A71942"/>
    <w:rsid w:val="00A73234"/>
    <w:rsid w:val="00A73468"/>
    <w:rsid w:val="00A73A30"/>
    <w:rsid w:val="00A73D4F"/>
    <w:rsid w:val="00A74201"/>
    <w:rsid w:val="00A744FE"/>
    <w:rsid w:val="00A74E5A"/>
    <w:rsid w:val="00A750A5"/>
    <w:rsid w:val="00A75680"/>
    <w:rsid w:val="00A759A7"/>
    <w:rsid w:val="00A75C8C"/>
    <w:rsid w:val="00A76755"/>
    <w:rsid w:val="00A815AD"/>
    <w:rsid w:val="00A8250D"/>
    <w:rsid w:val="00A828BB"/>
    <w:rsid w:val="00A8346A"/>
    <w:rsid w:val="00A8400C"/>
    <w:rsid w:val="00A84A9D"/>
    <w:rsid w:val="00A84C98"/>
    <w:rsid w:val="00A84EF3"/>
    <w:rsid w:val="00A854D3"/>
    <w:rsid w:val="00A85DFC"/>
    <w:rsid w:val="00A86C5D"/>
    <w:rsid w:val="00A873F6"/>
    <w:rsid w:val="00A90154"/>
    <w:rsid w:val="00A90B3E"/>
    <w:rsid w:val="00A92441"/>
    <w:rsid w:val="00A9295C"/>
    <w:rsid w:val="00A92E6E"/>
    <w:rsid w:val="00A937D4"/>
    <w:rsid w:val="00A93E7F"/>
    <w:rsid w:val="00A93F41"/>
    <w:rsid w:val="00A94A6D"/>
    <w:rsid w:val="00A951AB"/>
    <w:rsid w:val="00A9522A"/>
    <w:rsid w:val="00A955A4"/>
    <w:rsid w:val="00A96C99"/>
    <w:rsid w:val="00A9700C"/>
    <w:rsid w:val="00A971F2"/>
    <w:rsid w:val="00A97303"/>
    <w:rsid w:val="00A975F5"/>
    <w:rsid w:val="00AA012B"/>
    <w:rsid w:val="00AA0289"/>
    <w:rsid w:val="00AA077C"/>
    <w:rsid w:val="00AA0DF8"/>
    <w:rsid w:val="00AA0F21"/>
    <w:rsid w:val="00AA2171"/>
    <w:rsid w:val="00AA227D"/>
    <w:rsid w:val="00AA32A2"/>
    <w:rsid w:val="00AA33B7"/>
    <w:rsid w:val="00AA3D56"/>
    <w:rsid w:val="00AA4666"/>
    <w:rsid w:val="00AA4F7E"/>
    <w:rsid w:val="00AA5555"/>
    <w:rsid w:val="00AA556F"/>
    <w:rsid w:val="00AA55B3"/>
    <w:rsid w:val="00AA5A43"/>
    <w:rsid w:val="00AA5ED0"/>
    <w:rsid w:val="00AA60A3"/>
    <w:rsid w:val="00AA7E67"/>
    <w:rsid w:val="00AB1815"/>
    <w:rsid w:val="00AB2028"/>
    <w:rsid w:val="00AB2DBC"/>
    <w:rsid w:val="00AB3025"/>
    <w:rsid w:val="00AB4ABB"/>
    <w:rsid w:val="00AB4F6B"/>
    <w:rsid w:val="00AB536E"/>
    <w:rsid w:val="00AB5911"/>
    <w:rsid w:val="00AB5A88"/>
    <w:rsid w:val="00AB6859"/>
    <w:rsid w:val="00AB6E5C"/>
    <w:rsid w:val="00AB7056"/>
    <w:rsid w:val="00AB7A9A"/>
    <w:rsid w:val="00AB7C1E"/>
    <w:rsid w:val="00AC0613"/>
    <w:rsid w:val="00AC0A0A"/>
    <w:rsid w:val="00AC14B9"/>
    <w:rsid w:val="00AC17A9"/>
    <w:rsid w:val="00AC17D1"/>
    <w:rsid w:val="00AC1F06"/>
    <w:rsid w:val="00AC2003"/>
    <w:rsid w:val="00AC2227"/>
    <w:rsid w:val="00AC22A0"/>
    <w:rsid w:val="00AC3F82"/>
    <w:rsid w:val="00AC4F5C"/>
    <w:rsid w:val="00AC524C"/>
    <w:rsid w:val="00AC541B"/>
    <w:rsid w:val="00AC57B2"/>
    <w:rsid w:val="00AC60AB"/>
    <w:rsid w:val="00AC60D6"/>
    <w:rsid w:val="00AD0107"/>
    <w:rsid w:val="00AD1ABD"/>
    <w:rsid w:val="00AD1B51"/>
    <w:rsid w:val="00AD2196"/>
    <w:rsid w:val="00AD252F"/>
    <w:rsid w:val="00AD27EC"/>
    <w:rsid w:val="00AD2AAB"/>
    <w:rsid w:val="00AD385A"/>
    <w:rsid w:val="00AD3C6F"/>
    <w:rsid w:val="00AD4357"/>
    <w:rsid w:val="00AD43B5"/>
    <w:rsid w:val="00AD45EA"/>
    <w:rsid w:val="00AD4A16"/>
    <w:rsid w:val="00AD4D9D"/>
    <w:rsid w:val="00AD501A"/>
    <w:rsid w:val="00AD5031"/>
    <w:rsid w:val="00AD64DA"/>
    <w:rsid w:val="00AD6C6C"/>
    <w:rsid w:val="00AD78FF"/>
    <w:rsid w:val="00AD7CEC"/>
    <w:rsid w:val="00AE00C2"/>
    <w:rsid w:val="00AE0587"/>
    <w:rsid w:val="00AE0643"/>
    <w:rsid w:val="00AE08A9"/>
    <w:rsid w:val="00AE094E"/>
    <w:rsid w:val="00AE0EED"/>
    <w:rsid w:val="00AE20A3"/>
    <w:rsid w:val="00AE2C1D"/>
    <w:rsid w:val="00AE381A"/>
    <w:rsid w:val="00AE4422"/>
    <w:rsid w:val="00AE4C21"/>
    <w:rsid w:val="00AE58D5"/>
    <w:rsid w:val="00AE6DA8"/>
    <w:rsid w:val="00AE70FE"/>
    <w:rsid w:val="00AE7DE0"/>
    <w:rsid w:val="00AE7FDD"/>
    <w:rsid w:val="00AF0709"/>
    <w:rsid w:val="00AF0761"/>
    <w:rsid w:val="00AF1261"/>
    <w:rsid w:val="00AF1A45"/>
    <w:rsid w:val="00AF2F8F"/>
    <w:rsid w:val="00AF4CDF"/>
    <w:rsid w:val="00AF53BD"/>
    <w:rsid w:val="00AF5749"/>
    <w:rsid w:val="00AF5AD4"/>
    <w:rsid w:val="00AF6D69"/>
    <w:rsid w:val="00AF6DF7"/>
    <w:rsid w:val="00AF6FB9"/>
    <w:rsid w:val="00AF702A"/>
    <w:rsid w:val="00AF72A0"/>
    <w:rsid w:val="00AF753B"/>
    <w:rsid w:val="00AF77D9"/>
    <w:rsid w:val="00B00005"/>
    <w:rsid w:val="00B00E70"/>
    <w:rsid w:val="00B029F2"/>
    <w:rsid w:val="00B02A46"/>
    <w:rsid w:val="00B04B25"/>
    <w:rsid w:val="00B04F38"/>
    <w:rsid w:val="00B06A12"/>
    <w:rsid w:val="00B07867"/>
    <w:rsid w:val="00B07C60"/>
    <w:rsid w:val="00B07EEA"/>
    <w:rsid w:val="00B103D4"/>
    <w:rsid w:val="00B10B75"/>
    <w:rsid w:val="00B10DF1"/>
    <w:rsid w:val="00B10EFA"/>
    <w:rsid w:val="00B11290"/>
    <w:rsid w:val="00B12C80"/>
    <w:rsid w:val="00B12E5A"/>
    <w:rsid w:val="00B131C9"/>
    <w:rsid w:val="00B13756"/>
    <w:rsid w:val="00B13894"/>
    <w:rsid w:val="00B13F68"/>
    <w:rsid w:val="00B14121"/>
    <w:rsid w:val="00B142D6"/>
    <w:rsid w:val="00B146A4"/>
    <w:rsid w:val="00B15290"/>
    <w:rsid w:val="00B15538"/>
    <w:rsid w:val="00B15679"/>
    <w:rsid w:val="00B15A9A"/>
    <w:rsid w:val="00B161DF"/>
    <w:rsid w:val="00B16302"/>
    <w:rsid w:val="00B1689C"/>
    <w:rsid w:val="00B16BE0"/>
    <w:rsid w:val="00B17208"/>
    <w:rsid w:val="00B17398"/>
    <w:rsid w:val="00B177C8"/>
    <w:rsid w:val="00B17BB5"/>
    <w:rsid w:val="00B17EBC"/>
    <w:rsid w:val="00B20780"/>
    <w:rsid w:val="00B20A6F"/>
    <w:rsid w:val="00B20AA7"/>
    <w:rsid w:val="00B21771"/>
    <w:rsid w:val="00B21CD4"/>
    <w:rsid w:val="00B21DBA"/>
    <w:rsid w:val="00B2218B"/>
    <w:rsid w:val="00B2231E"/>
    <w:rsid w:val="00B237C5"/>
    <w:rsid w:val="00B24BFC"/>
    <w:rsid w:val="00B24DE3"/>
    <w:rsid w:val="00B2547E"/>
    <w:rsid w:val="00B258D7"/>
    <w:rsid w:val="00B25DDC"/>
    <w:rsid w:val="00B26AF7"/>
    <w:rsid w:val="00B2780D"/>
    <w:rsid w:val="00B301E4"/>
    <w:rsid w:val="00B30695"/>
    <w:rsid w:val="00B312FE"/>
    <w:rsid w:val="00B317CE"/>
    <w:rsid w:val="00B32330"/>
    <w:rsid w:val="00B336DB"/>
    <w:rsid w:val="00B33EEF"/>
    <w:rsid w:val="00B3400D"/>
    <w:rsid w:val="00B34D36"/>
    <w:rsid w:val="00B35261"/>
    <w:rsid w:val="00B3533C"/>
    <w:rsid w:val="00B357BE"/>
    <w:rsid w:val="00B36643"/>
    <w:rsid w:val="00B3683B"/>
    <w:rsid w:val="00B37515"/>
    <w:rsid w:val="00B4035F"/>
    <w:rsid w:val="00B407D0"/>
    <w:rsid w:val="00B41258"/>
    <w:rsid w:val="00B41B99"/>
    <w:rsid w:val="00B41CDA"/>
    <w:rsid w:val="00B426E2"/>
    <w:rsid w:val="00B42B4E"/>
    <w:rsid w:val="00B4462A"/>
    <w:rsid w:val="00B44F2C"/>
    <w:rsid w:val="00B44F57"/>
    <w:rsid w:val="00B45E95"/>
    <w:rsid w:val="00B4603B"/>
    <w:rsid w:val="00B4615C"/>
    <w:rsid w:val="00B46527"/>
    <w:rsid w:val="00B4684E"/>
    <w:rsid w:val="00B46FA6"/>
    <w:rsid w:val="00B4753A"/>
    <w:rsid w:val="00B47A23"/>
    <w:rsid w:val="00B47A26"/>
    <w:rsid w:val="00B47A42"/>
    <w:rsid w:val="00B512CD"/>
    <w:rsid w:val="00B51668"/>
    <w:rsid w:val="00B51B55"/>
    <w:rsid w:val="00B51DC3"/>
    <w:rsid w:val="00B51FFA"/>
    <w:rsid w:val="00B5218C"/>
    <w:rsid w:val="00B52710"/>
    <w:rsid w:val="00B52C5A"/>
    <w:rsid w:val="00B52D10"/>
    <w:rsid w:val="00B5322C"/>
    <w:rsid w:val="00B5392E"/>
    <w:rsid w:val="00B549DE"/>
    <w:rsid w:val="00B5587B"/>
    <w:rsid w:val="00B55A6C"/>
    <w:rsid w:val="00B55B4E"/>
    <w:rsid w:val="00B6266F"/>
    <w:rsid w:val="00B63D92"/>
    <w:rsid w:val="00B64156"/>
    <w:rsid w:val="00B64953"/>
    <w:rsid w:val="00B64A86"/>
    <w:rsid w:val="00B64A99"/>
    <w:rsid w:val="00B64A9F"/>
    <w:rsid w:val="00B650C9"/>
    <w:rsid w:val="00B6648A"/>
    <w:rsid w:val="00B66627"/>
    <w:rsid w:val="00B66661"/>
    <w:rsid w:val="00B66E39"/>
    <w:rsid w:val="00B6727F"/>
    <w:rsid w:val="00B67C72"/>
    <w:rsid w:val="00B70644"/>
    <w:rsid w:val="00B709BB"/>
    <w:rsid w:val="00B70C90"/>
    <w:rsid w:val="00B70FDA"/>
    <w:rsid w:val="00B71191"/>
    <w:rsid w:val="00B7154C"/>
    <w:rsid w:val="00B71A27"/>
    <w:rsid w:val="00B71DB2"/>
    <w:rsid w:val="00B73F7D"/>
    <w:rsid w:val="00B74583"/>
    <w:rsid w:val="00B7480A"/>
    <w:rsid w:val="00B74AED"/>
    <w:rsid w:val="00B74EE3"/>
    <w:rsid w:val="00B75030"/>
    <w:rsid w:val="00B75F83"/>
    <w:rsid w:val="00B75FE1"/>
    <w:rsid w:val="00B76A18"/>
    <w:rsid w:val="00B76F7E"/>
    <w:rsid w:val="00B779F0"/>
    <w:rsid w:val="00B801C2"/>
    <w:rsid w:val="00B80294"/>
    <w:rsid w:val="00B808C5"/>
    <w:rsid w:val="00B80A61"/>
    <w:rsid w:val="00B81D9A"/>
    <w:rsid w:val="00B81E3B"/>
    <w:rsid w:val="00B82551"/>
    <w:rsid w:val="00B82BE7"/>
    <w:rsid w:val="00B82E46"/>
    <w:rsid w:val="00B83939"/>
    <w:rsid w:val="00B83A02"/>
    <w:rsid w:val="00B845C0"/>
    <w:rsid w:val="00B84F2E"/>
    <w:rsid w:val="00B85DD8"/>
    <w:rsid w:val="00B86EF4"/>
    <w:rsid w:val="00B870F7"/>
    <w:rsid w:val="00B87995"/>
    <w:rsid w:val="00B87BB0"/>
    <w:rsid w:val="00B87DD1"/>
    <w:rsid w:val="00B87DD3"/>
    <w:rsid w:val="00B87E9C"/>
    <w:rsid w:val="00B90404"/>
    <w:rsid w:val="00B9177A"/>
    <w:rsid w:val="00B92ACC"/>
    <w:rsid w:val="00B93A3A"/>
    <w:rsid w:val="00B93E4C"/>
    <w:rsid w:val="00B94972"/>
    <w:rsid w:val="00B9578A"/>
    <w:rsid w:val="00B96383"/>
    <w:rsid w:val="00B965B4"/>
    <w:rsid w:val="00B968D0"/>
    <w:rsid w:val="00B96936"/>
    <w:rsid w:val="00BA0095"/>
    <w:rsid w:val="00BA015D"/>
    <w:rsid w:val="00BA0FCB"/>
    <w:rsid w:val="00BA14EC"/>
    <w:rsid w:val="00BA171B"/>
    <w:rsid w:val="00BA1C20"/>
    <w:rsid w:val="00BA2569"/>
    <w:rsid w:val="00BA2796"/>
    <w:rsid w:val="00BA280A"/>
    <w:rsid w:val="00BA2864"/>
    <w:rsid w:val="00BA2B33"/>
    <w:rsid w:val="00BA3F8A"/>
    <w:rsid w:val="00BA40B8"/>
    <w:rsid w:val="00BA4376"/>
    <w:rsid w:val="00BA4C5E"/>
    <w:rsid w:val="00BA518B"/>
    <w:rsid w:val="00BA5224"/>
    <w:rsid w:val="00BA5BDA"/>
    <w:rsid w:val="00BA6B78"/>
    <w:rsid w:val="00BA7B4E"/>
    <w:rsid w:val="00BA7DB5"/>
    <w:rsid w:val="00BB03C1"/>
    <w:rsid w:val="00BB0976"/>
    <w:rsid w:val="00BB1FA1"/>
    <w:rsid w:val="00BB2299"/>
    <w:rsid w:val="00BB26F8"/>
    <w:rsid w:val="00BB380F"/>
    <w:rsid w:val="00BB3A62"/>
    <w:rsid w:val="00BB3C8E"/>
    <w:rsid w:val="00BB3DDC"/>
    <w:rsid w:val="00BB3F38"/>
    <w:rsid w:val="00BB5964"/>
    <w:rsid w:val="00BB6328"/>
    <w:rsid w:val="00BB6341"/>
    <w:rsid w:val="00BB78FC"/>
    <w:rsid w:val="00BC07C7"/>
    <w:rsid w:val="00BC0A90"/>
    <w:rsid w:val="00BC0BEF"/>
    <w:rsid w:val="00BC0D85"/>
    <w:rsid w:val="00BC18C6"/>
    <w:rsid w:val="00BC2A31"/>
    <w:rsid w:val="00BC2A84"/>
    <w:rsid w:val="00BC2BF9"/>
    <w:rsid w:val="00BC3310"/>
    <w:rsid w:val="00BC40A6"/>
    <w:rsid w:val="00BC442F"/>
    <w:rsid w:val="00BC486D"/>
    <w:rsid w:val="00BC4E30"/>
    <w:rsid w:val="00BC5900"/>
    <w:rsid w:val="00BC5962"/>
    <w:rsid w:val="00BC5AC9"/>
    <w:rsid w:val="00BC626A"/>
    <w:rsid w:val="00BC6825"/>
    <w:rsid w:val="00BC6BEC"/>
    <w:rsid w:val="00BC75E7"/>
    <w:rsid w:val="00BC78EF"/>
    <w:rsid w:val="00BD0CC7"/>
    <w:rsid w:val="00BD1449"/>
    <w:rsid w:val="00BD1960"/>
    <w:rsid w:val="00BD244F"/>
    <w:rsid w:val="00BD2C6C"/>
    <w:rsid w:val="00BD2D6E"/>
    <w:rsid w:val="00BD2D9B"/>
    <w:rsid w:val="00BD33FD"/>
    <w:rsid w:val="00BD37DB"/>
    <w:rsid w:val="00BD38DC"/>
    <w:rsid w:val="00BD3BF4"/>
    <w:rsid w:val="00BD5023"/>
    <w:rsid w:val="00BD5882"/>
    <w:rsid w:val="00BD5A09"/>
    <w:rsid w:val="00BD5ED9"/>
    <w:rsid w:val="00BD6A59"/>
    <w:rsid w:val="00BD70EF"/>
    <w:rsid w:val="00BD76A3"/>
    <w:rsid w:val="00BE042E"/>
    <w:rsid w:val="00BE1A46"/>
    <w:rsid w:val="00BE2D8A"/>
    <w:rsid w:val="00BE41D0"/>
    <w:rsid w:val="00BE41E4"/>
    <w:rsid w:val="00BE50A6"/>
    <w:rsid w:val="00BE51B5"/>
    <w:rsid w:val="00BE55B8"/>
    <w:rsid w:val="00BE5D3A"/>
    <w:rsid w:val="00BE7BFA"/>
    <w:rsid w:val="00BF0CB5"/>
    <w:rsid w:val="00BF0D91"/>
    <w:rsid w:val="00BF1A1F"/>
    <w:rsid w:val="00BF24DD"/>
    <w:rsid w:val="00BF289B"/>
    <w:rsid w:val="00BF363F"/>
    <w:rsid w:val="00BF4D74"/>
    <w:rsid w:val="00BF509B"/>
    <w:rsid w:val="00BF54D4"/>
    <w:rsid w:val="00BF5E86"/>
    <w:rsid w:val="00BF6207"/>
    <w:rsid w:val="00BF62D2"/>
    <w:rsid w:val="00BF62DF"/>
    <w:rsid w:val="00BF725D"/>
    <w:rsid w:val="00C00079"/>
    <w:rsid w:val="00C002AF"/>
    <w:rsid w:val="00C00698"/>
    <w:rsid w:val="00C00C81"/>
    <w:rsid w:val="00C0107B"/>
    <w:rsid w:val="00C012B2"/>
    <w:rsid w:val="00C015EF"/>
    <w:rsid w:val="00C0194E"/>
    <w:rsid w:val="00C021AD"/>
    <w:rsid w:val="00C045B1"/>
    <w:rsid w:val="00C04689"/>
    <w:rsid w:val="00C04EEA"/>
    <w:rsid w:val="00C051F2"/>
    <w:rsid w:val="00C05454"/>
    <w:rsid w:val="00C061C9"/>
    <w:rsid w:val="00C067CA"/>
    <w:rsid w:val="00C06DB3"/>
    <w:rsid w:val="00C071F3"/>
    <w:rsid w:val="00C07922"/>
    <w:rsid w:val="00C07DE2"/>
    <w:rsid w:val="00C1033D"/>
    <w:rsid w:val="00C10714"/>
    <w:rsid w:val="00C11389"/>
    <w:rsid w:val="00C113B0"/>
    <w:rsid w:val="00C113F6"/>
    <w:rsid w:val="00C12113"/>
    <w:rsid w:val="00C1276F"/>
    <w:rsid w:val="00C1328B"/>
    <w:rsid w:val="00C13870"/>
    <w:rsid w:val="00C14A7D"/>
    <w:rsid w:val="00C20551"/>
    <w:rsid w:val="00C20809"/>
    <w:rsid w:val="00C208AC"/>
    <w:rsid w:val="00C20DFF"/>
    <w:rsid w:val="00C20F9F"/>
    <w:rsid w:val="00C21B55"/>
    <w:rsid w:val="00C21BD1"/>
    <w:rsid w:val="00C2231F"/>
    <w:rsid w:val="00C24485"/>
    <w:rsid w:val="00C2467D"/>
    <w:rsid w:val="00C24C36"/>
    <w:rsid w:val="00C25731"/>
    <w:rsid w:val="00C26002"/>
    <w:rsid w:val="00C26301"/>
    <w:rsid w:val="00C26C63"/>
    <w:rsid w:val="00C26E34"/>
    <w:rsid w:val="00C302E1"/>
    <w:rsid w:val="00C309AF"/>
    <w:rsid w:val="00C30D29"/>
    <w:rsid w:val="00C31D80"/>
    <w:rsid w:val="00C31E4D"/>
    <w:rsid w:val="00C3223B"/>
    <w:rsid w:val="00C3234F"/>
    <w:rsid w:val="00C3284C"/>
    <w:rsid w:val="00C33056"/>
    <w:rsid w:val="00C33459"/>
    <w:rsid w:val="00C3455D"/>
    <w:rsid w:val="00C35C8A"/>
    <w:rsid w:val="00C36FC3"/>
    <w:rsid w:val="00C373A3"/>
    <w:rsid w:val="00C374E2"/>
    <w:rsid w:val="00C37F6F"/>
    <w:rsid w:val="00C408BC"/>
    <w:rsid w:val="00C412D0"/>
    <w:rsid w:val="00C43C48"/>
    <w:rsid w:val="00C43D3B"/>
    <w:rsid w:val="00C44DFF"/>
    <w:rsid w:val="00C4517C"/>
    <w:rsid w:val="00C45A25"/>
    <w:rsid w:val="00C45F94"/>
    <w:rsid w:val="00C464D1"/>
    <w:rsid w:val="00C46736"/>
    <w:rsid w:val="00C467A4"/>
    <w:rsid w:val="00C46B31"/>
    <w:rsid w:val="00C47110"/>
    <w:rsid w:val="00C47A20"/>
    <w:rsid w:val="00C50BEE"/>
    <w:rsid w:val="00C5116B"/>
    <w:rsid w:val="00C51206"/>
    <w:rsid w:val="00C5177B"/>
    <w:rsid w:val="00C51867"/>
    <w:rsid w:val="00C52A71"/>
    <w:rsid w:val="00C530AF"/>
    <w:rsid w:val="00C53A8B"/>
    <w:rsid w:val="00C53B08"/>
    <w:rsid w:val="00C548C4"/>
    <w:rsid w:val="00C552D5"/>
    <w:rsid w:val="00C55A10"/>
    <w:rsid w:val="00C55F52"/>
    <w:rsid w:val="00C567F7"/>
    <w:rsid w:val="00C5779D"/>
    <w:rsid w:val="00C57F24"/>
    <w:rsid w:val="00C615BA"/>
    <w:rsid w:val="00C615CE"/>
    <w:rsid w:val="00C62272"/>
    <w:rsid w:val="00C629CF"/>
    <w:rsid w:val="00C6309C"/>
    <w:rsid w:val="00C6320F"/>
    <w:rsid w:val="00C634CD"/>
    <w:rsid w:val="00C63A06"/>
    <w:rsid w:val="00C63A45"/>
    <w:rsid w:val="00C647DB"/>
    <w:rsid w:val="00C64981"/>
    <w:rsid w:val="00C65E28"/>
    <w:rsid w:val="00C66B18"/>
    <w:rsid w:val="00C6740F"/>
    <w:rsid w:val="00C67826"/>
    <w:rsid w:val="00C7026E"/>
    <w:rsid w:val="00C70B6E"/>
    <w:rsid w:val="00C71016"/>
    <w:rsid w:val="00C71C17"/>
    <w:rsid w:val="00C71F1B"/>
    <w:rsid w:val="00C72359"/>
    <w:rsid w:val="00C724F4"/>
    <w:rsid w:val="00C72785"/>
    <w:rsid w:val="00C72969"/>
    <w:rsid w:val="00C73D4D"/>
    <w:rsid w:val="00C73D53"/>
    <w:rsid w:val="00C74183"/>
    <w:rsid w:val="00C74631"/>
    <w:rsid w:val="00C74E96"/>
    <w:rsid w:val="00C75044"/>
    <w:rsid w:val="00C75789"/>
    <w:rsid w:val="00C77134"/>
    <w:rsid w:val="00C7713E"/>
    <w:rsid w:val="00C7726E"/>
    <w:rsid w:val="00C774CA"/>
    <w:rsid w:val="00C804B3"/>
    <w:rsid w:val="00C80C41"/>
    <w:rsid w:val="00C8152D"/>
    <w:rsid w:val="00C83078"/>
    <w:rsid w:val="00C833EE"/>
    <w:rsid w:val="00C841D4"/>
    <w:rsid w:val="00C84BDC"/>
    <w:rsid w:val="00C85256"/>
    <w:rsid w:val="00C855A5"/>
    <w:rsid w:val="00C857AB"/>
    <w:rsid w:val="00C85FED"/>
    <w:rsid w:val="00C863A7"/>
    <w:rsid w:val="00C86433"/>
    <w:rsid w:val="00C86AE4"/>
    <w:rsid w:val="00C875AC"/>
    <w:rsid w:val="00C87955"/>
    <w:rsid w:val="00C87B1D"/>
    <w:rsid w:val="00C87CA1"/>
    <w:rsid w:val="00C90085"/>
    <w:rsid w:val="00C900C0"/>
    <w:rsid w:val="00C900CE"/>
    <w:rsid w:val="00C90907"/>
    <w:rsid w:val="00C90A1B"/>
    <w:rsid w:val="00C90A54"/>
    <w:rsid w:val="00C91D80"/>
    <w:rsid w:val="00C91EB9"/>
    <w:rsid w:val="00C91ED0"/>
    <w:rsid w:val="00C91F4F"/>
    <w:rsid w:val="00C92491"/>
    <w:rsid w:val="00C92681"/>
    <w:rsid w:val="00C92781"/>
    <w:rsid w:val="00C95B5B"/>
    <w:rsid w:val="00C97123"/>
    <w:rsid w:val="00C972C1"/>
    <w:rsid w:val="00C97679"/>
    <w:rsid w:val="00C97693"/>
    <w:rsid w:val="00C97705"/>
    <w:rsid w:val="00C9784C"/>
    <w:rsid w:val="00CA02F4"/>
    <w:rsid w:val="00CA1FFE"/>
    <w:rsid w:val="00CA2508"/>
    <w:rsid w:val="00CA3438"/>
    <w:rsid w:val="00CA370D"/>
    <w:rsid w:val="00CA3C91"/>
    <w:rsid w:val="00CA3EDC"/>
    <w:rsid w:val="00CA41A3"/>
    <w:rsid w:val="00CA487C"/>
    <w:rsid w:val="00CA4BC3"/>
    <w:rsid w:val="00CA64C6"/>
    <w:rsid w:val="00CA6951"/>
    <w:rsid w:val="00CA6BF1"/>
    <w:rsid w:val="00CA6DAF"/>
    <w:rsid w:val="00CA759C"/>
    <w:rsid w:val="00CA7A5F"/>
    <w:rsid w:val="00CB14DE"/>
    <w:rsid w:val="00CB17B9"/>
    <w:rsid w:val="00CB1C9E"/>
    <w:rsid w:val="00CB3841"/>
    <w:rsid w:val="00CB3928"/>
    <w:rsid w:val="00CB3C94"/>
    <w:rsid w:val="00CB46FE"/>
    <w:rsid w:val="00CB4908"/>
    <w:rsid w:val="00CB4B7F"/>
    <w:rsid w:val="00CB4BCA"/>
    <w:rsid w:val="00CB4F74"/>
    <w:rsid w:val="00CB511A"/>
    <w:rsid w:val="00CB5438"/>
    <w:rsid w:val="00CB6444"/>
    <w:rsid w:val="00CB6817"/>
    <w:rsid w:val="00CB6A30"/>
    <w:rsid w:val="00CB6C0D"/>
    <w:rsid w:val="00CB6F70"/>
    <w:rsid w:val="00CB7DEA"/>
    <w:rsid w:val="00CC007A"/>
    <w:rsid w:val="00CC09B2"/>
    <w:rsid w:val="00CC1A85"/>
    <w:rsid w:val="00CC200A"/>
    <w:rsid w:val="00CC25A8"/>
    <w:rsid w:val="00CC2E4E"/>
    <w:rsid w:val="00CC42CB"/>
    <w:rsid w:val="00CC4BDC"/>
    <w:rsid w:val="00CC51AB"/>
    <w:rsid w:val="00CC5610"/>
    <w:rsid w:val="00CC5768"/>
    <w:rsid w:val="00CC57B1"/>
    <w:rsid w:val="00CC7299"/>
    <w:rsid w:val="00CC7587"/>
    <w:rsid w:val="00CC7D40"/>
    <w:rsid w:val="00CD052C"/>
    <w:rsid w:val="00CD05A2"/>
    <w:rsid w:val="00CD1085"/>
    <w:rsid w:val="00CD1140"/>
    <w:rsid w:val="00CD1384"/>
    <w:rsid w:val="00CD1982"/>
    <w:rsid w:val="00CD1C46"/>
    <w:rsid w:val="00CD1E34"/>
    <w:rsid w:val="00CD2683"/>
    <w:rsid w:val="00CD2910"/>
    <w:rsid w:val="00CD3E59"/>
    <w:rsid w:val="00CD3F40"/>
    <w:rsid w:val="00CD404B"/>
    <w:rsid w:val="00CD4224"/>
    <w:rsid w:val="00CD4C9B"/>
    <w:rsid w:val="00CD5136"/>
    <w:rsid w:val="00CD5B1C"/>
    <w:rsid w:val="00CD7087"/>
    <w:rsid w:val="00CD7DEB"/>
    <w:rsid w:val="00CE0DF5"/>
    <w:rsid w:val="00CE1139"/>
    <w:rsid w:val="00CE1266"/>
    <w:rsid w:val="00CE1389"/>
    <w:rsid w:val="00CE13BE"/>
    <w:rsid w:val="00CE23BA"/>
    <w:rsid w:val="00CE298E"/>
    <w:rsid w:val="00CE38B1"/>
    <w:rsid w:val="00CE421B"/>
    <w:rsid w:val="00CE5A1D"/>
    <w:rsid w:val="00CE605D"/>
    <w:rsid w:val="00CE63AB"/>
    <w:rsid w:val="00CE65C2"/>
    <w:rsid w:val="00CE6ED2"/>
    <w:rsid w:val="00CE78BF"/>
    <w:rsid w:val="00CE7B7D"/>
    <w:rsid w:val="00CF130F"/>
    <w:rsid w:val="00CF13DC"/>
    <w:rsid w:val="00CF3191"/>
    <w:rsid w:val="00CF31FD"/>
    <w:rsid w:val="00CF34DC"/>
    <w:rsid w:val="00CF3609"/>
    <w:rsid w:val="00CF385E"/>
    <w:rsid w:val="00CF3C49"/>
    <w:rsid w:val="00CF5824"/>
    <w:rsid w:val="00CF5BC7"/>
    <w:rsid w:val="00CF6A3A"/>
    <w:rsid w:val="00CF6B8E"/>
    <w:rsid w:val="00CF6D48"/>
    <w:rsid w:val="00CF6DD1"/>
    <w:rsid w:val="00CF77F9"/>
    <w:rsid w:val="00CF7AE5"/>
    <w:rsid w:val="00CF7B1A"/>
    <w:rsid w:val="00CF7B66"/>
    <w:rsid w:val="00D00B1F"/>
    <w:rsid w:val="00D00F96"/>
    <w:rsid w:val="00D012B4"/>
    <w:rsid w:val="00D01A34"/>
    <w:rsid w:val="00D01AB5"/>
    <w:rsid w:val="00D01B2A"/>
    <w:rsid w:val="00D0256C"/>
    <w:rsid w:val="00D03704"/>
    <w:rsid w:val="00D037AF"/>
    <w:rsid w:val="00D037ED"/>
    <w:rsid w:val="00D05F6F"/>
    <w:rsid w:val="00D06126"/>
    <w:rsid w:val="00D06C41"/>
    <w:rsid w:val="00D07A7B"/>
    <w:rsid w:val="00D07AE8"/>
    <w:rsid w:val="00D1033D"/>
    <w:rsid w:val="00D10D78"/>
    <w:rsid w:val="00D11878"/>
    <w:rsid w:val="00D11E0E"/>
    <w:rsid w:val="00D1235C"/>
    <w:rsid w:val="00D12616"/>
    <w:rsid w:val="00D13084"/>
    <w:rsid w:val="00D13AB7"/>
    <w:rsid w:val="00D13F8A"/>
    <w:rsid w:val="00D14D3B"/>
    <w:rsid w:val="00D14ECA"/>
    <w:rsid w:val="00D15150"/>
    <w:rsid w:val="00D1553C"/>
    <w:rsid w:val="00D15637"/>
    <w:rsid w:val="00D156CD"/>
    <w:rsid w:val="00D15E14"/>
    <w:rsid w:val="00D202F4"/>
    <w:rsid w:val="00D20523"/>
    <w:rsid w:val="00D231BA"/>
    <w:rsid w:val="00D23350"/>
    <w:rsid w:val="00D23CAC"/>
    <w:rsid w:val="00D24506"/>
    <w:rsid w:val="00D25983"/>
    <w:rsid w:val="00D2693C"/>
    <w:rsid w:val="00D26CCC"/>
    <w:rsid w:val="00D278E5"/>
    <w:rsid w:val="00D30F56"/>
    <w:rsid w:val="00D318F8"/>
    <w:rsid w:val="00D31B24"/>
    <w:rsid w:val="00D31BE2"/>
    <w:rsid w:val="00D337CD"/>
    <w:rsid w:val="00D340BD"/>
    <w:rsid w:val="00D340E7"/>
    <w:rsid w:val="00D342A6"/>
    <w:rsid w:val="00D34CE9"/>
    <w:rsid w:val="00D364F5"/>
    <w:rsid w:val="00D36E9E"/>
    <w:rsid w:val="00D36EFF"/>
    <w:rsid w:val="00D376EB"/>
    <w:rsid w:val="00D4052D"/>
    <w:rsid w:val="00D40F45"/>
    <w:rsid w:val="00D41004"/>
    <w:rsid w:val="00D41228"/>
    <w:rsid w:val="00D4223B"/>
    <w:rsid w:val="00D42DF9"/>
    <w:rsid w:val="00D43049"/>
    <w:rsid w:val="00D431EA"/>
    <w:rsid w:val="00D432CB"/>
    <w:rsid w:val="00D43C41"/>
    <w:rsid w:val="00D43EC3"/>
    <w:rsid w:val="00D43F67"/>
    <w:rsid w:val="00D44171"/>
    <w:rsid w:val="00D447FB"/>
    <w:rsid w:val="00D44875"/>
    <w:rsid w:val="00D44C10"/>
    <w:rsid w:val="00D44E80"/>
    <w:rsid w:val="00D4533E"/>
    <w:rsid w:val="00D453B7"/>
    <w:rsid w:val="00D4584E"/>
    <w:rsid w:val="00D468A8"/>
    <w:rsid w:val="00D471A0"/>
    <w:rsid w:val="00D47268"/>
    <w:rsid w:val="00D478AF"/>
    <w:rsid w:val="00D47D7C"/>
    <w:rsid w:val="00D47FAA"/>
    <w:rsid w:val="00D50128"/>
    <w:rsid w:val="00D5083B"/>
    <w:rsid w:val="00D50A79"/>
    <w:rsid w:val="00D519AB"/>
    <w:rsid w:val="00D51B10"/>
    <w:rsid w:val="00D520FC"/>
    <w:rsid w:val="00D52566"/>
    <w:rsid w:val="00D525AE"/>
    <w:rsid w:val="00D533DF"/>
    <w:rsid w:val="00D55489"/>
    <w:rsid w:val="00D55C39"/>
    <w:rsid w:val="00D55C8F"/>
    <w:rsid w:val="00D57256"/>
    <w:rsid w:val="00D60515"/>
    <w:rsid w:val="00D60C09"/>
    <w:rsid w:val="00D61644"/>
    <w:rsid w:val="00D6183B"/>
    <w:rsid w:val="00D61D31"/>
    <w:rsid w:val="00D61F11"/>
    <w:rsid w:val="00D6202D"/>
    <w:rsid w:val="00D62266"/>
    <w:rsid w:val="00D62C73"/>
    <w:rsid w:val="00D639A1"/>
    <w:rsid w:val="00D63D38"/>
    <w:rsid w:val="00D63D91"/>
    <w:rsid w:val="00D64F41"/>
    <w:rsid w:val="00D65291"/>
    <w:rsid w:val="00D65B14"/>
    <w:rsid w:val="00D673B6"/>
    <w:rsid w:val="00D67F31"/>
    <w:rsid w:val="00D67F87"/>
    <w:rsid w:val="00D70440"/>
    <w:rsid w:val="00D70BDF"/>
    <w:rsid w:val="00D71878"/>
    <w:rsid w:val="00D71E59"/>
    <w:rsid w:val="00D72885"/>
    <w:rsid w:val="00D74A79"/>
    <w:rsid w:val="00D74CE1"/>
    <w:rsid w:val="00D74E2F"/>
    <w:rsid w:val="00D750BD"/>
    <w:rsid w:val="00D75604"/>
    <w:rsid w:val="00D76ED6"/>
    <w:rsid w:val="00D77549"/>
    <w:rsid w:val="00D8105E"/>
    <w:rsid w:val="00D81889"/>
    <w:rsid w:val="00D81F28"/>
    <w:rsid w:val="00D827F5"/>
    <w:rsid w:val="00D8280E"/>
    <w:rsid w:val="00D829C2"/>
    <w:rsid w:val="00D82A94"/>
    <w:rsid w:val="00D8409D"/>
    <w:rsid w:val="00D85126"/>
    <w:rsid w:val="00D8539B"/>
    <w:rsid w:val="00D85F16"/>
    <w:rsid w:val="00D860E3"/>
    <w:rsid w:val="00D86C30"/>
    <w:rsid w:val="00D8798A"/>
    <w:rsid w:val="00D879CE"/>
    <w:rsid w:val="00D87F28"/>
    <w:rsid w:val="00D9008D"/>
    <w:rsid w:val="00D90454"/>
    <w:rsid w:val="00D907F3"/>
    <w:rsid w:val="00D90C1D"/>
    <w:rsid w:val="00D90E7C"/>
    <w:rsid w:val="00D90F4C"/>
    <w:rsid w:val="00D9113E"/>
    <w:rsid w:val="00D915B4"/>
    <w:rsid w:val="00D92029"/>
    <w:rsid w:val="00D92383"/>
    <w:rsid w:val="00D923A6"/>
    <w:rsid w:val="00D924AD"/>
    <w:rsid w:val="00D92B18"/>
    <w:rsid w:val="00D92BB0"/>
    <w:rsid w:val="00D92EF1"/>
    <w:rsid w:val="00D93273"/>
    <w:rsid w:val="00D938AF"/>
    <w:rsid w:val="00D93E36"/>
    <w:rsid w:val="00D94165"/>
    <w:rsid w:val="00D94883"/>
    <w:rsid w:val="00D94BF4"/>
    <w:rsid w:val="00D953C5"/>
    <w:rsid w:val="00D9580D"/>
    <w:rsid w:val="00D95820"/>
    <w:rsid w:val="00D9595B"/>
    <w:rsid w:val="00D95A71"/>
    <w:rsid w:val="00D95E4C"/>
    <w:rsid w:val="00D95E8A"/>
    <w:rsid w:val="00D9609A"/>
    <w:rsid w:val="00D967DE"/>
    <w:rsid w:val="00D96FD2"/>
    <w:rsid w:val="00D9703E"/>
    <w:rsid w:val="00DA1C4F"/>
    <w:rsid w:val="00DA1E67"/>
    <w:rsid w:val="00DA2D0E"/>
    <w:rsid w:val="00DA2EB0"/>
    <w:rsid w:val="00DA3B7D"/>
    <w:rsid w:val="00DA4DD5"/>
    <w:rsid w:val="00DA6C08"/>
    <w:rsid w:val="00DA6E66"/>
    <w:rsid w:val="00DA700D"/>
    <w:rsid w:val="00DA7397"/>
    <w:rsid w:val="00DA7EDA"/>
    <w:rsid w:val="00DB0E8B"/>
    <w:rsid w:val="00DB1E09"/>
    <w:rsid w:val="00DB2F27"/>
    <w:rsid w:val="00DB2FA7"/>
    <w:rsid w:val="00DB37F7"/>
    <w:rsid w:val="00DB3856"/>
    <w:rsid w:val="00DB3E81"/>
    <w:rsid w:val="00DB4AB5"/>
    <w:rsid w:val="00DB4AED"/>
    <w:rsid w:val="00DB4C9A"/>
    <w:rsid w:val="00DB5480"/>
    <w:rsid w:val="00DB6158"/>
    <w:rsid w:val="00DB64E0"/>
    <w:rsid w:val="00DB6BD7"/>
    <w:rsid w:val="00DB6EE1"/>
    <w:rsid w:val="00DB6F52"/>
    <w:rsid w:val="00DB6F74"/>
    <w:rsid w:val="00DB7718"/>
    <w:rsid w:val="00DB77A6"/>
    <w:rsid w:val="00DB7883"/>
    <w:rsid w:val="00DB7B97"/>
    <w:rsid w:val="00DB7D13"/>
    <w:rsid w:val="00DC176C"/>
    <w:rsid w:val="00DC1799"/>
    <w:rsid w:val="00DC19C8"/>
    <w:rsid w:val="00DC1D94"/>
    <w:rsid w:val="00DC219B"/>
    <w:rsid w:val="00DC3519"/>
    <w:rsid w:val="00DC436C"/>
    <w:rsid w:val="00DC523B"/>
    <w:rsid w:val="00DC5653"/>
    <w:rsid w:val="00DC5B3A"/>
    <w:rsid w:val="00DC6037"/>
    <w:rsid w:val="00DC6108"/>
    <w:rsid w:val="00DC747F"/>
    <w:rsid w:val="00DC7B20"/>
    <w:rsid w:val="00DC7C0D"/>
    <w:rsid w:val="00DC7F8E"/>
    <w:rsid w:val="00DD0A9F"/>
    <w:rsid w:val="00DD1DBA"/>
    <w:rsid w:val="00DD275B"/>
    <w:rsid w:val="00DD2D4D"/>
    <w:rsid w:val="00DD329C"/>
    <w:rsid w:val="00DD352F"/>
    <w:rsid w:val="00DD4319"/>
    <w:rsid w:val="00DD4363"/>
    <w:rsid w:val="00DD46B9"/>
    <w:rsid w:val="00DD56EE"/>
    <w:rsid w:val="00DD57AD"/>
    <w:rsid w:val="00DD5DBF"/>
    <w:rsid w:val="00DD7B2A"/>
    <w:rsid w:val="00DD7B4B"/>
    <w:rsid w:val="00DE0A60"/>
    <w:rsid w:val="00DE0E4E"/>
    <w:rsid w:val="00DE0FB5"/>
    <w:rsid w:val="00DE1007"/>
    <w:rsid w:val="00DE1137"/>
    <w:rsid w:val="00DE12F2"/>
    <w:rsid w:val="00DE2EE4"/>
    <w:rsid w:val="00DE3AC9"/>
    <w:rsid w:val="00DE3C18"/>
    <w:rsid w:val="00DE3E1B"/>
    <w:rsid w:val="00DE4B2E"/>
    <w:rsid w:val="00DE5196"/>
    <w:rsid w:val="00DE5957"/>
    <w:rsid w:val="00DE5C19"/>
    <w:rsid w:val="00DE5EC4"/>
    <w:rsid w:val="00DE5ED9"/>
    <w:rsid w:val="00DE6075"/>
    <w:rsid w:val="00DE6425"/>
    <w:rsid w:val="00DE6851"/>
    <w:rsid w:val="00DE79B3"/>
    <w:rsid w:val="00DF0459"/>
    <w:rsid w:val="00DF0792"/>
    <w:rsid w:val="00DF0BA9"/>
    <w:rsid w:val="00DF247C"/>
    <w:rsid w:val="00DF2FAB"/>
    <w:rsid w:val="00DF38D1"/>
    <w:rsid w:val="00DF3A47"/>
    <w:rsid w:val="00DF3B65"/>
    <w:rsid w:val="00DF4259"/>
    <w:rsid w:val="00DF4FCF"/>
    <w:rsid w:val="00DF5F29"/>
    <w:rsid w:val="00DF6376"/>
    <w:rsid w:val="00DF657C"/>
    <w:rsid w:val="00DF6BD3"/>
    <w:rsid w:val="00DF76F2"/>
    <w:rsid w:val="00E003E7"/>
    <w:rsid w:val="00E02FBE"/>
    <w:rsid w:val="00E0349D"/>
    <w:rsid w:val="00E0359F"/>
    <w:rsid w:val="00E036F9"/>
    <w:rsid w:val="00E03991"/>
    <w:rsid w:val="00E03A29"/>
    <w:rsid w:val="00E03A93"/>
    <w:rsid w:val="00E03B7D"/>
    <w:rsid w:val="00E04623"/>
    <w:rsid w:val="00E047B3"/>
    <w:rsid w:val="00E051D5"/>
    <w:rsid w:val="00E060ED"/>
    <w:rsid w:val="00E07400"/>
    <w:rsid w:val="00E07BED"/>
    <w:rsid w:val="00E07CE3"/>
    <w:rsid w:val="00E07D89"/>
    <w:rsid w:val="00E10133"/>
    <w:rsid w:val="00E10925"/>
    <w:rsid w:val="00E10DDD"/>
    <w:rsid w:val="00E10E85"/>
    <w:rsid w:val="00E11293"/>
    <w:rsid w:val="00E114E2"/>
    <w:rsid w:val="00E11991"/>
    <w:rsid w:val="00E11F57"/>
    <w:rsid w:val="00E12232"/>
    <w:rsid w:val="00E12D5C"/>
    <w:rsid w:val="00E13251"/>
    <w:rsid w:val="00E13424"/>
    <w:rsid w:val="00E13601"/>
    <w:rsid w:val="00E141B9"/>
    <w:rsid w:val="00E1440E"/>
    <w:rsid w:val="00E1504C"/>
    <w:rsid w:val="00E15D3C"/>
    <w:rsid w:val="00E16828"/>
    <w:rsid w:val="00E16E0E"/>
    <w:rsid w:val="00E17049"/>
    <w:rsid w:val="00E1765C"/>
    <w:rsid w:val="00E176D6"/>
    <w:rsid w:val="00E17C7B"/>
    <w:rsid w:val="00E17CEC"/>
    <w:rsid w:val="00E17DF4"/>
    <w:rsid w:val="00E200B1"/>
    <w:rsid w:val="00E20116"/>
    <w:rsid w:val="00E204F0"/>
    <w:rsid w:val="00E210D3"/>
    <w:rsid w:val="00E21158"/>
    <w:rsid w:val="00E211AF"/>
    <w:rsid w:val="00E2262C"/>
    <w:rsid w:val="00E22866"/>
    <w:rsid w:val="00E230AC"/>
    <w:rsid w:val="00E23F9E"/>
    <w:rsid w:val="00E243EC"/>
    <w:rsid w:val="00E25103"/>
    <w:rsid w:val="00E251D7"/>
    <w:rsid w:val="00E252B0"/>
    <w:rsid w:val="00E2590D"/>
    <w:rsid w:val="00E25984"/>
    <w:rsid w:val="00E25F68"/>
    <w:rsid w:val="00E2639F"/>
    <w:rsid w:val="00E26407"/>
    <w:rsid w:val="00E2643C"/>
    <w:rsid w:val="00E26735"/>
    <w:rsid w:val="00E268D9"/>
    <w:rsid w:val="00E26CD7"/>
    <w:rsid w:val="00E2713E"/>
    <w:rsid w:val="00E27264"/>
    <w:rsid w:val="00E2747C"/>
    <w:rsid w:val="00E3012B"/>
    <w:rsid w:val="00E30459"/>
    <w:rsid w:val="00E30F02"/>
    <w:rsid w:val="00E30FC1"/>
    <w:rsid w:val="00E315DA"/>
    <w:rsid w:val="00E31C84"/>
    <w:rsid w:val="00E32C59"/>
    <w:rsid w:val="00E333F7"/>
    <w:rsid w:val="00E33513"/>
    <w:rsid w:val="00E33596"/>
    <w:rsid w:val="00E344AF"/>
    <w:rsid w:val="00E34B81"/>
    <w:rsid w:val="00E35569"/>
    <w:rsid w:val="00E35692"/>
    <w:rsid w:val="00E36319"/>
    <w:rsid w:val="00E3670F"/>
    <w:rsid w:val="00E36F04"/>
    <w:rsid w:val="00E3735F"/>
    <w:rsid w:val="00E400AC"/>
    <w:rsid w:val="00E407C4"/>
    <w:rsid w:val="00E40BB0"/>
    <w:rsid w:val="00E4111A"/>
    <w:rsid w:val="00E41198"/>
    <w:rsid w:val="00E41244"/>
    <w:rsid w:val="00E4163C"/>
    <w:rsid w:val="00E43B49"/>
    <w:rsid w:val="00E4528C"/>
    <w:rsid w:val="00E457C5"/>
    <w:rsid w:val="00E45CB9"/>
    <w:rsid w:val="00E463CD"/>
    <w:rsid w:val="00E4654A"/>
    <w:rsid w:val="00E46D78"/>
    <w:rsid w:val="00E50132"/>
    <w:rsid w:val="00E511BB"/>
    <w:rsid w:val="00E514BB"/>
    <w:rsid w:val="00E5166F"/>
    <w:rsid w:val="00E51E0D"/>
    <w:rsid w:val="00E51E77"/>
    <w:rsid w:val="00E524FE"/>
    <w:rsid w:val="00E53429"/>
    <w:rsid w:val="00E534BD"/>
    <w:rsid w:val="00E534C0"/>
    <w:rsid w:val="00E54046"/>
    <w:rsid w:val="00E54DBD"/>
    <w:rsid w:val="00E555C9"/>
    <w:rsid w:val="00E56949"/>
    <w:rsid w:val="00E56B8E"/>
    <w:rsid w:val="00E57161"/>
    <w:rsid w:val="00E572B7"/>
    <w:rsid w:val="00E575C4"/>
    <w:rsid w:val="00E60A98"/>
    <w:rsid w:val="00E60C12"/>
    <w:rsid w:val="00E6116D"/>
    <w:rsid w:val="00E623F1"/>
    <w:rsid w:val="00E6280E"/>
    <w:rsid w:val="00E62E32"/>
    <w:rsid w:val="00E63884"/>
    <w:rsid w:val="00E63ABF"/>
    <w:rsid w:val="00E6436D"/>
    <w:rsid w:val="00E64F98"/>
    <w:rsid w:val="00E65833"/>
    <w:rsid w:val="00E65B3B"/>
    <w:rsid w:val="00E6689E"/>
    <w:rsid w:val="00E66C0C"/>
    <w:rsid w:val="00E66E97"/>
    <w:rsid w:val="00E673B8"/>
    <w:rsid w:val="00E675E7"/>
    <w:rsid w:val="00E67A21"/>
    <w:rsid w:val="00E67B96"/>
    <w:rsid w:val="00E67FE5"/>
    <w:rsid w:val="00E7044C"/>
    <w:rsid w:val="00E705CF"/>
    <w:rsid w:val="00E707BC"/>
    <w:rsid w:val="00E7250B"/>
    <w:rsid w:val="00E72F57"/>
    <w:rsid w:val="00E7391C"/>
    <w:rsid w:val="00E74E62"/>
    <w:rsid w:val="00E76014"/>
    <w:rsid w:val="00E77094"/>
    <w:rsid w:val="00E773F1"/>
    <w:rsid w:val="00E77F6F"/>
    <w:rsid w:val="00E80147"/>
    <w:rsid w:val="00E80526"/>
    <w:rsid w:val="00E811A6"/>
    <w:rsid w:val="00E81C57"/>
    <w:rsid w:val="00E823F4"/>
    <w:rsid w:val="00E8260B"/>
    <w:rsid w:val="00E82E45"/>
    <w:rsid w:val="00E835C4"/>
    <w:rsid w:val="00E8398F"/>
    <w:rsid w:val="00E84BFD"/>
    <w:rsid w:val="00E84FF6"/>
    <w:rsid w:val="00E858A1"/>
    <w:rsid w:val="00E85C4E"/>
    <w:rsid w:val="00E85C70"/>
    <w:rsid w:val="00E869AC"/>
    <w:rsid w:val="00E86C2F"/>
    <w:rsid w:val="00E86F98"/>
    <w:rsid w:val="00E90467"/>
    <w:rsid w:val="00E90871"/>
    <w:rsid w:val="00E90BFC"/>
    <w:rsid w:val="00E91F34"/>
    <w:rsid w:val="00E922A6"/>
    <w:rsid w:val="00E922D7"/>
    <w:rsid w:val="00E92971"/>
    <w:rsid w:val="00E92B00"/>
    <w:rsid w:val="00E92BEC"/>
    <w:rsid w:val="00E93C12"/>
    <w:rsid w:val="00E94CDB"/>
    <w:rsid w:val="00E95D51"/>
    <w:rsid w:val="00E96108"/>
    <w:rsid w:val="00E9701C"/>
    <w:rsid w:val="00E971E2"/>
    <w:rsid w:val="00E97D88"/>
    <w:rsid w:val="00E97EF1"/>
    <w:rsid w:val="00EA1948"/>
    <w:rsid w:val="00EA2467"/>
    <w:rsid w:val="00EA281F"/>
    <w:rsid w:val="00EA2DC1"/>
    <w:rsid w:val="00EA3A44"/>
    <w:rsid w:val="00EA46A3"/>
    <w:rsid w:val="00EA54B1"/>
    <w:rsid w:val="00EA62B0"/>
    <w:rsid w:val="00EA70F5"/>
    <w:rsid w:val="00EA716F"/>
    <w:rsid w:val="00EA7403"/>
    <w:rsid w:val="00EA7421"/>
    <w:rsid w:val="00EA7D96"/>
    <w:rsid w:val="00EB01D7"/>
    <w:rsid w:val="00EB0F1A"/>
    <w:rsid w:val="00EB1CFB"/>
    <w:rsid w:val="00EB40FF"/>
    <w:rsid w:val="00EB4160"/>
    <w:rsid w:val="00EB47F6"/>
    <w:rsid w:val="00EB4DA9"/>
    <w:rsid w:val="00EB4F55"/>
    <w:rsid w:val="00EB5C19"/>
    <w:rsid w:val="00EB5F18"/>
    <w:rsid w:val="00EB62F5"/>
    <w:rsid w:val="00EB6978"/>
    <w:rsid w:val="00EB69B2"/>
    <w:rsid w:val="00EB6AC8"/>
    <w:rsid w:val="00EB6CC5"/>
    <w:rsid w:val="00EB7131"/>
    <w:rsid w:val="00EB77AA"/>
    <w:rsid w:val="00EB7972"/>
    <w:rsid w:val="00EC148B"/>
    <w:rsid w:val="00EC21DA"/>
    <w:rsid w:val="00EC2A9E"/>
    <w:rsid w:val="00EC346D"/>
    <w:rsid w:val="00EC3B4C"/>
    <w:rsid w:val="00EC3F68"/>
    <w:rsid w:val="00EC439F"/>
    <w:rsid w:val="00EC43C8"/>
    <w:rsid w:val="00EC485D"/>
    <w:rsid w:val="00EC4D6A"/>
    <w:rsid w:val="00EC4E7B"/>
    <w:rsid w:val="00EC556F"/>
    <w:rsid w:val="00EC629B"/>
    <w:rsid w:val="00EC6ACF"/>
    <w:rsid w:val="00EC6D77"/>
    <w:rsid w:val="00EC6E11"/>
    <w:rsid w:val="00EC7063"/>
    <w:rsid w:val="00EC7641"/>
    <w:rsid w:val="00ED00F8"/>
    <w:rsid w:val="00ED084D"/>
    <w:rsid w:val="00ED0B48"/>
    <w:rsid w:val="00ED1C72"/>
    <w:rsid w:val="00ED2070"/>
    <w:rsid w:val="00ED223B"/>
    <w:rsid w:val="00ED2A75"/>
    <w:rsid w:val="00ED3004"/>
    <w:rsid w:val="00ED341F"/>
    <w:rsid w:val="00ED3FAC"/>
    <w:rsid w:val="00ED4055"/>
    <w:rsid w:val="00ED56DB"/>
    <w:rsid w:val="00ED5865"/>
    <w:rsid w:val="00ED5AC1"/>
    <w:rsid w:val="00ED623E"/>
    <w:rsid w:val="00EE01FF"/>
    <w:rsid w:val="00EE0F22"/>
    <w:rsid w:val="00EE18B9"/>
    <w:rsid w:val="00EE1EAB"/>
    <w:rsid w:val="00EE2014"/>
    <w:rsid w:val="00EE20BC"/>
    <w:rsid w:val="00EE2520"/>
    <w:rsid w:val="00EE3188"/>
    <w:rsid w:val="00EE322F"/>
    <w:rsid w:val="00EE381B"/>
    <w:rsid w:val="00EE3A83"/>
    <w:rsid w:val="00EE3B1E"/>
    <w:rsid w:val="00EE3EAA"/>
    <w:rsid w:val="00EE3EF6"/>
    <w:rsid w:val="00EE40EF"/>
    <w:rsid w:val="00EE45D3"/>
    <w:rsid w:val="00EE52C9"/>
    <w:rsid w:val="00EE5678"/>
    <w:rsid w:val="00EE5A16"/>
    <w:rsid w:val="00EE6732"/>
    <w:rsid w:val="00EE686C"/>
    <w:rsid w:val="00EE69B6"/>
    <w:rsid w:val="00EE7480"/>
    <w:rsid w:val="00EE77E2"/>
    <w:rsid w:val="00EE7BCF"/>
    <w:rsid w:val="00EE7DF6"/>
    <w:rsid w:val="00EF023F"/>
    <w:rsid w:val="00EF0244"/>
    <w:rsid w:val="00EF062F"/>
    <w:rsid w:val="00EF0643"/>
    <w:rsid w:val="00EF0644"/>
    <w:rsid w:val="00EF0CDA"/>
    <w:rsid w:val="00EF130E"/>
    <w:rsid w:val="00EF1DDC"/>
    <w:rsid w:val="00EF1E47"/>
    <w:rsid w:val="00EF2277"/>
    <w:rsid w:val="00EF3A38"/>
    <w:rsid w:val="00EF3A63"/>
    <w:rsid w:val="00EF3C45"/>
    <w:rsid w:val="00EF4C95"/>
    <w:rsid w:val="00EF5B80"/>
    <w:rsid w:val="00F001CD"/>
    <w:rsid w:val="00F002A5"/>
    <w:rsid w:val="00F0139C"/>
    <w:rsid w:val="00F014E1"/>
    <w:rsid w:val="00F01593"/>
    <w:rsid w:val="00F0177C"/>
    <w:rsid w:val="00F02B2D"/>
    <w:rsid w:val="00F02E10"/>
    <w:rsid w:val="00F03486"/>
    <w:rsid w:val="00F0352B"/>
    <w:rsid w:val="00F04606"/>
    <w:rsid w:val="00F06293"/>
    <w:rsid w:val="00F06D59"/>
    <w:rsid w:val="00F06FE3"/>
    <w:rsid w:val="00F07469"/>
    <w:rsid w:val="00F074EA"/>
    <w:rsid w:val="00F101E1"/>
    <w:rsid w:val="00F1097D"/>
    <w:rsid w:val="00F11F8B"/>
    <w:rsid w:val="00F1216E"/>
    <w:rsid w:val="00F128BD"/>
    <w:rsid w:val="00F128ED"/>
    <w:rsid w:val="00F13258"/>
    <w:rsid w:val="00F13F49"/>
    <w:rsid w:val="00F149C8"/>
    <w:rsid w:val="00F1684E"/>
    <w:rsid w:val="00F16F14"/>
    <w:rsid w:val="00F16FE4"/>
    <w:rsid w:val="00F17E9F"/>
    <w:rsid w:val="00F20CA8"/>
    <w:rsid w:val="00F221A7"/>
    <w:rsid w:val="00F22878"/>
    <w:rsid w:val="00F231FF"/>
    <w:rsid w:val="00F24687"/>
    <w:rsid w:val="00F2533A"/>
    <w:rsid w:val="00F25B35"/>
    <w:rsid w:val="00F25DC7"/>
    <w:rsid w:val="00F265DF"/>
    <w:rsid w:val="00F2697C"/>
    <w:rsid w:val="00F27123"/>
    <w:rsid w:val="00F273B8"/>
    <w:rsid w:val="00F2776E"/>
    <w:rsid w:val="00F3054C"/>
    <w:rsid w:val="00F30CC9"/>
    <w:rsid w:val="00F31484"/>
    <w:rsid w:val="00F3191D"/>
    <w:rsid w:val="00F3341A"/>
    <w:rsid w:val="00F3350E"/>
    <w:rsid w:val="00F33F87"/>
    <w:rsid w:val="00F3429F"/>
    <w:rsid w:val="00F3480D"/>
    <w:rsid w:val="00F34820"/>
    <w:rsid w:val="00F35519"/>
    <w:rsid w:val="00F35552"/>
    <w:rsid w:val="00F36777"/>
    <w:rsid w:val="00F37EA0"/>
    <w:rsid w:val="00F40199"/>
    <w:rsid w:val="00F414E4"/>
    <w:rsid w:val="00F41937"/>
    <w:rsid w:val="00F41CDE"/>
    <w:rsid w:val="00F420ED"/>
    <w:rsid w:val="00F426DB"/>
    <w:rsid w:val="00F429BA"/>
    <w:rsid w:val="00F437C0"/>
    <w:rsid w:val="00F43BEA"/>
    <w:rsid w:val="00F44200"/>
    <w:rsid w:val="00F45603"/>
    <w:rsid w:val="00F46831"/>
    <w:rsid w:val="00F46AFD"/>
    <w:rsid w:val="00F47991"/>
    <w:rsid w:val="00F504EC"/>
    <w:rsid w:val="00F50882"/>
    <w:rsid w:val="00F50E6C"/>
    <w:rsid w:val="00F517CB"/>
    <w:rsid w:val="00F5209F"/>
    <w:rsid w:val="00F52483"/>
    <w:rsid w:val="00F52D7D"/>
    <w:rsid w:val="00F53B59"/>
    <w:rsid w:val="00F544F0"/>
    <w:rsid w:val="00F54862"/>
    <w:rsid w:val="00F54FAB"/>
    <w:rsid w:val="00F5571D"/>
    <w:rsid w:val="00F56169"/>
    <w:rsid w:val="00F56F2F"/>
    <w:rsid w:val="00F5741C"/>
    <w:rsid w:val="00F60673"/>
    <w:rsid w:val="00F60EF8"/>
    <w:rsid w:val="00F610E9"/>
    <w:rsid w:val="00F61955"/>
    <w:rsid w:val="00F61BA1"/>
    <w:rsid w:val="00F63769"/>
    <w:rsid w:val="00F6382C"/>
    <w:rsid w:val="00F64092"/>
    <w:rsid w:val="00F655E1"/>
    <w:rsid w:val="00F65C93"/>
    <w:rsid w:val="00F66277"/>
    <w:rsid w:val="00F669D3"/>
    <w:rsid w:val="00F67531"/>
    <w:rsid w:val="00F675D8"/>
    <w:rsid w:val="00F67AB7"/>
    <w:rsid w:val="00F70799"/>
    <w:rsid w:val="00F7085A"/>
    <w:rsid w:val="00F709AD"/>
    <w:rsid w:val="00F70AFD"/>
    <w:rsid w:val="00F70F67"/>
    <w:rsid w:val="00F714C2"/>
    <w:rsid w:val="00F71EAB"/>
    <w:rsid w:val="00F728D3"/>
    <w:rsid w:val="00F732ED"/>
    <w:rsid w:val="00F73C0B"/>
    <w:rsid w:val="00F74334"/>
    <w:rsid w:val="00F753F3"/>
    <w:rsid w:val="00F75BA9"/>
    <w:rsid w:val="00F75FAD"/>
    <w:rsid w:val="00F76692"/>
    <w:rsid w:val="00F767D9"/>
    <w:rsid w:val="00F769B7"/>
    <w:rsid w:val="00F77011"/>
    <w:rsid w:val="00F8030D"/>
    <w:rsid w:val="00F8060E"/>
    <w:rsid w:val="00F8098C"/>
    <w:rsid w:val="00F80CFA"/>
    <w:rsid w:val="00F80F5B"/>
    <w:rsid w:val="00F8137E"/>
    <w:rsid w:val="00F8158E"/>
    <w:rsid w:val="00F82B2C"/>
    <w:rsid w:val="00F82BE9"/>
    <w:rsid w:val="00F83419"/>
    <w:rsid w:val="00F84670"/>
    <w:rsid w:val="00F84677"/>
    <w:rsid w:val="00F846C1"/>
    <w:rsid w:val="00F847D2"/>
    <w:rsid w:val="00F84835"/>
    <w:rsid w:val="00F848B7"/>
    <w:rsid w:val="00F859FA"/>
    <w:rsid w:val="00F85D9E"/>
    <w:rsid w:val="00F860BA"/>
    <w:rsid w:val="00F86488"/>
    <w:rsid w:val="00F8685C"/>
    <w:rsid w:val="00F87068"/>
    <w:rsid w:val="00F902F2"/>
    <w:rsid w:val="00F90B6D"/>
    <w:rsid w:val="00F91597"/>
    <w:rsid w:val="00F916C5"/>
    <w:rsid w:val="00F91BF9"/>
    <w:rsid w:val="00F920CA"/>
    <w:rsid w:val="00F92BDF"/>
    <w:rsid w:val="00F930B8"/>
    <w:rsid w:val="00F933A2"/>
    <w:rsid w:val="00F93ED3"/>
    <w:rsid w:val="00F93F98"/>
    <w:rsid w:val="00F94BFF"/>
    <w:rsid w:val="00F951F9"/>
    <w:rsid w:val="00F957AD"/>
    <w:rsid w:val="00F96029"/>
    <w:rsid w:val="00F961EB"/>
    <w:rsid w:val="00F97487"/>
    <w:rsid w:val="00FA010B"/>
    <w:rsid w:val="00FA1984"/>
    <w:rsid w:val="00FA1C43"/>
    <w:rsid w:val="00FA36BE"/>
    <w:rsid w:val="00FA39D2"/>
    <w:rsid w:val="00FA469C"/>
    <w:rsid w:val="00FA52E2"/>
    <w:rsid w:val="00FA567F"/>
    <w:rsid w:val="00FA5A19"/>
    <w:rsid w:val="00FA6455"/>
    <w:rsid w:val="00FA7727"/>
    <w:rsid w:val="00FB0010"/>
    <w:rsid w:val="00FB0989"/>
    <w:rsid w:val="00FB0AC8"/>
    <w:rsid w:val="00FB0C2B"/>
    <w:rsid w:val="00FB15F3"/>
    <w:rsid w:val="00FB1F39"/>
    <w:rsid w:val="00FB29EB"/>
    <w:rsid w:val="00FB3296"/>
    <w:rsid w:val="00FB34BD"/>
    <w:rsid w:val="00FB39BF"/>
    <w:rsid w:val="00FB439B"/>
    <w:rsid w:val="00FB44FB"/>
    <w:rsid w:val="00FB4A5F"/>
    <w:rsid w:val="00FB51E9"/>
    <w:rsid w:val="00FB5325"/>
    <w:rsid w:val="00FB5FBB"/>
    <w:rsid w:val="00FB655C"/>
    <w:rsid w:val="00FC0165"/>
    <w:rsid w:val="00FC0A01"/>
    <w:rsid w:val="00FC0AF5"/>
    <w:rsid w:val="00FC1761"/>
    <w:rsid w:val="00FC28C2"/>
    <w:rsid w:val="00FC2A34"/>
    <w:rsid w:val="00FC36D8"/>
    <w:rsid w:val="00FC5700"/>
    <w:rsid w:val="00FC5DB9"/>
    <w:rsid w:val="00FC5E8F"/>
    <w:rsid w:val="00FC7381"/>
    <w:rsid w:val="00FD08CD"/>
    <w:rsid w:val="00FD123D"/>
    <w:rsid w:val="00FD273F"/>
    <w:rsid w:val="00FD2C04"/>
    <w:rsid w:val="00FD3437"/>
    <w:rsid w:val="00FD3FF8"/>
    <w:rsid w:val="00FD4776"/>
    <w:rsid w:val="00FD4C84"/>
    <w:rsid w:val="00FD5582"/>
    <w:rsid w:val="00FD5B0F"/>
    <w:rsid w:val="00FD6228"/>
    <w:rsid w:val="00FD6A9A"/>
    <w:rsid w:val="00FD73D6"/>
    <w:rsid w:val="00FD77A5"/>
    <w:rsid w:val="00FD7885"/>
    <w:rsid w:val="00FD79AB"/>
    <w:rsid w:val="00FE0376"/>
    <w:rsid w:val="00FE0871"/>
    <w:rsid w:val="00FE0F4B"/>
    <w:rsid w:val="00FE1847"/>
    <w:rsid w:val="00FE1D6F"/>
    <w:rsid w:val="00FE1F8E"/>
    <w:rsid w:val="00FE317D"/>
    <w:rsid w:val="00FE34A3"/>
    <w:rsid w:val="00FE3A84"/>
    <w:rsid w:val="00FE46F9"/>
    <w:rsid w:val="00FE4A43"/>
    <w:rsid w:val="00FE5088"/>
    <w:rsid w:val="00FE5BC5"/>
    <w:rsid w:val="00FE6E12"/>
    <w:rsid w:val="00FE6F69"/>
    <w:rsid w:val="00FE7B88"/>
    <w:rsid w:val="00FE7BD3"/>
    <w:rsid w:val="00FF0214"/>
    <w:rsid w:val="00FF0459"/>
    <w:rsid w:val="00FF1CDA"/>
    <w:rsid w:val="00FF2250"/>
    <w:rsid w:val="00FF2562"/>
    <w:rsid w:val="00FF4FD5"/>
    <w:rsid w:val="00FF55B4"/>
    <w:rsid w:val="00FF5ACD"/>
    <w:rsid w:val="00FF6953"/>
    <w:rsid w:val="00FF7F1B"/>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8DF3B"/>
  <w15:docId w15:val="{7257A4DD-B450-4C6C-8A36-FB972B3C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073"/>
    <w:rPr>
      <w:sz w:val="24"/>
      <w:szCs w:val="24"/>
    </w:rPr>
  </w:style>
  <w:style w:type="paragraph" w:styleId="10">
    <w:name w:val="heading 1"/>
    <w:aliases w:val="Уровень 1"/>
    <w:basedOn w:val="a"/>
    <w:next w:val="a"/>
    <w:link w:val="11"/>
    <w:qFormat/>
    <w:locked/>
    <w:rsid w:val="002A4FCC"/>
    <w:pPr>
      <w:spacing w:after="120"/>
      <w:jc w:val="center"/>
      <w:outlineLvl w:val="0"/>
    </w:pPr>
    <w:rPr>
      <w:rFonts w:ascii="Arial" w:hAnsi="Arial"/>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lang w:eastAsia="x-non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rPr>
  </w:style>
  <w:style w:type="paragraph" w:customStyle="1" w:styleId="Iauiue">
    <w:name w:val="Iau?iue"/>
    <w:rsid w:val="009E51EC"/>
  </w:style>
  <w:style w:type="character" w:styleId="ac">
    <w:name w:val="annotation reference"/>
    <w:uiPriority w:val="99"/>
    <w:semiHidden/>
    <w:unhideWhenUsed/>
    <w:rPr>
      <w:sz w:val="16"/>
      <w:szCs w:val="16"/>
    </w:rPr>
  </w:style>
  <w:style w:type="paragraph" w:styleId="ad">
    <w:name w:val="annotation text"/>
    <w:link w:val="ae"/>
    <w:uiPriority w:val="99"/>
    <w:semiHidden/>
    <w:unhideWhenUsed/>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3">
    <w:name w:val="toc 1"/>
    <w:basedOn w:val="a"/>
    <w:next w:val="a"/>
    <w:autoRedefine/>
    <w:uiPriority w:val="39"/>
    <w:rsid w:val="0090301D"/>
    <w:pPr>
      <w:widowControl w:val="0"/>
      <w:tabs>
        <w:tab w:val="left" w:pos="480"/>
        <w:tab w:val="right" w:leader="dot" w:pos="9344"/>
      </w:tabs>
      <w:spacing w:before="120" w:after="120"/>
      <w:ind w:left="68"/>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1">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en-GB" w:eastAsia="ru-RU" w:bidi="ar-SA"/>
    </w:rPr>
  </w:style>
  <w:style w:type="paragraph" w:customStyle="1" w:styleId="14">
    <w:name w:val="Обычный1"/>
    <w:rsid w:val="004777D8"/>
    <w:pPr>
      <w:spacing w:before="100" w:after="100"/>
    </w:pPr>
    <w:rPr>
      <w:snapToGrid w:val="0"/>
      <w:sz w:val="24"/>
    </w:rPr>
  </w:style>
  <w:style w:type="paragraph" w:customStyle="1" w:styleId="pr">
    <w:name w:val="pr"/>
    <w:basedOn w:val="a"/>
    <w:rsid w:val="00B6727F"/>
    <w:pPr>
      <w:spacing w:before="100" w:beforeAutospacing="1" w:after="100" w:afterAutospacing="1"/>
      <w:ind w:firstLine="180"/>
      <w:jc w:val="both"/>
    </w:pPr>
    <w:rPr>
      <w:color w:val="001F4B"/>
      <w:sz w:val="20"/>
      <w:szCs w:val="20"/>
    </w:rPr>
  </w:style>
  <w:style w:type="numbering" w:styleId="111111">
    <w:name w:val="Outline List 2"/>
    <w:rsid w:val="00B6727F"/>
    <w:pPr>
      <w:numPr>
        <w:numId w:val="30"/>
      </w:numPr>
    </w:pPr>
  </w:style>
  <w:style w:type="character" w:customStyle="1" w:styleId="11">
    <w:name w:val="Заголовок 1 Знак"/>
    <w:aliases w:val="Уровень 1 Знак"/>
    <w:link w:val="10"/>
    <w:rsid w:val="002A4FCC"/>
    <w:rPr>
      <w:rFonts w:ascii="Arial" w:hAnsi="Arial"/>
      <w:b/>
      <w:sz w:val="24"/>
    </w:rPr>
  </w:style>
  <w:style w:type="paragraph" w:customStyle="1" w:styleId="20">
    <w:name w:val="Обычный2"/>
    <w:rsid w:val="009523B4"/>
    <w:pPr>
      <w:spacing w:before="100" w:after="100"/>
    </w:pPr>
    <w:rPr>
      <w:snapToGrid w:val="0"/>
      <w:sz w:val="24"/>
    </w:rPr>
  </w:style>
  <w:style w:type="paragraph" w:styleId="af2">
    <w:name w:val="List Paragraph"/>
    <w:basedOn w:val="a"/>
    <w:uiPriority w:val="34"/>
    <w:qFormat/>
    <w:rsid w:val="00E54DBD"/>
    <w:pPr>
      <w:ind w:left="708"/>
    </w:pPr>
  </w:style>
  <w:style w:type="paragraph" w:customStyle="1" w:styleId="Default">
    <w:name w:val="Default"/>
    <w:rsid w:val="00BF6207"/>
    <w:pPr>
      <w:autoSpaceDE w:val="0"/>
      <w:autoSpaceDN w:val="0"/>
      <w:adjustRightInd w:val="0"/>
    </w:pPr>
    <w:rPr>
      <w:color w:val="000000"/>
      <w:sz w:val="24"/>
      <w:szCs w:val="24"/>
    </w:rPr>
  </w:style>
  <w:style w:type="character" w:customStyle="1" w:styleId="a4">
    <w:name w:val="Основной текст Знак"/>
    <w:link w:val="a3"/>
    <w:rsid w:val="00E675E7"/>
    <w:rPr>
      <w:sz w:val="24"/>
    </w:rPr>
  </w:style>
  <w:style w:type="character" w:styleId="af3">
    <w:name w:val="Emphasis"/>
    <w:aliases w:val="Глава 3"/>
    <w:qFormat/>
    <w:locked/>
    <w:rsid w:val="00E23F9E"/>
    <w:rPr>
      <w:rFonts w:ascii="Arial" w:hAnsi="Arial" w:cs="Arial"/>
      <w:sz w:val="20"/>
      <w:szCs w:val="20"/>
    </w:rPr>
  </w:style>
  <w:style w:type="paragraph" w:styleId="af4">
    <w:name w:val="Revision"/>
    <w:hidden/>
    <w:uiPriority w:val="99"/>
    <w:semiHidden/>
    <w:rsid w:val="00387A77"/>
    <w:rPr>
      <w:sz w:val="24"/>
      <w:szCs w:val="24"/>
    </w:rPr>
  </w:style>
  <w:style w:type="numbering" w:customStyle="1" w:styleId="3">
    <w:name w:val="Стиль3"/>
    <w:uiPriority w:val="99"/>
    <w:rsid w:val="00A27566"/>
    <w:pPr>
      <w:numPr>
        <w:numId w:val="41"/>
      </w:numPr>
    </w:pPr>
  </w:style>
  <w:style w:type="paragraph" w:styleId="af5">
    <w:name w:val="Title"/>
    <w:aliases w:val="Уровень 2"/>
    <w:basedOn w:val="2"/>
    <w:next w:val="a"/>
    <w:link w:val="af6"/>
    <w:qFormat/>
    <w:locked/>
    <w:rsid w:val="00A27566"/>
    <w:pPr>
      <w:keepNext/>
      <w:tabs>
        <w:tab w:val="left" w:pos="1026"/>
        <w:tab w:val="right" w:leader="dot" w:pos="9344"/>
      </w:tabs>
      <w:spacing w:before="0"/>
      <w:ind w:left="567" w:hanging="567"/>
      <w:outlineLvl w:val="1"/>
    </w:pPr>
    <w:rPr>
      <w:rFonts w:ascii="Tahoma" w:hAnsi="Tahoma" w:cs="Arial"/>
      <w:bCs w:val="0"/>
    </w:rPr>
  </w:style>
  <w:style w:type="character" w:customStyle="1" w:styleId="af6">
    <w:name w:val="Заголовок Знак"/>
    <w:aliases w:val="Уровень 2 Знак"/>
    <w:link w:val="af5"/>
    <w:rsid w:val="00A27566"/>
    <w:rPr>
      <w:rFonts w:ascii="Tahoma" w:hAnsi="Tahoma" w:cs="Arial"/>
      <w:b/>
    </w:rPr>
  </w:style>
  <w:style w:type="paragraph" w:customStyle="1" w:styleId="32">
    <w:name w:val="Уровень 3"/>
    <w:basedOn w:val="a"/>
    <w:link w:val="33"/>
    <w:qFormat/>
    <w:rsid w:val="00A27566"/>
    <w:pPr>
      <w:ind w:left="1077" w:hanging="793"/>
      <w:jc w:val="both"/>
    </w:pPr>
    <w:rPr>
      <w:rFonts w:ascii="Tahoma" w:hAnsi="Tahoma"/>
      <w:sz w:val="20"/>
    </w:rPr>
  </w:style>
  <w:style w:type="paragraph" w:customStyle="1" w:styleId="40">
    <w:name w:val="Уровень 4"/>
    <w:basedOn w:val="a"/>
    <w:qFormat/>
    <w:rsid w:val="00A27566"/>
    <w:pPr>
      <w:tabs>
        <w:tab w:val="left" w:pos="1701"/>
      </w:tabs>
      <w:ind w:left="1701" w:hanging="1134"/>
      <w:jc w:val="both"/>
    </w:pPr>
    <w:rPr>
      <w:rFonts w:ascii="Tahoma" w:hAnsi="Tahoma"/>
      <w:sz w:val="20"/>
    </w:rPr>
  </w:style>
  <w:style w:type="character" w:customStyle="1" w:styleId="33">
    <w:name w:val="Уровень 3 Знак"/>
    <w:link w:val="32"/>
    <w:rsid w:val="00A27566"/>
    <w:rPr>
      <w:rFonts w:ascii="Tahoma" w:hAnsi="Tahoma"/>
      <w:szCs w:val="24"/>
    </w:rPr>
  </w:style>
  <w:style w:type="paragraph" w:customStyle="1" w:styleId="15">
    <w:name w:val="Уровень Выделение 1"/>
    <w:basedOn w:val="a"/>
    <w:link w:val="16"/>
    <w:qFormat/>
    <w:rsid w:val="00A27566"/>
    <w:pPr>
      <w:ind w:left="1701" w:hanging="397"/>
      <w:jc w:val="both"/>
    </w:pPr>
    <w:rPr>
      <w:rFonts w:ascii="Tahoma" w:hAnsi="Tahoma" w:cs="Arial"/>
      <w:sz w:val="20"/>
      <w:szCs w:val="20"/>
    </w:rPr>
  </w:style>
  <w:style w:type="character" w:customStyle="1" w:styleId="16">
    <w:name w:val="Уровень Выделение 1 Знак"/>
    <w:link w:val="15"/>
    <w:rsid w:val="00A27566"/>
    <w:rPr>
      <w:rFonts w:ascii="Tahoma" w:hAnsi="Tahoma" w:cs="Arial"/>
    </w:rPr>
  </w:style>
  <w:style w:type="paragraph" w:customStyle="1" w:styleId="21">
    <w:name w:val="Уровень Выделение 2"/>
    <w:basedOn w:val="a"/>
    <w:qFormat/>
    <w:rsid w:val="00A27566"/>
    <w:pPr>
      <w:ind w:left="1814" w:hanging="340"/>
      <w:jc w:val="both"/>
    </w:pPr>
    <w:rPr>
      <w:rFonts w:ascii="Tahoma" w:hAnsi="Tahoma"/>
      <w:sz w:val="20"/>
    </w:rPr>
  </w:style>
  <w:style w:type="paragraph" w:customStyle="1" w:styleId="50">
    <w:name w:val="Уровень 5"/>
    <w:basedOn w:val="a"/>
    <w:qFormat/>
    <w:rsid w:val="00A27566"/>
    <w:pPr>
      <w:ind w:left="3240" w:hanging="1080"/>
    </w:pPr>
    <w:rPr>
      <w:rFonts w:ascii="Tahoma" w:hAnsi="Tahoma"/>
      <w:sz w:val="20"/>
    </w:rPr>
  </w:style>
  <w:style w:type="paragraph" w:customStyle="1" w:styleId="af7">
    <w:name w:val="Уровень Формул текст"/>
    <w:basedOn w:val="a"/>
    <w:link w:val="af8"/>
    <w:qFormat/>
    <w:rsid w:val="00C2467D"/>
    <w:pPr>
      <w:spacing w:after="120"/>
      <w:ind w:left="1559"/>
      <w:contextualSpacing/>
      <w:jc w:val="both"/>
    </w:pPr>
    <w:rPr>
      <w:rFonts w:ascii="Tahoma" w:hAnsi="Tahoma" w:cs="Arial"/>
      <w:sz w:val="20"/>
      <w:szCs w:val="20"/>
    </w:rPr>
  </w:style>
  <w:style w:type="character" w:customStyle="1" w:styleId="af8">
    <w:name w:val="Уровень Формул текст Знак"/>
    <w:link w:val="af7"/>
    <w:rsid w:val="00C2467D"/>
    <w:rPr>
      <w:rFonts w:ascii="Tahoma" w:hAnsi="Tahoma" w:cs="Arial"/>
    </w:rPr>
  </w:style>
  <w:style w:type="paragraph" w:customStyle="1" w:styleId="af9">
    <w:name w:val="Уровень Формул"/>
    <w:basedOn w:val="a"/>
    <w:link w:val="afa"/>
    <w:qFormat/>
    <w:rsid w:val="00C464D1"/>
    <w:pPr>
      <w:spacing w:before="240" w:after="240"/>
      <w:jc w:val="both"/>
    </w:pPr>
    <w:rPr>
      <w:rFonts w:ascii="Cambria Math" w:hAnsi="Cambria Math" w:cs="Arial"/>
      <w:i/>
      <w:szCs w:val="20"/>
    </w:rPr>
  </w:style>
  <w:style w:type="character" w:customStyle="1" w:styleId="afa">
    <w:name w:val="Уровень Формул Знак"/>
    <w:link w:val="af9"/>
    <w:rsid w:val="00C464D1"/>
    <w:rPr>
      <w:rFonts w:ascii="Cambria Math" w:hAnsi="Cambria Math" w:cs="Arial"/>
      <w: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52209093">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493758809">
      <w:bodyDiv w:val="1"/>
      <w:marLeft w:val="0"/>
      <w:marRight w:val="0"/>
      <w:marTop w:val="0"/>
      <w:marBottom w:val="0"/>
      <w:divBdr>
        <w:top w:val="none" w:sz="0" w:space="0" w:color="auto"/>
        <w:left w:val="none" w:sz="0" w:space="0" w:color="auto"/>
        <w:bottom w:val="none" w:sz="0" w:space="0" w:color="auto"/>
        <w:right w:val="none" w:sz="0" w:space="0" w:color="auto"/>
      </w:divBdr>
    </w:div>
    <w:div w:id="540169632">
      <w:bodyDiv w:val="1"/>
      <w:marLeft w:val="0"/>
      <w:marRight w:val="0"/>
      <w:marTop w:val="0"/>
      <w:marBottom w:val="0"/>
      <w:divBdr>
        <w:top w:val="none" w:sz="0" w:space="0" w:color="auto"/>
        <w:left w:val="none" w:sz="0" w:space="0" w:color="auto"/>
        <w:bottom w:val="none" w:sz="0" w:space="0" w:color="auto"/>
        <w:right w:val="none" w:sz="0" w:space="0" w:color="auto"/>
      </w:divBdr>
    </w:div>
    <w:div w:id="543833866">
      <w:bodyDiv w:val="1"/>
      <w:marLeft w:val="0"/>
      <w:marRight w:val="0"/>
      <w:marTop w:val="0"/>
      <w:marBottom w:val="0"/>
      <w:divBdr>
        <w:top w:val="none" w:sz="0" w:space="0" w:color="auto"/>
        <w:left w:val="none" w:sz="0" w:space="0" w:color="auto"/>
        <w:bottom w:val="none" w:sz="0" w:space="0" w:color="auto"/>
        <w:right w:val="none" w:sz="0" w:space="0" w:color="auto"/>
      </w:divBdr>
    </w:div>
    <w:div w:id="604457933">
      <w:bodyDiv w:val="1"/>
      <w:marLeft w:val="0"/>
      <w:marRight w:val="0"/>
      <w:marTop w:val="0"/>
      <w:marBottom w:val="0"/>
      <w:divBdr>
        <w:top w:val="none" w:sz="0" w:space="0" w:color="auto"/>
        <w:left w:val="none" w:sz="0" w:space="0" w:color="auto"/>
        <w:bottom w:val="none" w:sz="0" w:space="0" w:color="auto"/>
        <w:right w:val="none" w:sz="0" w:space="0" w:color="auto"/>
      </w:divBdr>
    </w:div>
    <w:div w:id="918558283">
      <w:bodyDiv w:val="1"/>
      <w:marLeft w:val="0"/>
      <w:marRight w:val="0"/>
      <w:marTop w:val="0"/>
      <w:marBottom w:val="0"/>
      <w:divBdr>
        <w:top w:val="none" w:sz="0" w:space="0" w:color="auto"/>
        <w:left w:val="none" w:sz="0" w:space="0" w:color="auto"/>
        <w:bottom w:val="none" w:sz="0" w:space="0" w:color="auto"/>
        <w:right w:val="none" w:sz="0" w:space="0" w:color="auto"/>
      </w:divBdr>
    </w:div>
    <w:div w:id="943652983">
      <w:bodyDiv w:val="1"/>
      <w:marLeft w:val="0"/>
      <w:marRight w:val="0"/>
      <w:marTop w:val="0"/>
      <w:marBottom w:val="0"/>
      <w:divBdr>
        <w:top w:val="none" w:sz="0" w:space="0" w:color="auto"/>
        <w:left w:val="none" w:sz="0" w:space="0" w:color="auto"/>
        <w:bottom w:val="none" w:sz="0" w:space="0" w:color="auto"/>
        <w:right w:val="none" w:sz="0" w:space="0" w:color="auto"/>
      </w:divBdr>
    </w:div>
    <w:div w:id="1176723852">
      <w:bodyDiv w:val="1"/>
      <w:marLeft w:val="0"/>
      <w:marRight w:val="0"/>
      <w:marTop w:val="0"/>
      <w:marBottom w:val="0"/>
      <w:divBdr>
        <w:top w:val="none" w:sz="0" w:space="0" w:color="auto"/>
        <w:left w:val="none" w:sz="0" w:space="0" w:color="auto"/>
        <w:bottom w:val="none" w:sz="0" w:space="0" w:color="auto"/>
        <w:right w:val="none" w:sz="0" w:space="0" w:color="auto"/>
      </w:divBdr>
    </w:div>
    <w:div w:id="1396051325">
      <w:bodyDiv w:val="1"/>
      <w:marLeft w:val="0"/>
      <w:marRight w:val="0"/>
      <w:marTop w:val="0"/>
      <w:marBottom w:val="0"/>
      <w:divBdr>
        <w:top w:val="none" w:sz="0" w:space="0" w:color="auto"/>
        <w:left w:val="none" w:sz="0" w:space="0" w:color="auto"/>
        <w:bottom w:val="none" w:sz="0" w:space="0" w:color="auto"/>
        <w:right w:val="none" w:sz="0" w:space="0" w:color="auto"/>
      </w:divBdr>
    </w:div>
    <w:div w:id="1592810303">
      <w:bodyDiv w:val="1"/>
      <w:marLeft w:val="0"/>
      <w:marRight w:val="0"/>
      <w:marTop w:val="0"/>
      <w:marBottom w:val="0"/>
      <w:divBdr>
        <w:top w:val="none" w:sz="0" w:space="0" w:color="auto"/>
        <w:left w:val="none" w:sz="0" w:space="0" w:color="auto"/>
        <w:bottom w:val="none" w:sz="0" w:space="0" w:color="auto"/>
        <w:right w:val="none" w:sz="0" w:space="0" w:color="auto"/>
      </w:divBdr>
    </w:div>
    <w:div w:id="1920358094">
      <w:bodyDiv w:val="1"/>
      <w:marLeft w:val="0"/>
      <w:marRight w:val="0"/>
      <w:marTop w:val="0"/>
      <w:marBottom w:val="0"/>
      <w:divBdr>
        <w:top w:val="none" w:sz="0" w:space="0" w:color="auto"/>
        <w:left w:val="none" w:sz="0" w:space="0" w:color="auto"/>
        <w:bottom w:val="none" w:sz="0" w:space="0" w:color="auto"/>
        <w:right w:val="none" w:sz="0" w:space="0" w:color="auto"/>
      </w:divBdr>
    </w:div>
    <w:div w:id="1931769542">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E07D7-52E4-447E-9B5B-BEF5ECAB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2993</Words>
  <Characters>17066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облигаций</vt:lpstr>
    </vt:vector>
  </TitlesOfParts>
  <Company>Uralsib</Company>
  <LinksUpToDate>false</LinksUpToDate>
  <CharactersWithSpaces>20019</CharactersWithSpaces>
  <SharedDoc>false</SharedDoc>
  <HLinks>
    <vt:vector size="42" baseType="variant">
      <vt:variant>
        <vt:i4>1245235</vt:i4>
      </vt:variant>
      <vt:variant>
        <vt:i4>38</vt:i4>
      </vt:variant>
      <vt:variant>
        <vt:i4>0</vt:i4>
      </vt:variant>
      <vt:variant>
        <vt:i4>5</vt:i4>
      </vt:variant>
      <vt:variant>
        <vt:lpwstr/>
      </vt:variant>
      <vt:variant>
        <vt:lpwstr>_Toc31212602</vt:lpwstr>
      </vt:variant>
      <vt:variant>
        <vt:i4>1048627</vt:i4>
      </vt:variant>
      <vt:variant>
        <vt:i4>32</vt:i4>
      </vt:variant>
      <vt:variant>
        <vt:i4>0</vt:i4>
      </vt:variant>
      <vt:variant>
        <vt:i4>5</vt:i4>
      </vt:variant>
      <vt:variant>
        <vt:lpwstr/>
      </vt:variant>
      <vt:variant>
        <vt:lpwstr>_Toc31212601</vt:lpwstr>
      </vt:variant>
      <vt:variant>
        <vt:i4>1769530</vt:i4>
      </vt:variant>
      <vt:variant>
        <vt:i4>26</vt:i4>
      </vt:variant>
      <vt:variant>
        <vt:i4>0</vt:i4>
      </vt:variant>
      <vt:variant>
        <vt:i4>5</vt:i4>
      </vt:variant>
      <vt:variant>
        <vt:lpwstr/>
      </vt:variant>
      <vt:variant>
        <vt:lpwstr>_Toc31212599</vt:lpwstr>
      </vt:variant>
      <vt:variant>
        <vt:i4>1703994</vt:i4>
      </vt:variant>
      <vt:variant>
        <vt:i4>20</vt:i4>
      </vt:variant>
      <vt:variant>
        <vt:i4>0</vt:i4>
      </vt:variant>
      <vt:variant>
        <vt:i4>5</vt:i4>
      </vt:variant>
      <vt:variant>
        <vt:lpwstr/>
      </vt:variant>
      <vt:variant>
        <vt:lpwstr>_Toc31212598</vt:lpwstr>
      </vt:variant>
      <vt:variant>
        <vt:i4>1376314</vt:i4>
      </vt:variant>
      <vt:variant>
        <vt:i4>14</vt:i4>
      </vt:variant>
      <vt:variant>
        <vt:i4>0</vt:i4>
      </vt:variant>
      <vt:variant>
        <vt:i4>5</vt:i4>
      </vt:variant>
      <vt:variant>
        <vt:lpwstr/>
      </vt:variant>
      <vt:variant>
        <vt:lpwstr>_Toc31212597</vt:lpwstr>
      </vt:variant>
      <vt:variant>
        <vt:i4>1310778</vt:i4>
      </vt:variant>
      <vt:variant>
        <vt:i4>8</vt:i4>
      </vt:variant>
      <vt:variant>
        <vt:i4>0</vt:i4>
      </vt:variant>
      <vt:variant>
        <vt:i4>5</vt:i4>
      </vt:variant>
      <vt:variant>
        <vt:lpwstr/>
      </vt:variant>
      <vt:variant>
        <vt:lpwstr>_Toc31212596</vt:lpwstr>
      </vt:variant>
      <vt:variant>
        <vt:i4>1507386</vt:i4>
      </vt:variant>
      <vt:variant>
        <vt:i4>2</vt:i4>
      </vt:variant>
      <vt:variant>
        <vt:i4>0</vt:i4>
      </vt:variant>
      <vt:variant>
        <vt:i4>5</vt:i4>
      </vt:variant>
      <vt:variant>
        <vt:lpwstr/>
      </vt:variant>
      <vt:variant>
        <vt:lpwstr>_Toc31212595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облигаций</dc:title>
  <cp:lastModifiedBy>Силаева Светлана Викторовна</cp:lastModifiedBy>
  <cp:revision>7</cp:revision>
  <cp:lastPrinted>2020-01-24T13:55:00Z</cp:lastPrinted>
  <dcterms:created xsi:type="dcterms:W3CDTF">2023-09-19T09:50:00Z</dcterms:created>
  <dcterms:modified xsi:type="dcterms:W3CDTF">2024-01-12T18:23:00Z</dcterms:modified>
</cp:coreProperties>
</file>