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964DFA">
      <w:pPr>
        <w:ind w:left="4253" w:right="-81"/>
        <w:rPr>
          <w:rFonts w:ascii="Tahoma" w:hAnsi="Tahoma" w:cs="Tahoma"/>
          <w:b/>
          <w:sz w:val="20"/>
          <w:szCs w:val="20"/>
        </w:rPr>
      </w:pPr>
      <w:bookmarkStart w:id="0" w:name="_Hlk94266662"/>
      <w:bookmarkStart w:id="1" w:name="_GoBack"/>
      <w:bookmarkEnd w:id="1"/>
      <w:r>
        <w:rPr>
          <w:rFonts w:ascii="Tahoma" w:hAnsi="Tahoma"/>
          <w:b/>
          <w:sz w:val="20"/>
        </w:rPr>
        <w:t>APPROVED</w:t>
      </w:r>
    </w:p>
    <w:p w14:paraId="0CBC4DCE" w14:textId="539E8477" w:rsidR="005104AD" w:rsidRPr="003E634C" w:rsidRDefault="005104AD" w:rsidP="00964DFA">
      <w:pPr>
        <w:pStyle w:val="a9"/>
        <w:tabs>
          <w:tab w:val="left" w:pos="5387"/>
          <w:tab w:val="left" w:pos="5670"/>
        </w:tabs>
        <w:spacing w:after="0"/>
        <w:ind w:left="4253"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2F018F5C" w14:textId="65DB6D96" w:rsidR="005104AD" w:rsidRPr="002E491A" w:rsidRDefault="005104AD" w:rsidP="00964DFA">
      <w:pPr>
        <w:pStyle w:val="a9"/>
        <w:tabs>
          <w:tab w:val="left" w:pos="4962"/>
        </w:tabs>
        <w:spacing w:after="0"/>
        <w:ind w:left="4253" w:right="27"/>
        <w:rPr>
          <w:rFonts w:ascii="Tahoma" w:hAnsi="Tahoma" w:cs="Tahoma"/>
          <w:sz w:val="20"/>
          <w:szCs w:val="20"/>
        </w:rPr>
      </w:pPr>
      <w:r>
        <w:rPr>
          <w:rFonts w:ascii="Tahoma" w:hAnsi="Tahoma"/>
          <w:sz w:val="20"/>
        </w:rPr>
        <w:t>(Order No. МБ-П-202</w:t>
      </w:r>
      <w:r w:rsidR="007B0510">
        <w:rPr>
          <w:rFonts w:ascii="Tahoma" w:hAnsi="Tahoma"/>
          <w:sz w:val="20"/>
        </w:rPr>
        <w:t>5</w:t>
      </w:r>
      <w:r>
        <w:rPr>
          <w:rFonts w:ascii="Tahoma" w:hAnsi="Tahoma"/>
          <w:sz w:val="20"/>
        </w:rPr>
        <w:t>-</w:t>
      </w:r>
      <w:r w:rsidR="007B0510">
        <w:rPr>
          <w:rFonts w:ascii="Tahoma" w:hAnsi="Tahoma"/>
          <w:sz w:val="20"/>
        </w:rPr>
        <w:t>545</w:t>
      </w:r>
      <w:r>
        <w:rPr>
          <w:rFonts w:ascii="Tahoma" w:hAnsi="Tahoma"/>
          <w:sz w:val="20"/>
        </w:rPr>
        <w:t xml:space="preserve"> dated </w:t>
      </w:r>
      <w:r w:rsidR="007B0510">
        <w:rPr>
          <w:rFonts w:ascii="Tahoma" w:hAnsi="Tahoma"/>
          <w:sz w:val="20"/>
        </w:rPr>
        <w:t>2</w:t>
      </w:r>
      <w:r w:rsidR="00964DFA">
        <w:rPr>
          <w:rFonts w:ascii="Tahoma" w:hAnsi="Tahoma"/>
          <w:sz w:val="20"/>
        </w:rPr>
        <w:t>1</w:t>
      </w:r>
      <w:r w:rsidR="007B0510">
        <w:rPr>
          <w:rFonts w:ascii="Tahoma" w:hAnsi="Tahoma"/>
          <w:sz w:val="20"/>
        </w:rPr>
        <w:t xml:space="preserve"> February</w:t>
      </w:r>
      <w:r w:rsidR="00964DFA">
        <w:rPr>
          <w:rFonts w:ascii="Tahoma" w:hAnsi="Tahoma"/>
          <w:sz w:val="20"/>
        </w:rPr>
        <w:t xml:space="preserve"> 202</w:t>
      </w:r>
      <w:r w:rsidR="007B0510">
        <w:rPr>
          <w:rFonts w:ascii="Tahoma" w:hAnsi="Tahoma"/>
          <w:sz w:val="20"/>
        </w:rPr>
        <w:t>5</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B8A6460" w:rsidR="005104AD" w:rsidRPr="0000599D" w:rsidRDefault="005104AD" w:rsidP="005104AD">
      <w:pPr>
        <w:jc w:val="center"/>
        <w:rPr>
          <w:rFonts w:ascii="Tahoma" w:hAnsi="Tahoma" w:cs="Tahoma"/>
          <w:b/>
          <w:bCs/>
          <w:sz w:val="20"/>
          <w:szCs w:val="20"/>
        </w:rPr>
      </w:pPr>
      <w:r>
        <w:rPr>
          <w:rFonts w:ascii="Tahoma" w:hAnsi="Tahoma"/>
          <w:b/>
          <w:sz w:val="20"/>
        </w:rPr>
        <w:t>Specification of premium-style options contracts on indices</w:t>
      </w:r>
    </w:p>
    <w:p w14:paraId="3B145F1D" w14:textId="2F29B8DD"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defines the standard terms and conditions of European premium-style cash-settled options with indices as the underlying asset (the "Specification"). </w:t>
      </w:r>
    </w:p>
    <w:p w14:paraId="1791A8F0" w14:textId="7F76F648"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index options (the “Contract”) as well as the procedure for such obligations to arise, be changed or terminated.</w:t>
      </w:r>
    </w:p>
    <w:p w14:paraId="4A0ACB04" w14:textId="6A588DC9" w:rsidR="005104AD" w:rsidRPr="00B7672C"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premium-style options on indices as set out in Appendix this Specification (the "List of Parameters"), which contains:</w:t>
      </w:r>
    </w:p>
    <w:p w14:paraId="1B1B2B67" w14:textId="77777777" w:rsidR="005104AD" w:rsidRPr="00BD39E7"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7C5CC4D0"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0DF75AD3"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6563FC7C" w14:textId="77777777" w:rsidR="005104AD" w:rsidRPr="00BD39E7"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641FC88" w14:textId="17D18685" w:rsidR="003F665D" w:rsidRDefault="005104AD" w:rsidP="006C0716">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3CFDA8B8" w14:textId="3D36F8E1" w:rsidR="006C0716" w:rsidRPr="006C0716" w:rsidRDefault="006C0716">
      <w:pPr>
        <w:pStyle w:val="ab"/>
        <w:numPr>
          <w:ilvl w:val="0"/>
          <w:numId w:val="2"/>
        </w:numPr>
        <w:spacing w:before="0" w:beforeAutospacing="0" w:after="0" w:afterAutospacing="0"/>
        <w:ind w:right="57"/>
        <w:rPr>
          <w:rFonts w:ascii="Tahoma" w:hAnsi="Tahoma" w:cs="Tahoma"/>
        </w:rPr>
      </w:pPr>
      <w:r>
        <w:rPr>
          <w:rFonts w:ascii="Tahoma" w:hAnsi="Tahoma"/>
        </w:rPr>
        <w:t>Contract lot.</w:t>
      </w:r>
    </w:p>
    <w:p w14:paraId="7578DF04" w14:textId="0971BB9D" w:rsidR="00487B8C" w:rsidRPr="00BD39E7" w:rsidRDefault="00487B8C" w:rsidP="005371EB">
      <w:pPr>
        <w:pStyle w:val="ab"/>
        <w:tabs>
          <w:tab w:val="left" w:pos="0"/>
        </w:tabs>
        <w:spacing w:before="0" w:beforeAutospacing="0" w:after="0" w:afterAutospacing="0"/>
        <w:contextualSpacing/>
        <w:rPr>
          <w:rFonts w:ascii="Tahoma" w:hAnsi="Tahoma" w:cs="Tahoma"/>
        </w:rPr>
      </w:pPr>
      <w:r>
        <w:rPr>
          <w:rFonts w:ascii="Tahoma" w:hAnsi="Tahoma"/>
        </w:rPr>
        <w:t xml:space="preserve">The underlying assets of the Contracts are indices calculated by Moscow Exchange (the "Exchange") and specified in the Parameters List. </w:t>
      </w:r>
    </w:p>
    <w:p w14:paraId="04AB5B1A" w14:textId="77777777" w:rsidR="005104AD" w:rsidRPr="00BD39E7" w:rsidRDefault="005104AD" w:rsidP="005371EB">
      <w:pPr>
        <w:pStyle w:val="ab"/>
        <w:spacing w:before="0" w:beforeAutospacing="0" w:after="0" w:afterAutospacing="0"/>
        <w:ind w:right="57"/>
        <w:contextualSpacing/>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3F658B12" w:rsidR="005104AD" w:rsidRPr="00BD39E7" w:rsidRDefault="00A50B9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contract code (designation);</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321057D8"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5004E862"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210923 - 21 September 2023);</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6753D722" w:rsidR="005104AD"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price (premium) in the course of Trading when entering an order and executing the Contract shall be specified in points.</w:t>
      </w:r>
    </w:p>
    <w:p w14:paraId="4AC36207" w14:textId="66CB6792" w:rsidR="00AF2AE1" w:rsidRPr="004426A0" w:rsidRDefault="0000599D" w:rsidP="009F7D79">
      <w:pPr>
        <w:pStyle w:val="ae"/>
        <w:numPr>
          <w:ilvl w:val="1"/>
          <w:numId w:val="3"/>
        </w:numPr>
        <w:tabs>
          <w:tab w:val="clear" w:pos="1080"/>
          <w:tab w:val="num" w:pos="567"/>
        </w:tabs>
        <w:ind w:left="851" w:hanging="425"/>
        <w:jc w:val="both"/>
        <w:rPr>
          <w:rFonts w:ascii="Tahoma" w:hAnsi="Tahoma"/>
          <w:sz w:val="20"/>
        </w:rPr>
      </w:pPr>
      <w:r w:rsidRPr="004426A0">
        <w:rPr>
          <w:rFonts w:ascii="Tahoma" w:hAnsi="Tahoma"/>
          <w:sz w:val="20"/>
        </w:rPr>
        <w:t xml:space="preserve">The tick value specified in the </w:t>
      </w:r>
      <w:hyperlink w:anchor="Список_параметров" w:history="1">
        <w:r w:rsidRPr="004426A0">
          <w:t>List of Parameters</w:t>
        </w:r>
      </w:hyperlink>
      <w:r w:rsidRPr="004426A0">
        <w:rPr>
          <w:rFonts w:ascii="Tahoma" w:hAnsi="Tahoma"/>
          <w:sz w:val="20"/>
        </w:rPr>
        <w:t>, for contracts, the underlying asset of which is an index calculated in US dollars, is calculated in Russian roubles at the US dollar to rouble exchange rate, determined in accordance with the Indicative FX Rates Methodology, approved by the Exchange and published on the Exchange website (the "US Dollar Rate").</w:t>
      </w:r>
      <w:r>
        <w:rPr>
          <w:rFonts w:ascii="Tahoma" w:hAnsi="Tahoma"/>
          <w:sz w:val="20"/>
        </w:rPr>
        <w:t xml:space="preserve"> </w:t>
      </w:r>
    </w:p>
    <w:p w14:paraId="1156609B" w14:textId="365BAFF0" w:rsidR="00AF2AE1" w:rsidRPr="009F7D79" w:rsidRDefault="00AF2AE1" w:rsidP="009F7D79">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time at which the USD/RUB FX Rate is set by the Exchange and available on the Exchange website.</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3DD93D3E" w14:textId="1605C0CE" w:rsidR="00487B8C" w:rsidRPr="00487B8C" w:rsidRDefault="005104AD" w:rsidP="005371EB">
      <w:pPr>
        <w:pStyle w:val="ae"/>
        <w:numPr>
          <w:ilvl w:val="1"/>
          <w:numId w:val="3"/>
        </w:numPr>
        <w:tabs>
          <w:tab w:val="clear" w:pos="1080"/>
          <w:tab w:val="num" w:pos="567"/>
        </w:tabs>
        <w:ind w:left="851" w:hanging="425"/>
        <w:jc w:val="both"/>
        <w:rPr>
          <w:rFonts w:ascii="Tahoma" w:hAnsi="Tahoma" w:cs="Tahoma"/>
          <w:sz w:val="20"/>
          <w:szCs w:val="20"/>
        </w:rPr>
      </w:pPr>
      <w:bookmarkStart w:id="2" w:name="_Ref240708523"/>
      <w:r>
        <w:rPr>
          <w:rFonts w:ascii="Tahoma" w:hAnsi="Tahoma"/>
          <w:sz w:val="20"/>
        </w:rPr>
        <w:lastRenderedPageBreak/>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064E218" w14:textId="0B1098F1" w:rsidR="00DF17F7" w:rsidRPr="009F7D79" w:rsidRDefault="005104AD" w:rsidP="005371EB">
      <w:pPr>
        <w:pStyle w:val="ae"/>
        <w:tabs>
          <w:tab w:val="num" w:pos="567"/>
        </w:tabs>
        <w:ind w:left="851"/>
        <w:jc w:val="both"/>
        <w:rPr>
          <w:rFonts w:ascii="Tahoma" w:hAnsi="Tahoma" w:cs="Tahoma"/>
          <w:sz w:val="20"/>
          <w:szCs w:val="20"/>
        </w:rPr>
      </w:pPr>
      <w:r>
        <w:rPr>
          <w:rFonts w:ascii="Tahoma" w:hAnsi="Tahoma"/>
          <w:sz w:val="20"/>
        </w:rPr>
        <w:t xml:space="preserve">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w:t>
      </w:r>
      <w:r w:rsidR="004426A0">
        <w:rPr>
          <w:rFonts w:ascii="Tahoma" w:hAnsi="Tahoma"/>
          <w:sz w:val="20"/>
        </w:rPr>
        <w:t>expiration</w:t>
      </w:r>
      <w:r>
        <w:rPr>
          <w:rFonts w:ascii="Tahoma" w:hAnsi="Tahoma"/>
          <w:sz w:val="20"/>
        </w:rPr>
        <w:t xml:space="preserve"> of the Contract.</w:t>
      </w:r>
    </w:p>
    <w:p w14:paraId="6AD8F5EA" w14:textId="75984529" w:rsidR="00520174" w:rsidRPr="00BD39E7" w:rsidRDefault="00520174" w:rsidP="005371EB">
      <w:pPr>
        <w:pStyle w:val="ae"/>
        <w:tabs>
          <w:tab w:val="num" w:pos="567"/>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2A42CEF2" w14:textId="77777777" w:rsidR="005104AD" w:rsidRPr="00BD39E7" w:rsidRDefault="005104AD" w:rsidP="005104AD">
      <w:pPr>
        <w:pStyle w:val="ae"/>
        <w:ind w:left="1080"/>
        <w:rPr>
          <w:rFonts w:ascii="Tahoma" w:hAnsi="Tahoma" w:cs="Tahoma"/>
          <w:sz w:val="20"/>
          <w:szCs w:val="20"/>
        </w:rPr>
      </w:pPr>
    </w:p>
    <w:bookmarkEnd w:id="2"/>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4426A0" w:rsidRDefault="005104AD" w:rsidP="005104AD">
      <w:pPr>
        <w:pStyle w:val="ae"/>
        <w:numPr>
          <w:ilvl w:val="2"/>
          <w:numId w:val="3"/>
        </w:numPr>
        <w:tabs>
          <w:tab w:val="clear" w:pos="2160"/>
          <w:tab w:val="num" w:pos="1560"/>
        </w:tabs>
        <w:ind w:left="1560" w:hanging="709"/>
        <w:jc w:val="both"/>
        <w:rPr>
          <w:rFonts w:ascii="Tahoma" w:hAnsi="Tahoma"/>
          <w:sz w:val="20"/>
        </w:rPr>
      </w:pPr>
      <w:r w:rsidRPr="004426A0">
        <w:rPr>
          <w:rFonts w:ascii="Tahoma" w:hAnsi="Tahoma"/>
          <w:sz w:val="20"/>
        </w:rP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6D09F28A"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4426A0">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6EA5B094"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Index value – Option Strike Price; 0) for call options</w:t>
      </w:r>
    </w:p>
    <w:p w14:paraId="305C2C62" w14:textId="27E646BC"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Strike Price – Index value; 0) for put options,</w:t>
      </w:r>
    </w:p>
    <w:p w14:paraId="1B249116" w14:textId="3CD3B953" w:rsidR="00DF17F7" w:rsidRPr="009F7D79" w:rsidRDefault="009C216C" w:rsidP="009F7D79">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 The value of the index which is the underlying asset of the Contract shall be deemed to be equal to the average value of the index for the period from 15:00 to 16:00 Moscow time on the last trading day for the Contract determined in accordance with Clauses 1.7 or 5.1 or 5.2 of the Specification (the "Calculation Period")</w:t>
      </w:r>
      <w:r w:rsidR="007B0510">
        <w:rPr>
          <w:rStyle w:val="aff"/>
          <w:rFonts w:ascii="Tahoma" w:hAnsi="Tahoma"/>
          <w:sz w:val="20"/>
        </w:rPr>
        <w:footnoteReference w:id="1"/>
      </w:r>
      <w:r>
        <w:rPr>
          <w:rFonts w:ascii="Tahoma" w:hAnsi="Tahoma"/>
          <w:sz w:val="20"/>
        </w:rPr>
        <w:t>. This rule is valid provided that during the entire Calculation Period the aggregate share of all stocks in the Index (the "Stocks"; the total weight of the Stocks in the Index, respectively) in each second of the Calculation Period was not less than 75% (the "Index Calculation Condition"). Furthermore, to calculate the total weight of the Stocks in the Index, the weights of the Stocks as of the close of the previous trading day are used, and only those Stocks traded on the Exchange during the Calculation Period (excluding Stocks traded through a discrete auction).</w:t>
      </w:r>
    </w:p>
    <w:p w14:paraId="7DDFE793" w14:textId="77777777" w:rsidR="005371EB" w:rsidRDefault="00DF17F7" w:rsidP="005371EB">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If the Index Calculation Condition specified in clause 2.2.3 of the Specification has not been met:</w:t>
      </w:r>
    </w:p>
    <w:p w14:paraId="77AE382C" w14:textId="1914C98D" w:rsidR="00DF17F7" w:rsidRPr="005371EB" w:rsidRDefault="00DF17F7" w:rsidP="005371EB">
      <w:pPr>
        <w:pStyle w:val="ae"/>
        <w:ind w:left="1560"/>
        <w:jc w:val="both"/>
        <w:rPr>
          <w:rFonts w:ascii="Tahoma" w:hAnsi="Tahoma" w:cs="Tahoma"/>
          <w:sz w:val="20"/>
          <w:szCs w:val="20"/>
        </w:rPr>
      </w:pPr>
      <w:r>
        <w:rPr>
          <w:rFonts w:ascii="Tahoma" w:hAnsi="Tahoma"/>
          <w:sz w:val="20"/>
        </w:rPr>
        <w:t xml:space="preserve">the last trading day for the Contract shall be the next trading day during which the total trading time in Stocks, the total weight of which in the Index is not less than 75%, is not </w:t>
      </w:r>
      <w:r>
        <w:rPr>
          <w:rFonts w:ascii="Tahoma" w:hAnsi="Tahoma"/>
          <w:sz w:val="20"/>
        </w:rPr>
        <w:lastRenderedPageBreak/>
        <w:t>less than 60 minutes from 12:00 till 16:00 MSK (the "Reference Time")</w:t>
      </w:r>
      <w:r w:rsidR="007B0510">
        <w:rPr>
          <w:rStyle w:val="aff"/>
          <w:rFonts w:ascii="Tahoma" w:hAnsi="Tahoma"/>
          <w:sz w:val="20"/>
        </w:rPr>
        <w:footnoteReference w:id="2"/>
      </w:r>
      <w:r>
        <w:rPr>
          <w:rFonts w:ascii="Tahoma" w:hAnsi="Tahoma"/>
          <w:sz w:val="20"/>
        </w:rPr>
        <w:t>. Furthermore, to calculate the total weight of the Stocks in the Index, the weights of the Stocks as of the close of the previous trading day are used, and only those Stocks traded on the Exchange during the Reference Time (excluding Stocks traded through a discrete auction). In this case clause 2.2.3 of the Specification shall not apply and the current Settlement Price for the purpose of determining the Settlement Obligation shall be deemed to be equal to the average value of the Index cumulatively for the first 60 minutes of the Reference Time during which the total weight of Shares in the Index is at least 75%.</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4426A0" w:rsidRDefault="005104AD" w:rsidP="005104AD">
      <w:pPr>
        <w:pStyle w:val="ae"/>
        <w:numPr>
          <w:ilvl w:val="2"/>
          <w:numId w:val="3"/>
        </w:numPr>
        <w:tabs>
          <w:tab w:val="clear" w:pos="2160"/>
          <w:tab w:val="num" w:pos="1560"/>
        </w:tabs>
        <w:ind w:left="1560" w:hanging="709"/>
        <w:jc w:val="both"/>
        <w:rPr>
          <w:rFonts w:ascii="Tahoma" w:hAnsi="Tahoma"/>
          <w:sz w:val="20"/>
        </w:rPr>
      </w:pPr>
      <w:r>
        <w:rPr>
          <w:rFonts w:ascii="Tahoma" w:hAnsi="Tahoma"/>
          <w:sz w:val="20"/>
        </w:rPr>
        <w:t>Claims and obligations to exercise the Contract arise automatically in the evening clearing session of the day of exercise for "in-the-money" Options, namely:</w:t>
      </w:r>
    </w:p>
    <w:p w14:paraId="2F498630" w14:textId="3A9B22A6" w:rsidR="005104AD" w:rsidRPr="004426A0"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hAnsi="Tahoma"/>
          <w:color w:val="000000"/>
          <w:sz w:val="20"/>
        </w:rPr>
      </w:pPr>
      <w:r w:rsidRPr="004426A0">
        <w:rPr>
          <w:rFonts w:ascii="Tahoma" w:hAnsi="Tahoma"/>
          <w:color w:val="000000"/>
          <w:sz w:val="20"/>
        </w:rPr>
        <w:t>Call Options whose strike price is less than the Index Value determined in accordance with clause 2.2.3 or clause 2.2.4 of this Specification, or</w:t>
      </w:r>
    </w:p>
    <w:p w14:paraId="32ADBB9A" w14:textId="212800D6"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Put Options whose strike price is greater than the Index Value determined in accordance with clause 2.2.3 or clause 2.2.4 of this Specification.</w:t>
      </w:r>
    </w:p>
    <w:p w14:paraId="4E02C675" w14:textId="245060B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2.2.6 of this Specification. </w:t>
      </w:r>
    </w:p>
    <w:p w14:paraId="5B84433B" w14:textId="77777777"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7E51D986" w14:textId="77777777" w:rsidR="004426A0" w:rsidRPr="004426A0" w:rsidRDefault="005104AD" w:rsidP="005104AD">
      <w:pPr>
        <w:pStyle w:val="a1"/>
        <w:numPr>
          <w:ilvl w:val="1"/>
          <w:numId w:val="3"/>
        </w:numPr>
        <w:tabs>
          <w:tab w:val="clear" w:pos="720"/>
          <w:tab w:val="clear" w:pos="1080"/>
          <w:tab w:val="left" w:pos="9000"/>
        </w:tabs>
        <w:autoSpaceDE w:val="0"/>
        <w:autoSpaceDN w:val="0"/>
        <w:spacing w:before="0" w:after="120"/>
        <w:ind w:left="851" w:right="0" w:hanging="425"/>
        <w:rPr>
          <w:rFonts w:ascii="Tahoma" w:hAnsi="Tahoma" w:cs="Tahoma"/>
          <w:szCs w:val="20"/>
        </w:rPr>
      </w:pPr>
      <w:r w:rsidRPr="004426A0">
        <w:rPr>
          <w:rFonts w:ascii="Tahoma" w:hAnsi="Tahoma"/>
        </w:rPr>
        <w:t>Obligations under the Contract are terminated in full upon due performance thereof.</w:t>
      </w:r>
    </w:p>
    <w:p w14:paraId="02BFD4B6" w14:textId="52DCDE88" w:rsidR="005104AD" w:rsidRPr="004426A0" w:rsidRDefault="005104AD" w:rsidP="005104AD">
      <w:pPr>
        <w:pStyle w:val="a1"/>
        <w:numPr>
          <w:ilvl w:val="1"/>
          <w:numId w:val="3"/>
        </w:numPr>
        <w:tabs>
          <w:tab w:val="clear" w:pos="720"/>
          <w:tab w:val="clear" w:pos="1080"/>
          <w:tab w:val="left" w:pos="9000"/>
        </w:tabs>
        <w:autoSpaceDE w:val="0"/>
        <w:autoSpaceDN w:val="0"/>
        <w:spacing w:before="0" w:after="120"/>
        <w:ind w:left="851" w:right="0" w:hanging="425"/>
        <w:rPr>
          <w:rFonts w:ascii="Tahoma" w:hAnsi="Tahoma" w:cs="Tahoma"/>
          <w:szCs w:val="20"/>
        </w:rPr>
      </w:pPr>
      <w:r w:rsidRPr="004426A0">
        <w:rPr>
          <w:rFonts w:ascii="Tahoma" w:hAnsi="Tahoma"/>
        </w:rPr>
        <w:t>The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2B5D4AF0" w14:textId="253C7110" w:rsidR="00C32ADB" w:rsidRPr="00C32ADB" w:rsidRDefault="00C32ADB" w:rsidP="005371EB">
      <w:pPr>
        <w:pStyle w:val="a1"/>
        <w:numPr>
          <w:ilvl w:val="1"/>
          <w:numId w:val="3"/>
        </w:numPr>
        <w:tabs>
          <w:tab w:val="clear" w:pos="1080"/>
          <w:tab w:val="left" w:pos="9000"/>
        </w:tabs>
        <w:autoSpaceDE w:val="0"/>
        <w:autoSpaceDN w:val="0"/>
        <w:ind w:left="851" w:hanging="425"/>
        <w:rPr>
          <w:rFonts w:ascii="Tahoma" w:hAnsi="Tahoma" w:cs="Tahoma"/>
          <w:szCs w:val="20"/>
        </w:rPr>
      </w:pPr>
      <w:r>
        <w:rPr>
          <w:rFonts w:ascii="Tahoma" w:hAnsi="Tahoma"/>
        </w:rPr>
        <w:t>In the event of circumstances that lead to a material change in the terms of performance of the Contract stipulated in the Specification, including in case of suspension/termination of the Contract on MOEX, suspension/termination of calculation of the index being the underlying asset of the Contract, as well as in case the Exchange suspends trading in at least one Stock in the period from the first trading day for the Contract until the Trading Day preceding the last trading day for the Contract inclusive, or at least one Stock is withdrawn from the market (cancelled), and in other cases stipulated in the Trading Rules, the Exchange has the right to:</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lastRenderedPageBreak/>
        <w:t>change the settlement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20FEA12C" w14:textId="1BA51036"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266BB4DF"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52A7618E" w14:textId="142174D4"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t>If the Index which is the underlying asset of the Contract ceases to meet the requirements set by the legislation for the underlying asset of contracts which are derivative financial instruments, the terms and conditions of the obligations under the previously concluded Contracts shall not be changed.</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3010221E" w:rsidR="005104AD"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11DCDADF" w14:textId="77777777" w:rsidR="008E6AF4" w:rsidRDefault="008E6AF4" w:rsidP="001379F0">
      <w:pPr>
        <w:rPr>
          <w:rFonts w:ascii="Tahoma" w:eastAsia="Arial Unicode MS" w:hAnsi="Tahoma" w:cs="Tahoma"/>
          <w:color w:val="000000"/>
          <w:sz w:val="20"/>
          <w:szCs w:val="20"/>
          <w:lang w:eastAsia="ru-RU"/>
        </w:rPr>
        <w:sectPr w:rsidR="008E6AF4">
          <w:headerReference w:type="default" r:id="rId8"/>
          <w:pgSz w:w="11906" w:h="16838"/>
          <w:pgMar w:top="1134" w:right="850" w:bottom="1134" w:left="1701" w:header="708" w:footer="708" w:gutter="0"/>
          <w:cols w:space="708"/>
          <w:docGrid w:linePitch="360"/>
        </w:sectPr>
      </w:pPr>
    </w:p>
    <w:p w14:paraId="4E091C82" w14:textId="77777777" w:rsidR="005371EB" w:rsidRDefault="005371EB" w:rsidP="005371EB">
      <w:pPr>
        <w:ind w:left="10632" w:right="-81"/>
        <w:rPr>
          <w:rFonts w:ascii="Tahoma" w:hAnsi="Tahoma" w:cs="Tahoma"/>
          <w:b/>
          <w:sz w:val="20"/>
          <w:szCs w:val="20"/>
        </w:rPr>
      </w:pPr>
      <w:bookmarkStart w:id="3" w:name="Список_параметров"/>
      <w:bookmarkEnd w:id="3"/>
    </w:p>
    <w:p w14:paraId="406E0ECD" w14:textId="6491F24B" w:rsidR="005371EB" w:rsidRPr="00C375D5" w:rsidRDefault="005371EB" w:rsidP="004426A0">
      <w:pPr>
        <w:spacing w:after="0"/>
        <w:ind w:right="-81"/>
        <w:rPr>
          <w:rFonts w:ascii="Tahoma" w:hAnsi="Tahoma" w:cs="Tahoma"/>
          <w:b/>
          <w:sz w:val="20"/>
          <w:szCs w:val="20"/>
        </w:rPr>
      </w:pPr>
      <w:r>
        <w:rPr>
          <w:rFonts w:ascii="Tahoma" w:hAnsi="Tahoma"/>
          <w:b/>
          <w:sz w:val="20"/>
        </w:rPr>
        <w:t>Appendix 1</w:t>
      </w:r>
    </w:p>
    <w:p w14:paraId="593A99ED" w14:textId="09FE5898" w:rsidR="005371EB" w:rsidRPr="00FF59BA" w:rsidRDefault="005371EB" w:rsidP="004426A0">
      <w:pPr>
        <w:spacing w:after="0"/>
        <w:ind w:right="-81"/>
        <w:rPr>
          <w:rFonts w:ascii="Tahoma" w:hAnsi="Tahoma" w:cs="Tahoma"/>
          <w:b/>
          <w:bCs/>
          <w:strike/>
        </w:rPr>
      </w:pPr>
      <w:r>
        <w:rPr>
          <w:rFonts w:ascii="Tahoma" w:hAnsi="Tahoma"/>
          <w:b/>
          <w:sz w:val="20"/>
        </w:rPr>
        <w:t xml:space="preserve">to the Specification of premium-style options contracts on indices                    </w:t>
      </w:r>
    </w:p>
    <w:p w14:paraId="7783D6B6" w14:textId="77777777" w:rsidR="00E61AC9" w:rsidRPr="004426A0" w:rsidRDefault="00E61AC9" w:rsidP="00E61AC9">
      <w:pPr>
        <w:pStyle w:val="a9"/>
        <w:tabs>
          <w:tab w:val="left" w:pos="4962"/>
        </w:tabs>
        <w:spacing w:after="0"/>
        <w:ind w:left="5940" w:right="96"/>
        <w:rPr>
          <w:rFonts w:ascii="Tahoma" w:hAnsi="Tahoma" w:cs="Tahoma"/>
          <w:sz w:val="22"/>
          <w:szCs w:val="20"/>
          <w:lang w:val="en-US"/>
        </w:rPr>
      </w:pPr>
    </w:p>
    <w:p w14:paraId="17D0F70F" w14:textId="77777777" w:rsidR="00E61AC9" w:rsidRDefault="00E61AC9" w:rsidP="00E61AC9">
      <w:pPr>
        <w:pStyle w:val="a9"/>
        <w:tabs>
          <w:tab w:val="left" w:pos="4962"/>
        </w:tabs>
        <w:spacing w:after="0"/>
        <w:ind w:left="5387" w:right="27"/>
        <w:rPr>
          <w:rFonts w:ascii="Tahoma" w:hAnsi="Tahoma" w:cs="Tahoma"/>
          <w:sz w:val="22"/>
          <w:szCs w:val="20"/>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
    <w:p w14:paraId="46A2C680" w14:textId="4E978B55" w:rsidR="00E61AC9" w:rsidRDefault="00E61AC9" w:rsidP="00E61AC9">
      <w:pPr>
        <w:pStyle w:val="ac"/>
        <w:keepNext/>
        <w:widowControl w:val="0"/>
        <w:spacing w:after="0"/>
        <w:ind w:right="11"/>
        <w:jc w:val="center"/>
        <w:rPr>
          <w:rFonts w:ascii="Tahoma" w:hAnsi="Tahoma" w:cs="Tahoma"/>
          <w:b/>
          <w:bCs/>
          <w:sz w:val="22"/>
          <w:szCs w:val="22"/>
        </w:rPr>
      </w:pPr>
    </w:p>
    <w:p w14:paraId="26C90922" w14:textId="09701B3F" w:rsidR="005371EB" w:rsidRDefault="005371EB" w:rsidP="00E61AC9">
      <w:pPr>
        <w:pStyle w:val="ac"/>
        <w:keepNext/>
        <w:widowControl w:val="0"/>
        <w:spacing w:after="0"/>
        <w:ind w:right="11"/>
        <w:jc w:val="center"/>
        <w:rPr>
          <w:rFonts w:ascii="Tahoma" w:hAnsi="Tahoma" w:cs="Tahoma"/>
          <w:b/>
          <w:bCs/>
          <w:sz w:val="22"/>
          <w:szCs w:val="22"/>
        </w:rPr>
      </w:pPr>
    </w:p>
    <w:p w14:paraId="2CD1F4B6" w14:textId="77777777" w:rsidR="005371EB" w:rsidRDefault="005371EB" w:rsidP="00E61AC9">
      <w:pPr>
        <w:pStyle w:val="ac"/>
        <w:keepNext/>
        <w:widowControl w:val="0"/>
        <w:spacing w:after="0"/>
        <w:ind w:right="11"/>
        <w:jc w:val="center"/>
        <w:rPr>
          <w:rFonts w:ascii="Tahoma" w:hAnsi="Tahoma" w:cs="Tahoma"/>
          <w:b/>
          <w:bCs/>
          <w:sz w:val="22"/>
          <w:szCs w:val="22"/>
        </w:rPr>
      </w:pPr>
    </w:p>
    <w:p w14:paraId="6DA60459" w14:textId="77777777" w:rsidR="00E61AC9" w:rsidRPr="002A6513" w:rsidRDefault="00E61AC9" w:rsidP="00E61AC9">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FOR THE OPTIONS  </w:t>
      </w:r>
    </w:p>
    <w:p w14:paraId="1501C119" w14:textId="77777777" w:rsidR="00E61AC9" w:rsidRPr="00125F2A" w:rsidRDefault="00E61AC9" w:rsidP="00E61AC9">
      <w:pPr>
        <w:pStyle w:val="ac"/>
        <w:keepNext/>
        <w:widowControl w:val="0"/>
        <w:spacing w:after="0"/>
        <w:ind w:right="11"/>
        <w:jc w:val="center"/>
        <w:rPr>
          <w:rFonts w:ascii="Tahoma" w:hAnsi="Tahoma" w:cs="Tahoma"/>
          <w:b/>
          <w:bCs/>
          <w:sz w:val="22"/>
          <w:szCs w:val="22"/>
        </w:rPr>
      </w:pPr>
      <w:r>
        <w:rPr>
          <w:rFonts w:ascii="Tahoma" w:hAnsi="Tahoma"/>
          <w:b/>
          <w:sz w:val="22"/>
        </w:rPr>
        <w:t>on indices</w:t>
      </w:r>
    </w:p>
    <w:p w14:paraId="7F598BCF" w14:textId="77777777" w:rsidR="00E61AC9" w:rsidRPr="00C84C13" w:rsidRDefault="00E61AC9" w:rsidP="00E61AC9">
      <w:pPr>
        <w:pStyle w:val="ac"/>
        <w:keepNext/>
        <w:widowControl w:val="0"/>
        <w:spacing w:after="0"/>
        <w:ind w:right="11"/>
        <w:jc w:val="center"/>
        <w:rPr>
          <w:rFonts w:ascii="Tahoma" w:hAnsi="Tahoma" w:cs="Tahoma"/>
          <w:b/>
          <w:bCs/>
          <w:sz w:val="22"/>
          <w:szCs w:val="22"/>
        </w:rPr>
      </w:pPr>
    </w:p>
    <w:tbl>
      <w:tblPr>
        <w:tblStyle w:val="afa"/>
        <w:tblpPr w:leftFromText="180" w:rightFromText="180" w:vertAnchor="text" w:tblpX="-431" w:tblpY="1"/>
        <w:tblOverlap w:val="never"/>
        <w:tblW w:w="15729" w:type="dxa"/>
        <w:tblLayout w:type="fixed"/>
        <w:tblLook w:val="04A0" w:firstRow="1" w:lastRow="0" w:firstColumn="1" w:lastColumn="0" w:noHBand="0" w:noVBand="1"/>
      </w:tblPr>
      <w:tblGrid>
        <w:gridCol w:w="659"/>
        <w:gridCol w:w="3447"/>
        <w:gridCol w:w="2835"/>
        <w:gridCol w:w="1843"/>
        <w:gridCol w:w="1984"/>
        <w:gridCol w:w="2410"/>
        <w:gridCol w:w="2551"/>
      </w:tblGrid>
      <w:tr w:rsidR="00E61AC9" w:rsidRPr="00CD2745" w14:paraId="0E10D378" w14:textId="77777777" w:rsidTr="006D0653">
        <w:trPr>
          <w:trHeight w:val="720"/>
        </w:trPr>
        <w:tc>
          <w:tcPr>
            <w:tcW w:w="659" w:type="dxa"/>
            <w:vAlign w:val="center"/>
          </w:tcPr>
          <w:p w14:paraId="29557917" w14:textId="77777777" w:rsidR="00E61AC9" w:rsidRPr="004F5DA5" w:rsidRDefault="00E61AC9" w:rsidP="006D0653">
            <w:pPr>
              <w:jc w:val="center"/>
              <w:rPr>
                <w:rFonts w:ascii="Tahoma" w:hAnsi="Tahoma" w:cs="Tahoma"/>
                <w:b/>
              </w:rPr>
            </w:pPr>
            <w:r>
              <w:rPr>
                <w:rFonts w:ascii="Tahoma" w:hAnsi="Tahoma"/>
                <w:b/>
              </w:rPr>
              <w:t>No.</w:t>
            </w:r>
          </w:p>
        </w:tc>
        <w:tc>
          <w:tcPr>
            <w:tcW w:w="3447" w:type="dxa"/>
            <w:vAlign w:val="center"/>
          </w:tcPr>
          <w:p w14:paraId="4F13289E" w14:textId="77777777" w:rsidR="00E61AC9" w:rsidRPr="004F5DA5" w:rsidRDefault="00E61AC9" w:rsidP="006D0653">
            <w:pPr>
              <w:jc w:val="center"/>
              <w:rPr>
                <w:rFonts w:ascii="Tahoma" w:hAnsi="Tahoma" w:cs="Tahoma"/>
                <w:b/>
              </w:rPr>
            </w:pPr>
            <w:r>
              <w:rPr>
                <w:rFonts w:ascii="Tahoma" w:hAnsi="Tahoma"/>
                <w:b/>
              </w:rPr>
              <w:t>Name of contract</w:t>
            </w:r>
          </w:p>
        </w:tc>
        <w:tc>
          <w:tcPr>
            <w:tcW w:w="2835" w:type="dxa"/>
            <w:vAlign w:val="center"/>
          </w:tcPr>
          <w:p w14:paraId="2D0A1742" w14:textId="77777777" w:rsidR="00E61AC9" w:rsidRPr="004F5DA5" w:rsidRDefault="00E61AC9" w:rsidP="006D0653">
            <w:pPr>
              <w:jc w:val="center"/>
              <w:rPr>
                <w:rFonts w:ascii="Tahoma" w:hAnsi="Tahoma" w:cs="Tahoma"/>
                <w:b/>
              </w:rPr>
            </w:pPr>
            <w:r>
              <w:rPr>
                <w:rFonts w:ascii="Tahoma" w:hAnsi="Tahoma"/>
                <w:b/>
              </w:rPr>
              <w:t>Underlying asset</w:t>
            </w:r>
          </w:p>
        </w:tc>
        <w:tc>
          <w:tcPr>
            <w:tcW w:w="1843" w:type="dxa"/>
            <w:vAlign w:val="center"/>
          </w:tcPr>
          <w:p w14:paraId="772AFAFE" w14:textId="77777777" w:rsidR="00E61AC9" w:rsidRPr="004F5DA5" w:rsidRDefault="00E61AC9" w:rsidP="006D0653">
            <w:pPr>
              <w:jc w:val="center"/>
              <w:rPr>
                <w:rFonts w:ascii="Tahoma" w:hAnsi="Tahoma" w:cs="Tahoma"/>
                <w:b/>
              </w:rPr>
            </w:pPr>
            <w:r>
              <w:rPr>
                <w:rFonts w:ascii="Tahoma" w:hAnsi="Tahoma"/>
                <w:b/>
              </w:rPr>
              <w:t>Code of the underlying asset</w:t>
            </w:r>
          </w:p>
        </w:tc>
        <w:tc>
          <w:tcPr>
            <w:tcW w:w="1984" w:type="dxa"/>
            <w:vAlign w:val="center"/>
          </w:tcPr>
          <w:p w14:paraId="46EBCF12" w14:textId="77777777" w:rsidR="00E61AC9" w:rsidRDefault="00E61AC9" w:rsidP="006D0653">
            <w:pPr>
              <w:jc w:val="center"/>
              <w:rPr>
                <w:rFonts w:ascii="Tahoma" w:hAnsi="Tahoma" w:cs="Tahoma"/>
                <w:b/>
              </w:rPr>
            </w:pPr>
            <w:r>
              <w:rPr>
                <w:rFonts w:ascii="Tahoma" w:hAnsi="Tahoma"/>
                <w:b/>
              </w:rPr>
              <w:t>Contract lot</w:t>
            </w:r>
          </w:p>
        </w:tc>
        <w:tc>
          <w:tcPr>
            <w:tcW w:w="2410" w:type="dxa"/>
            <w:vAlign w:val="center"/>
          </w:tcPr>
          <w:p w14:paraId="5F73B57C" w14:textId="77777777" w:rsidR="00E61AC9" w:rsidRPr="004F5DA5" w:rsidRDefault="00E61AC9" w:rsidP="006D0653">
            <w:pPr>
              <w:jc w:val="center"/>
              <w:rPr>
                <w:rFonts w:ascii="Tahoma" w:hAnsi="Tahoma" w:cs="Tahoma"/>
                <w:b/>
              </w:rPr>
            </w:pPr>
            <w:r>
              <w:rPr>
                <w:rFonts w:ascii="Tahoma" w:hAnsi="Tahoma"/>
                <w:b/>
              </w:rPr>
              <w:t>Tick</w:t>
            </w:r>
          </w:p>
        </w:tc>
        <w:tc>
          <w:tcPr>
            <w:tcW w:w="2551" w:type="dxa"/>
            <w:vAlign w:val="center"/>
          </w:tcPr>
          <w:p w14:paraId="75064EFA" w14:textId="77777777" w:rsidR="00E61AC9" w:rsidRPr="004F5DA5" w:rsidRDefault="00E61AC9" w:rsidP="006D0653">
            <w:pPr>
              <w:jc w:val="center"/>
              <w:rPr>
                <w:rFonts w:ascii="Tahoma" w:hAnsi="Tahoma" w:cs="Tahoma"/>
                <w:b/>
              </w:rPr>
            </w:pPr>
            <w:r>
              <w:rPr>
                <w:rFonts w:ascii="Tahoma" w:hAnsi="Tahoma"/>
                <w:b/>
              </w:rPr>
              <w:t>Tick value</w:t>
            </w:r>
          </w:p>
        </w:tc>
      </w:tr>
      <w:tr w:rsidR="00E61AC9" w:rsidRPr="00CD2745" w14:paraId="1E0DB45B" w14:textId="77777777" w:rsidTr="006D0653">
        <w:trPr>
          <w:trHeight w:val="225"/>
        </w:trPr>
        <w:tc>
          <w:tcPr>
            <w:tcW w:w="659" w:type="dxa"/>
            <w:vAlign w:val="center"/>
          </w:tcPr>
          <w:p w14:paraId="1403974B" w14:textId="77777777" w:rsidR="00E61AC9" w:rsidRPr="004F5DA5" w:rsidRDefault="00E61AC9" w:rsidP="00E61AC9">
            <w:pPr>
              <w:pStyle w:val="ae"/>
              <w:numPr>
                <w:ilvl w:val="0"/>
                <w:numId w:val="9"/>
              </w:numPr>
              <w:contextualSpacing w:val="0"/>
              <w:jc w:val="center"/>
              <w:rPr>
                <w:rFonts w:ascii="Tahoma" w:hAnsi="Tahoma" w:cs="Tahoma"/>
              </w:rPr>
            </w:pPr>
          </w:p>
        </w:tc>
        <w:tc>
          <w:tcPr>
            <w:tcW w:w="3447" w:type="dxa"/>
            <w:vAlign w:val="center"/>
          </w:tcPr>
          <w:p w14:paraId="68CFC760" w14:textId="77777777" w:rsidR="00E61AC9" w:rsidRPr="0092365E" w:rsidRDefault="00E61AC9" w:rsidP="006D0653">
            <w:pPr>
              <w:jc w:val="center"/>
              <w:rPr>
                <w:rFonts w:ascii="Tahoma" w:hAnsi="Tahoma" w:cs="Tahoma"/>
              </w:rPr>
            </w:pPr>
            <w:r>
              <w:rPr>
                <w:rFonts w:ascii="Tahoma" w:hAnsi="Tahoma"/>
              </w:rPr>
              <w:t>MOEX Russia Index Option</w:t>
            </w:r>
          </w:p>
        </w:tc>
        <w:tc>
          <w:tcPr>
            <w:tcW w:w="2835" w:type="dxa"/>
            <w:vAlign w:val="center"/>
          </w:tcPr>
          <w:p w14:paraId="06209162" w14:textId="77777777" w:rsidR="00E61AC9" w:rsidRPr="0092365E" w:rsidRDefault="00E61AC9" w:rsidP="006D0653">
            <w:pPr>
              <w:jc w:val="center"/>
              <w:rPr>
                <w:rFonts w:ascii="Tahoma" w:hAnsi="Tahoma" w:cs="Tahoma"/>
              </w:rPr>
            </w:pPr>
            <w:r>
              <w:rPr>
                <w:rFonts w:ascii="Tahoma" w:hAnsi="Tahoma"/>
              </w:rPr>
              <w:t>MOEX Russia Index</w:t>
            </w:r>
          </w:p>
        </w:tc>
        <w:tc>
          <w:tcPr>
            <w:tcW w:w="1843" w:type="dxa"/>
            <w:vAlign w:val="center"/>
          </w:tcPr>
          <w:p w14:paraId="2A761879" w14:textId="74406A55" w:rsidR="00E61AC9" w:rsidRPr="0092365E" w:rsidRDefault="00D316EE" w:rsidP="006D0653">
            <w:pPr>
              <w:tabs>
                <w:tab w:val="num" w:pos="1260"/>
              </w:tabs>
              <w:ind w:left="1260" w:hanging="1226"/>
              <w:jc w:val="center"/>
              <w:rPr>
                <w:rFonts w:ascii="Tahoma" w:hAnsi="Tahoma" w:cs="Tahoma"/>
              </w:rPr>
            </w:pPr>
            <w:r>
              <w:rPr>
                <w:rFonts w:ascii="Tahoma" w:hAnsi="Tahoma"/>
              </w:rPr>
              <w:t>IMOEX</w:t>
            </w:r>
          </w:p>
        </w:tc>
        <w:tc>
          <w:tcPr>
            <w:tcW w:w="1984" w:type="dxa"/>
            <w:vAlign w:val="center"/>
          </w:tcPr>
          <w:p w14:paraId="0F959275" w14:textId="77777777" w:rsidR="00E61AC9" w:rsidRDefault="00E61AC9" w:rsidP="006D0653">
            <w:pPr>
              <w:jc w:val="center"/>
              <w:rPr>
                <w:rFonts w:ascii="Tahoma" w:hAnsi="Tahoma" w:cs="Tahoma"/>
              </w:rPr>
            </w:pPr>
            <w:r>
              <w:rPr>
                <w:rFonts w:ascii="Tahoma" w:hAnsi="Tahoma"/>
              </w:rPr>
              <w:t>1</w:t>
            </w:r>
          </w:p>
        </w:tc>
        <w:tc>
          <w:tcPr>
            <w:tcW w:w="2410" w:type="dxa"/>
            <w:vAlign w:val="center"/>
          </w:tcPr>
          <w:p w14:paraId="78204454" w14:textId="77777777" w:rsidR="00E61AC9" w:rsidRPr="0092365E" w:rsidRDefault="00E61AC9" w:rsidP="006D0653">
            <w:pPr>
              <w:jc w:val="center"/>
              <w:rPr>
                <w:rFonts w:ascii="Tahoma" w:hAnsi="Tahoma" w:cs="Tahoma"/>
              </w:rPr>
            </w:pPr>
            <w:r>
              <w:rPr>
                <w:rFonts w:ascii="Tahoma" w:hAnsi="Tahoma"/>
              </w:rPr>
              <w:t>RUB 0.01</w:t>
            </w:r>
          </w:p>
        </w:tc>
        <w:tc>
          <w:tcPr>
            <w:tcW w:w="2551" w:type="dxa"/>
            <w:vAlign w:val="center"/>
          </w:tcPr>
          <w:p w14:paraId="08EA42B4" w14:textId="77777777" w:rsidR="00E61AC9" w:rsidRPr="0092365E" w:rsidRDefault="00E61AC9" w:rsidP="006D0653">
            <w:pPr>
              <w:jc w:val="center"/>
              <w:rPr>
                <w:rFonts w:ascii="Tahoma" w:hAnsi="Tahoma" w:cs="Tahoma"/>
              </w:rPr>
            </w:pPr>
            <w:r>
              <w:rPr>
                <w:rFonts w:ascii="Tahoma" w:hAnsi="Tahoma"/>
              </w:rPr>
              <w:t>RUB 0.01</w:t>
            </w:r>
          </w:p>
        </w:tc>
      </w:tr>
    </w:tbl>
    <w:p w14:paraId="0ECCCD0C" w14:textId="77777777" w:rsidR="00E61AC9" w:rsidRPr="00DE3878" w:rsidRDefault="00E61AC9" w:rsidP="00E61AC9">
      <w:pPr>
        <w:jc w:val="both"/>
        <w:rPr>
          <w:rFonts w:ascii="Tahoma" w:hAnsi="Tahoma" w:cs="Tahoma"/>
        </w:rPr>
      </w:pPr>
    </w:p>
    <w:p w14:paraId="61E2EB7F" w14:textId="77777777" w:rsidR="00E61AC9" w:rsidRPr="00CD2745" w:rsidRDefault="00E61AC9" w:rsidP="00E61AC9">
      <w:pPr>
        <w:jc w:val="both"/>
        <w:rPr>
          <w:rFonts w:ascii="Tahoma" w:hAnsi="Tahoma" w:cs="Tahoma"/>
        </w:rPr>
      </w:pPr>
    </w:p>
    <w:p w14:paraId="3C73428B" w14:textId="4EAB049D" w:rsidR="004B120C" w:rsidRPr="001379F0" w:rsidRDefault="004B120C" w:rsidP="00AF40B8">
      <w:pPr>
        <w:rPr>
          <w:rFonts w:ascii="Tahoma" w:hAnsi="Tahoma" w:cs="Tahoma"/>
        </w:rPr>
      </w:pPr>
    </w:p>
    <w:sectPr w:rsidR="004B120C" w:rsidRPr="001379F0" w:rsidSect="00FF1BA9">
      <w:headerReference w:type="default" r:id="rId9"/>
      <w:footerReference w:type="even" r:id="rId10"/>
      <w:footerReference w:type="default" r:id="rId1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302F" w14:textId="77777777" w:rsidR="00556F0D" w:rsidRDefault="00556F0D">
      <w:pPr>
        <w:spacing w:after="0" w:line="240" w:lineRule="auto"/>
      </w:pPr>
      <w:r>
        <w:separator/>
      </w:r>
    </w:p>
  </w:endnote>
  <w:endnote w:type="continuationSeparator" w:id="0">
    <w:p w14:paraId="42B317F0" w14:textId="77777777" w:rsidR="00556F0D" w:rsidRDefault="0055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3AF" w14:textId="77777777" w:rsidR="00954AE2" w:rsidRDefault="009D0CBD" w:rsidP="00C02874">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6A9CFE0" w14:textId="77777777" w:rsidR="00954AE2" w:rsidRDefault="00944FC1" w:rsidP="00C0287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6D6F" w14:textId="77777777" w:rsidR="00954AE2" w:rsidRPr="00292051" w:rsidRDefault="009D0CBD" w:rsidP="00C02874">
    <w:pPr>
      <w:pStyle w:val="af"/>
      <w:framePr w:wrap="around" w:vAnchor="text" w:hAnchor="margin" w:xAlign="right" w:y="1"/>
      <w:rPr>
        <w:rStyle w:val="af9"/>
        <w:rFonts w:ascii="Arial" w:hAnsi="Arial" w:cs="Arial"/>
        <w:sz w:val="20"/>
        <w:szCs w:val="20"/>
      </w:rPr>
    </w:pPr>
    <w:r w:rsidRPr="00292051">
      <w:rPr>
        <w:rStyle w:val="af9"/>
        <w:rFonts w:ascii="Arial" w:hAnsi="Arial" w:cs="Arial"/>
        <w:sz w:val="20"/>
      </w:rPr>
      <w:fldChar w:fldCharType="begin"/>
    </w:r>
    <w:r w:rsidRPr="00292051">
      <w:rPr>
        <w:rStyle w:val="af9"/>
        <w:rFonts w:ascii="Arial" w:hAnsi="Arial" w:cs="Arial"/>
        <w:sz w:val="20"/>
      </w:rPr>
      <w:instrText xml:space="preserve">PAGE  </w:instrText>
    </w:r>
    <w:r w:rsidRPr="00292051">
      <w:rPr>
        <w:rStyle w:val="af9"/>
        <w:rFonts w:ascii="Arial" w:hAnsi="Arial" w:cs="Arial"/>
        <w:sz w:val="20"/>
      </w:rPr>
      <w:fldChar w:fldCharType="separate"/>
    </w:r>
    <w:r>
      <w:rPr>
        <w:rStyle w:val="af9"/>
        <w:rFonts w:ascii="Arial" w:hAnsi="Arial" w:cs="Arial"/>
        <w:sz w:val="20"/>
      </w:rPr>
      <w:t>4</w:t>
    </w:r>
    <w:r w:rsidRPr="00292051">
      <w:rPr>
        <w:rStyle w:val="af9"/>
        <w:rFonts w:ascii="Arial" w:hAnsi="Arial" w:cs="Arial"/>
        <w:sz w:val="20"/>
      </w:rPr>
      <w:fldChar w:fldCharType="end"/>
    </w:r>
  </w:p>
  <w:p w14:paraId="730B050D" w14:textId="77777777" w:rsidR="00954AE2" w:rsidRDefault="00944FC1" w:rsidP="00C02874">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B9BA" w14:textId="77777777" w:rsidR="00556F0D" w:rsidRDefault="00556F0D">
      <w:pPr>
        <w:spacing w:after="0" w:line="240" w:lineRule="auto"/>
      </w:pPr>
      <w:r>
        <w:separator/>
      </w:r>
    </w:p>
  </w:footnote>
  <w:footnote w:type="continuationSeparator" w:id="0">
    <w:p w14:paraId="2122A995" w14:textId="77777777" w:rsidR="00556F0D" w:rsidRDefault="00556F0D">
      <w:pPr>
        <w:spacing w:after="0" w:line="240" w:lineRule="auto"/>
      </w:pPr>
      <w:r>
        <w:continuationSeparator/>
      </w:r>
    </w:p>
  </w:footnote>
  <w:footnote w:id="1">
    <w:p w14:paraId="21796FC8" w14:textId="61A11EED" w:rsidR="007B0510" w:rsidRPr="007B0510" w:rsidRDefault="007B0510">
      <w:pPr>
        <w:pStyle w:val="afd"/>
        <w:rPr>
          <w:lang w:val="en-US"/>
        </w:rPr>
      </w:pPr>
      <w:r>
        <w:rPr>
          <w:rStyle w:val="aff"/>
        </w:rPr>
        <w:footnoteRef/>
      </w:r>
      <w:r>
        <w:t xml:space="preserve"> </w:t>
      </w:r>
      <w:r w:rsidRPr="007B0510">
        <w:t>The calculation period does not include the value of the Moscow Exchange Index at 15:00 Moscow time.</w:t>
      </w:r>
    </w:p>
  </w:footnote>
  <w:footnote w:id="2">
    <w:p w14:paraId="4D84F353" w14:textId="6E0B1235" w:rsidR="007B0510" w:rsidRPr="007B0510" w:rsidRDefault="007B0510">
      <w:pPr>
        <w:pStyle w:val="afd"/>
        <w:rPr>
          <w:lang w:val="en-US"/>
        </w:rPr>
      </w:pPr>
      <w:r>
        <w:rPr>
          <w:rStyle w:val="aff"/>
        </w:rPr>
        <w:footnoteRef/>
      </w:r>
      <w:r>
        <w:t xml:space="preserve"> </w:t>
      </w:r>
      <w:r w:rsidRPr="007B0510">
        <w:t>The estimated time does not include the value of the Moscow Exchange Index at 12:00 Moscow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349" w14:textId="7E1D9A19" w:rsidR="00A447D6" w:rsidRPr="0035076F" w:rsidRDefault="001C04D6" w:rsidP="00A447D6">
    <w:pPr>
      <w:pStyle w:val="a7"/>
      <w:pBdr>
        <w:bottom w:val="single" w:sz="4" w:space="10" w:color="auto"/>
      </w:pBdr>
      <w:jc w:val="right"/>
      <w:rPr>
        <w:b/>
        <w:bCs/>
        <w:color w:val="000000" w:themeColor="text1"/>
      </w:rPr>
    </w:pPr>
    <w:r>
      <w:rPr>
        <w:b/>
        <w:color w:val="000000" w:themeColor="text1"/>
      </w:rPr>
      <w:t>Specification of premium-style options contracts on indices</w:t>
    </w:r>
  </w:p>
  <w:p w14:paraId="4879B960" w14:textId="77777777" w:rsidR="0035076F" w:rsidRDefault="00944FC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526F" w14:textId="77777777" w:rsidR="00E22425" w:rsidRDefault="009D0CBD" w:rsidP="00EB4167">
    <w:pPr>
      <w:pStyle w:val="af8"/>
      <w:spacing w:before="0"/>
      <w:ind w:left="0" w:right="0"/>
      <w:rPr>
        <w:rFonts w:ascii="Tahoma" w:hAnsi="Tahoma" w:cs="Tahoma"/>
        <w:b/>
        <w:sz w:val="22"/>
      </w:rPr>
    </w:pPr>
    <w:r>
      <w:rPr>
        <w:rFonts w:ascii="Tahoma" w:hAnsi="Tahoma"/>
        <w:b/>
        <w:sz w:val="22"/>
      </w:rPr>
      <w:t>Parameters of index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0599D"/>
    <w:rsid w:val="000516D2"/>
    <w:rsid w:val="001379F0"/>
    <w:rsid w:val="00152643"/>
    <w:rsid w:val="001C04D6"/>
    <w:rsid w:val="00246C91"/>
    <w:rsid w:val="0025176B"/>
    <w:rsid w:val="002A5EDE"/>
    <w:rsid w:val="003579FB"/>
    <w:rsid w:val="00391735"/>
    <w:rsid w:val="003955BC"/>
    <w:rsid w:val="003F665D"/>
    <w:rsid w:val="00407BC7"/>
    <w:rsid w:val="00417ED6"/>
    <w:rsid w:val="004426A0"/>
    <w:rsid w:val="00481913"/>
    <w:rsid w:val="00487B8C"/>
    <w:rsid w:val="004B120C"/>
    <w:rsid w:val="004C3080"/>
    <w:rsid w:val="004E1740"/>
    <w:rsid w:val="005104AD"/>
    <w:rsid w:val="00520174"/>
    <w:rsid w:val="00531DA0"/>
    <w:rsid w:val="005371EB"/>
    <w:rsid w:val="0054256A"/>
    <w:rsid w:val="0055441E"/>
    <w:rsid w:val="00556F0D"/>
    <w:rsid w:val="00574A12"/>
    <w:rsid w:val="00656A58"/>
    <w:rsid w:val="006962F1"/>
    <w:rsid w:val="006C0716"/>
    <w:rsid w:val="006E5249"/>
    <w:rsid w:val="00734899"/>
    <w:rsid w:val="00793D2D"/>
    <w:rsid w:val="007A32C8"/>
    <w:rsid w:val="007A4DEF"/>
    <w:rsid w:val="007B0510"/>
    <w:rsid w:val="007F6EA9"/>
    <w:rsid w:val="00811EFB"/>
    <w:rsid w:val="0082083D"/>
    <w:rsid w:val="00873651"/>
    <w:rsid w:val="00883A91"/>
    <w:rsid w:val="00885C31"/>
    <w:rsid w:val="008A5876"/>
    <w:rsid w:val="008D5BBD"/>
    <w:rsid w:val="008E40DC"/>
    <w:rsid w:val="008E6AF4"/>
    <w:rsid w:val="00930AD8"/>
    <w:rsid w:val="00932D14"/>
    <w:rsid w:val="00944FC1"/>
    <w:rsid w:val="00945236"/>
    <w:rsid w:val="009613B9"/>
    <w:rsid w:val="00964DFA"/>
    <w:rsid w:val="009C216C"/>
    <w:rsid w:val="009C557E"/>
    <w:rsid w:val="009D0CBD"/>
    <w:rsid w:val="009D3488"/>
    <w:rsid w:val="009F7D79"/>
    <w:rsid w:val="00A242AE"/>
    <w:rsid w:val="00A34DCC"/>
    <w:rsid w:val="00A447D6"/>
    <w:rsid w:val="00A50B9D"/>
    <w:rsid w:val="00AF2AE1"/>
    <w:rsid w:val="00AF40B8"/>
    <w:rsid w:val="00B7672C"/>
    <w:rsid w:val="00C03FE2"/>
    <w:rsid w:val="00C1563E"/>
    <w:rsid w:val="00C32ADB"/>
    <w:rsid w:val="00D313D7"/>
    <w:rsid w:val="00D316EE"/>
    <w:rsid w:val="00D931D0"/>
    <w:rsid w:val="00DE5993"/>
    <w:rsid w:val="00DF17F7"/>
    <w:rsid w:val="00E24E90"/>
    <w:rsid w:val="00E61AC9"/>
    <w:rsid w:val="00E7681A"/>
    <w:rsid w:val="00E83E3B"/>
    <w:rsid w:val="00EC2582"/>
    <w:rsid w:val="00F436B8"/>
    <w:rsid w:val="00FB0116"/>
    <w:rsid w:val="00FB1134"/>
    <w:rsid w:val="00FD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nhideWhenUsed/>
    <w:rsid w:val="00246C91"/>
    <w:pPr>
      <w:tabs>
        <w:tab w:val="center" w:pos="4677"/>
        <w:tab w:val="right" w:pos="9355"/>
      </w:tabs>
      <w:spacing w:after="0" w:line="240" w:lineRule="auto"/>
    </w:pPr>
  </w:style>
  <w:style w:type="character" w:customStyle="1" w:styleId="af0">
    <w:name w:val="Нижний колонтитул Знак"/>
    <w:basedOn w:val="a4"/>
    <w:link w:val="af"/>
    <w:rsid w:val="00246C91"/>
  </w:style>
  <w:style w:type="character" w:styleId="af1">
    <w:name w:val="annotation reference"/>
    <w:basedOn w:val="a4"/>
    <w:uiPriority w:val="99"/>
    <w:semiHidden/>
    <w:unhideWhenUsed/>
    <w:rsid w:val="00246C91"/>
    <w:rPr>
      <w:sz w:val="16"/>
      <w:szCs w:val="16"/>
    </w:rPr>
  </w:style>
  <w:style w:type="paragraph" w:styleId="af2">
    <w:name w:val="annotation text"/>
    <w:basedOn w:val="a3"/>
    <w:link w:val="af3"/>
    <w:uiPriority w:val="99"/>
    <w:semiHidden/>
    <w:unhideWhenUsed/>
    <w:rsid w:val="00246C91"/>
    <w:pPr>
      <w:spacing w:line="240" w:lineRule="auto"/>
    </w:pPr>
    <w:rPr>
      <w:sz w:val="20"/>
      <w:szCs w:val="20"/>
    </w:rPr>
  </w:style>
  <w:style w:type="character" w:customStyle="1" w:styleId="af3">
    <w:name w:val="Текст примечания Знак"/>
    <w:basedOn w:val="a4"/>
    <w:link w:val="af2"/>
    <w:uiPriority w:val="99"/>
    <w:semiHidden/>
    <w:rsid w:val="00246C91"/>
    <w:rPr>
      <w:sz w:val="20"/>
      <w:szCs w:val="20"/>
    </w:rPr>
  </w:style>
  <w:style w:type="paragraph" w:styleId="af4">
    <w:name w:val="annotation subject"/>
    <w:basedOn w:val="af2"/>
    <w:next w:val="af2"/>
    <w:link w:val="af5"/>
    <w:uiPriority w:val="99"/>
    <w:semiHidden/>
    <w:unhideWhenUsed/>
    <w:rsid w:val="00246C91"/>
    <w:rPr>
      <w:b/>
      <w:bCs/>
    </w:rPr>
  </w:style>
  <w:style w:type="character" w:customStyle="1" w:styleId="af5">
    <w:name w:val="Тема примечания Знак"/>
    <w:basedOn w:val="af3"/>
    <w:link w:val="af4"/>
    <w:uiPriority w:val="99"/>
    <w:semiHidden/>
    <w:rsid w:val="00246C91"/>
    <w:rPr>
      <w:b/>
      <w:bCs/>
      <w:sz w:val="20"/>
      <w:szCs w:val="20"/>
    </w:rPr>
  </w:style>
  <w:style w:type="paragraph" w:styleId="af6">
    <w:name w:val="Balloon Text"/>
    <w:basedOn w:val="a3"/>
    <w:link w:val="af7"/>
    <w:uiPriority w:val="99"/>
    <w:semiHidden/>
    <w:unhideWhenUsed/>
    <w:rsid w:val="00DE5993"/>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DE5993"/>
    <w:rPr>
      <w:rFonts w:ascii="Segoe UI" w:hAnsi="Segoe UI" w:cs="Segoe UI"/>
      <w:sz w:val="18"/>
      <w:szCs w:val="18"/>
    </w:rPr>
  </w:style>
  <w:style w:type="paragraph" w:customStyle="1" w:styleId="af8">
    <w:name w:val="Текст таб"/>
    <w:basedOn w:val="a3"/>
    <w:rsid w:val="00E61AC9"/>
    <w:pPr>
      <w:tabs>
        <w:tab w:val="left" w:pos="9000"/>
      </w:tabs>
      <w:autoSpaceDE w:val="0"/>
      <w:autoSpaceDN w:val="0"/>
      <w:spacing w:before="60" w:after="0" w:line="240" w:lineRule="auto"/>
      <w:ind w:left="851" w:right="58"/>
      <w:jc w:val="both"/>
    </w:pPr>
    <w:rPr>
      <w:rFonts w:ascii="Arial" w:eastAsia="Times New Roman" w:hAnsi="Arial" w:cs="Arial"/>
      <w:sz w:val="20"/>
      <w:szCs w:val="20"/>
      <w:lang w:eastAsia="ru-RU"/>
    </w:rPr>
  </w:style>
  <w:style w:type="character" w:styleId="af9">
    <w:name w:val="page number"/>
    <w:basedOn w:val="a4"/>
    <w:rsid w:val="00E61AC9"/>
  </w:style>
  <w:style w:type="table" w:styleId="afa">
    <w:name w:val="Table Grid"/>
    <w:basedOn w:val="a5"/>
    <w:rsid w:val="00E61AC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4"/>
    <w:uiPriority w:val="99"/>
    <w:unhideWhenUsed/>
    <w:rsid w:val="008A5876"/>
    <w:rPr>
      <w:color w:val="0563C1" w:themeColor="hyperlink"/>
      <w:u w:val="single"/>
    </w:rPr>
  </w:style>
  <w:style w:type="character" w:styleId="afc">
    <w:name w:val="Unresolved Mention"/>
    <w:basedOn w:val="a4"/>
    <w:uiPriority w:val="99"/>
    <w:semiHidden/>
    <w:unhideWhenUsed/>
    <w:rsid w:val="008A5876"/>
    <w:rPr>
      <w:color w:val="605E5C"/>
      <w:shd w:val="clear" w:color="auto" w:fill="E1DFDD"/>
    </w:rPr>
  </w:style>
  <w:style w:type="paragraph" w:styleId="afd">
    <w:name w:val="footnote text"/>
    <w:basedOn w:val="a3"/>
    <w:link w:val="afe"/>
    <w:uiPriority w:val="99"/>
    <w:semiHidden/>
    <w:unhideWhenUsed/>
    <w:rsid w:val="007B0510"/>
    <w:pPr>
      <w:spacing w:after="0" w:line="240" w:lineRule="auto"/>
    </w:pPr>
    <w:rPr>
      <w:sz w:val="20"/>
      <w:szCs w:val="20"/>
    </w:rPr>
  </w:style>
  <w:style w:type="character" w:customStyle="1" w:styleId="afe">
    <w:name w:val="Текст сноски Знак"/>
    <w:basedOn w:val="a4"/>
    <w:link w:val="afd"/>
    <w:uiPriority w:val="99"/>
    <w:semiHidden/>
    <w:rsid w:val="007B0510"/>
    <w:rPr>
      <w:sz w:val="20"/>
      <w:szCs w:val="20"/>
    </w:rPr>
  </w:style>
  <w:style w:type="character" w:styleId="aff">
    <w:name w:val="footnote reference"/>
    <w:basedOn w:val="a4"/>
    <w:uiPriority w:val="99"/>
    <w:semiHidden/>
    <w:unhideWhenUsed/>
    <w:rsid w:val="007B0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71EB-77EF-4D33-9167-8C377AF4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2025-02-21T12:06:00Z</dcterms:created>
  <dcterms:modified xsi:type="dcterms:W3CDTF">2025-02-21T12:06:00Z</dcterms:modified>
</cp:coreProperties>
</file>