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EB49AC" w14:paraId="10A798E3" w14:textId="77777777" w:rsidTr="00DC5653">
        <w:trPr>
          <w:jc w:val="center"/>
        </w:trPr>
        <w:tc>
          <w:tcPr>
            <w:tcW w:w="4202" w:type="dxa"/>
          </w:tcPr>
          <w:p w14:paraId="6473066D" w14:textId="77777777" w:rsidR="00EB49AC" w:rsidRPr="00EB49AC" w:rsidRDefault="00EB49AC" w:rsidP="00EB49AC">
            <w:pPr>
              <w:pStyle w:val="Iauiue"/>
              <w:spacing w:line="276" w:lineRule="auto"/>
              <w:rPr>
                <w:rFonts w:ascii="Tahoma" w:hAnsi="Tahoma" w:cs="Tahoma"/>
                <w:b/>
              </w:rPr>
            </w:pPr>
            <w:r w:rsidRPr="00EB49AC">
              <w:rPr>
                <w:rFonts w:ascii="Tahoma" w:hAnsi="Tahoma" w:cs="Tahoma"/>
                <w:b/>
              </w:rPr>
              <w:t>APPROVED</w:t>
            </w:r>
          </w:p>
          <w:p w14:paraId="2BCA774A" w14:textId="77777777" w:rsidR="00EB49AC" w:rsidRPr="00EB49AC" w:rsidRDefault="00EB49AC" w:rsidP="00EB49AC">
            <w:pPr>
              <w:pStyle w:val="Iauiue"/>
              <w:spacing w:line="276" w:lineRule="auto"/>
              <w:rPr>
                <w:rFonts w:ascii="Tahoma" w:hAnsi="Tahoma" w:cs="Tahoma"/>
                <w:b/>
                <w:lang w:val="en-US"/>
              </w:rPr>
            </w:pPr>
          </w:p>
          <w:p w14:paraId="2F302528" w14:textId="77777777" w:rsidR="00EB49AC" w:rsidRPr="00EB49AC" w:rsidRDefault="00EB49AC" w:rsidP="00EB49AC">
            <w:pPr>
              <w:pStyle w:val="Iauiue"/>
              <w:widowControl w:val="0"/>
              <w:spacing w:line="276" w:lineRule="auto"/>
              <w:jc w:val="both"/>
              <w:rPr>
                <w:rFonts w:ascii="Tahoma" w:hAnsi="Tahoma" w:cs="Tahoma"/>
              </w:rPr>
            </w:pPr>
            <w:r w:rsidRPr="00EB49AC">
              <w:rPr>
                <w:rFonts w:ascii="Tahoma" w:hAnsi="Tahoma" w:cs="Tahoma"/>
              </w:rPr>
              <w:t xml:space="preserve">By the Moscow Exchange </w:t>
            </w:r>
          </w:p>
          <w:p w14:paraId="114F16BF" w14:textId="5655A88E" w:rsidR="00EB49AC" w:rsidRPr="00EB49AC" w:rsidRDefault="00EB49AC" w:rsidP="00EB49AC">
            <w:pPr>
              <w:pStyle w:val="Iauiue"/>
              <w:widowControl w:val="0"/>
              <w:spacing w:line="276" w:lineRule="auto"/>
              <w:jc w:val="both"/>
              <w:rPr>
                <w:rFonts w:ascii="Tahoma" w:hAnsi="Tahoma" w:cs="Tahoma"/>
              </w:rPr>
            </w:pPr>
            <w:r w:rsidRPr="00EB49AC">
              <w:rPr>
                <w:rFonts w:ascii="Tahoma" w:hAnsi="Tahoma" w:cs="Tahoma"/>
              </w:rPr>
              <w:t>Executive Board</w:t>
            </w:r>
          </w:p>
          <w:p w14:paraId="22284E18" w14:textId="77777777" w:rsidR="00EB49AC" w:rsidRPr="00EB49AC" w:rsidRDefault="00EB49AC" w:rsidP="00EB49AC">
            <w:pPr>
              <w:pStyle w:val="Iauiue"/>
              <w:widowControl w:val="0"/>
              <w:spacing w:line="276" w:lineRule="auto"/>
              <w:jc w:val="both"/>
              <w:rPr>
                <w:rFonts w:ascii="Tahoma" w:hAnsi="Tahoma" w:cs="Tahoma"/>
              </w:rPr>
            </w:pPr>
            <w:r w:rsidRPr="00EB49AC">
              <w:rPr>
                <w:rFonts w:ascii="Tahoma" w:hAnsi="Tahoma" w:cs="Tahoma"/>
              </w:rPr>
              <w:t>2 October 2023, Minutes 64</w:t>
            </w:r>
          </w:p>
          <w:p w14:paraId="7F48A4BD" w14:textId="77777777" w:rsidR="00EB49AC" w:rsidRPr="00EB49AC" w:rsidRDefault="00EB49AC" w:rsidP="00EB49AC">
            <w:pPr>
              <w:pStyle w:val="Iauiue"/>
              <w:widowControl w:val="0"/>
              <w:spacing w:line="276" w:lineRule="auto"/>
              <w:rPr>
                <w:rFonts w:ascii="Tahoma" w:hAnsi="Tahoma" w:cs="Tahoma"/>
              </w:rPr>
            </w:pPr>
            <w:r w:rsidRPr="00EB49AC">
              <w:rPr>
                <w:rFonts w:ascii="Tahoma" w:hAnsi="Tahoma" w:cs="Tahoma"/>
              </w:rPr>
              <w:t>Chairman of the Executive Board</w:t>
            </w:r>
          </w:p>
          <w:p w14:paraId="20E4E571" w14:textId="77777777" w:rsidR="00EB49AC" w:rsidRPr="00EB49AC" w:rsidRDefault="00EB49AC" w:rsidP="00EB49AC">
            <w:pPr>
              <w:pStyle w:val="Iauiue"/>
              <w:widowControl w:val="0"/>
              <w:spacing w:line="276" w:lineRule="auto"/>
              <w:rPr>
                <w:rFonts w:ascii="Tahoma" w:hAnsi="Tahoma" w:cs="Tahoma"/>
              </w:rPr>
            </w:pPr>
            <w:r w:rsidRPr="00EB49AC">
              <w:rPr>
                <w:rFonts w:ascii="Tahoma" w:hAnsi="Tahoma" w:cs="Tahoma"/>
              </w:rPr>
              <w:t>Moscow Exchange</w:t>
            </w:r>
          </w:p>
          <w:p w14:paraId="0842E06B" w14:textId="77777777" w:rsidR="00EB49AC" w:rsidRPr="00EB49AC" w:rsidRDefault="00EB49AC" w:rsidP="00EB49AC">
            <w:pPr>
              <w:pStyle w:val="Iauiue"/>
              <w:spacing w:line="276" w:lineRule="auto"/>
              <w:rPr>
                <w:rFonts w:ascii="Tahoma" w:hAnsi="Tahoma" w:cs="Tahoma"/>
              </w:rPr>
            </w:pPr>
            <w:r w:rsidRPr="00EB49AC">
              <w:rPr>
                <w:rFonts w:ascii="Tahoma" w:hAnsi="Tahoma" w:cs="Tahoma"/>
              </w:rPr>
              <w:t xml:space="preserve">___________________ </w:t>
            </w:r>
            <w:proofErr w:type="spellStart"/>
            <w:r w:rsidRPr="00EB49AC">
              <w:rPr>
                <w:rFonts w:ascii="Tahoma" w:hAnsi="Tahoma" w:cs="Tahoma"/>
              </w:rPr>
              <w:t>Yury</w:t>
            </w:r>
            <w:proofErr w:type="spellEnd"/>
            <w:r w:rsidRPr="00EB49AC">
              <w:rPr>
                <w:rFonts w:ascii="Tahoma" w:hAnsi="Tahoma" w:cs="Tahoma"/>
              </w:rPr>
              <w:t xml:space="preserve"> Denisov</w:t>
            </w:r>
          </w:p>
          <w:p w14:paraId="688CDADE" w14:textId="77777777" w:rsidR="00657BF4" w:rsidRPr="00EB49AC" w:rsidRDefault="00657BF4" w:rsidP="006200DF">
            <w:pPr>
              <w:pStyle w:val="Iauiue"/>
              <w:tabs>
                <w:tab w:val="left" w:pos="4253"/>
              </w:tabs>
              <w:rPr>
                <w:rFonts w:ascii="Tahoma" w:hAnsi="Tahoma" w:cs="Tahoma"/>
                <w:lang w:val="ru-RU"/>
              </w:rPr>
            </w:pPr>
          </w:p>
        </w:tc>
        <w:tc>
          <w:tcPr>
            <w:tcW w:w="4323" w:type="dxa"/>
          </w:tcPr>
          <w:p w14:paraId="62D7ECE3" w14:textId="77777777" w:rsidR="00657BF4" w:rsidRPr="00EB49AC" w:rsidRDefault="00657BF4" w:rsidP="00EB49AC">
            <w:pPr>
              <w:pStyle w:val="Iauiue"/>
              <w:rPr>
                <w:rFonts w:ascii="Tahoma" w:hAnsi="Tahoma" w:cs="Tahoma"/>
                <w:b/>
                <w:lang w:val="ru-RU"/>
              </w:rPr>
            </w:pPr>
          </w:p>
        </w:tc>
      </w:tr>
    </w:tbl>
    <w:p w14:paraId="08A0ED79" w14:textId="77777777" w:rsidR="00657BF4" w:rsidRPr="00EB49AC" w:rsidRDefault="00657BF4" w:rsidP="00315188">
      <w:pPr>
        <w:rPr>
          <w:rFonts w:ascii="Tahoma" w:hAnsi="Tahoma" w:cs="Tahoma"/>
          <w:sz w:val="20"/>
          <w:szCs w:val="20"/>
        </w:rPr>
      </w:pPr>
    </w:p>
    <w:p w14:paraId="20C2E67E" w14:textId="77777777" w:rsidR="00657BF4" w:rsidRPr="00EB49AC" w:rsidRDefault="00657BF4" w:rsidP="00315188">
      <w:pPr>
        <w:rPr>
          <w:rFonts w:ascii="Tahoma" w:hAnsi="Tahoma" w:cs="Tahoma"/>
          <w:sz w:val="20"/>
          <w:szCs w:val="20"/>
        </w:rPr>
      </w:pPr>
    </w:p>
    <w:p w14:paraId="701137B4" w14:textId="77777777" w:rsidR="00657BF4" w:rsidRPr="00EB49AC" w:rsidRDefault="00657BF4" w:rsidP="00315188">
      <w:pPr>
        <w:rPr>
          <w:rFonts w:ascii="Tahoma" w:hAnsi="Tahoma" w:cs="Tahoma"/>
          <w:sz w:val="20"/>
          <w:szCs w:val="20"/>
        </w:rPr>
      </w:pPr>
    </w:p>
    <w:p w14:paraId="5F92DC9D" w14:textId="77777777" w:rsidR="00657BF4" w:rsidRPr="00EB49AC" w:rsidRDefault="00657BF4" w:rsidP="00315188">
      <w:pPr>
        <w:rPr>
          <w:rFonts w:ascii="Tahoma" w:hAnsi="Tahoma" w:cs="Tahoma"/>
          <w:sz w:val="20"/>
          <w:szCs w:val="20"/>
        </w:rPr>
      </w:pPr>
    </w:p>
    <w:p w14:paraId="2026665A" w14:textId="77777777" w:rsidR="003C416D" w:rsidRPr="00EB49AC" w:rsidRDefault="003C416D" w:rsidP="00315188">
      <w:pPr>
        <w:rPr>
          <w:rFonts w:ascii="Tahoma" w:hAnsi="Tahoma" w:cs="Tahoma"/>
          <w:sz w:val="20"/>
          <w:szCs w:val="20"/>
        </w:rPr>
      </w:pPr>
    </w:p>
    <w:p w14:paraId="7C315313" w14:textId="77777777" w:rsidR="003C416D" w:rsidRPr="00EB49AC" w:rsidRDefault="003C416D" w:rsidP="00315188">
      <w:pPr>
        <w:rPr>
          <w:rFonts w:ascii="Tahoma" w:hAnsi="Tahoma" w:cs="Tahoma"/>
          <w:sz w:val="20"/>
          <w:szCs w:val="20"/>
        </w:rPr>
      </w:pPr>
    </w:p>
    <w:p w14:paraId="0B4CEB94" w14:textId="77777777" w:rsidR="003C416D" w:rsidRPr="00EB49AC" w:rsidRDefault="003C416D" w:rsidP="00315188">
      <w:pPr>
        <w:rPr>
          <w:rFonts w:ascii="Tahoma" w:hAnsi="Tahoma" w:cs="Tahoma"/>
          <w:sz w:val="20"/>
          <w:szCs w:val="20"/>
        </w:rPr>
      </w:pPr>
    </w:p>
    <w:p w14:paraId="20F640FE" w14:textId="77777777" w:rsidR="00657BF4" w:rsidRPr="00EB49AC" w:rsidRDefault="00657BF4" w:rsidP="00315188">
      <w:pPr>
        <w:rPr>
          <w:rFonts w:ascii="Tahoma" w:hAnsi="Tahoma" w:cs="Tahoma"/>
          <w:sz w:val="20"/>
          <w:szCs w:val="20"/>
        </w:rPr>
      </w:pPr>
    </w:p>
    <w:p w14:paraId="22281AE7" w14:textId="77777777" w:rsidR="009910FA" w:rsidRPr="00EB49AC" w:rsidRDefault="009910FA" w:rsidP="009910FA">
      <w:pPr>
        <w:rPr>
          <w:rFonts w:ascii="Tahoma" w:hAnsi="Tahoma" w:cs="Tahoma"/>
          <w:sz w:val="20"/>
          <w:szCs w:val="20"/>
        </w:rPr>
      </w:pPr>
    </w:p>
    <w:p w14:paraId="779CE675" w14:textId="77777777" w:rsidR="009910FA" w:rsidRPr="00EB49AC" w:rsidRDefault="009910FA" w:rsidP="009910FA">
      <w:pPr>
        <w:rPr>
          <w:rFonts w:ascii="Tahoma" w:hAnsi="Tahoma" w:cs="Tahoma"/>
          <w:sz w:val="20"/>
          <w:szCs w:val="20"/>
        </w:rPr>
      </w:pPr>
    </w:p>
    <w:p w14:paraId="59420ED6" w14:textId="77777777" w:rsidR="009910FA" w:rsidRPr="00EB49AC" w:rsidRDefault="009910FA" w:rsidP="009910FA">
      <w:pPr>
        <w:rPr>
          <w:rFonts w:ascii="Tahoma" w:hAnsi="Tahoma" w:cs="Tahoma"/>
          <w:sz w:val="20"/>
          <w:szCs w:val="20"/>
        </w:rPr>
      </w:pPr>
    </w:p>
    <w:p w14:paraId="14C95EAF" w14:textId="77777777" w:rsidR="00EB49AC" w:rsidRDefault="009910FA" w:rsidP="009910FA">
      <w:pPr>
        <w:jc w:val="center"/>
        <w:rPr>
          <w:rFonts w:ascii="Tahoma" w:hAnsi="Tahoma" w:cs="Tahoma"/>
          <w:b/>
          <w:sz w:val="32"/>
          <w:szCs w:val="32"/>
        </w:rPr>
      </w:pPr>
      <w:r w:rsidRPr="00EB49AC">
        <w:rPr>
          <w:rFonts w:ascii="Tahoma" w:hAnsi="Tahoma" w:cs="Tahoma"/>
          <w:b/>
          <w:sz w:val="32"/>
          <w:szCs w:val="32"/>
        </w:rPr>
        <w:t xml:space="preserve">MOEX Growth Sector Bond Index </w:t>
      </w:r>
    </w:p>
    <w:p w14:paraId="56401D27" w14:textId="48237EEE" w:rsidR="0046643C" w:rsidRPr="00EB49AC" w:rsidRDefault="009910FA" w:rsidP="009910FA">
      <w:pPr>
        <w:jc w:val="center"/>
        <w:rPr>
          <w:rFonts w:ascii="Tahoma" w:hAnsi="Tahoma" w:cs="Tahoma"/>
          <w:b/>
          <w:sz w:val="32"/>
          <w:szCs w:val="32"/>
        </w:rPr>
      </w:pPr>
      <w:r w:rsidRPr="00EB49AC">
        <w:rPr>
          <w:rFonts w:ascii="Tahoma" w:hAnsi="Tahoma" w:cs="Tahoma"/>
          <w:b/>
          <w:sz w:val="32"/>
          <w:szCs w:val="32"/>
        </w:rPr>
        <w:t>Calculation Methodology</w:t>
      </w:r>
    </w:p>
    <w:p w14:paraId="74AB5335" w14:textId="77777777" w:rsidR="009115D8" w:rsidRPr="00EB49AC" w:rsidRDefault="009115D8" w:rsidP="009910FA">
      <w:pPr>
        <w:jc w:val="center"/>
        <w:rPr>
          <w:rFonts w:ascii="Tahoma" w:hAnsi="Tahoma" w:cs="Tahoma"/>
          <w:b/>
          <w:sz w:val="20"/>
          <w:szCs w:val="20"/>
        </w:rPr>
      </w:pPr>
    </w:p>
    <w:p w14:paraId="6BA403A0" w14:textId="77777777" w:rsidR="009910FA" w:rsidRPr="00EB49AC" w:rsidRDefault="009910FA" w:rsidP="009910FA">
      <w:pPr>
        <w:rPr>
          <w:rFonts w:ascii="Tahoma" w:hAnsi="Tahoma" w:cs="Tahoma"/>
          <w:sz w:val="20"/>
          <w:szCs w:val="20"/>
        </w:rPr>
      </w:pPr>
    </w:p>
    <w:p w14:paraId="0E2BF635" w14:textId="77777777" w:rsidR="009910FA" w:rsidRPr="00EB49AC" w:rsidRDefault="009910FA" w:rsidP="009910FA">
      <w:pPr>
        <w:rPr>
          <w:rFonts w:ascii="Tahoma" w:hAnsi="Tahoma" w:cs="Tahoma"/>
          <w:sz w:val="20"/>
          <w:szCs w:val="20"/>
        </w:rPr>
      </w:pPr>
    </w:p>
    <w:p w14:paraId="47910414" w14:textId="77777777" w:rsidR="009910FA" w:rsidRPr="00EB49AC" w:rsidRDefault="009910FA" w:rsidP="009910FA">
      <w:pPr>
        <w:rPr>
          <w:rFonts w:ascii="Tahoma" w:hAnsi="Tahoma" w:cs="Tahoma"/>
          <w:sz w:val="20"/>
          <w:szCs w:val="20"/>
        </w:rPr>
      </w:pPr>
    </w:p>
    <w:p w14:paraId="21564F48" w14:textId="77777777" w:rsidR="009910FA" w:rsidRPr="00EB49AC" w:rsidRDefault="009910FA" w:rsidP="009910FA">
      <w:pPr>
        <w:rPr>
          <w:rFonts w:ascii="Tahoma" w:hAnsi="Tahoma" w:cs="Tahoma"/>
          <w:sz w:val="20"/>
          <w:szCs w:val="20"/>
        </w:rPr>
      </w:pPr>
    </w:p>
    <w:p w14:paraId="072C32BC" w14:textId="77777777" w:rsidR="009910FA" w:rsidRPr="00EB49AC" w:rsidRDefault="009910FA" w:rsidP="009910FA">
      <w:pPr>
        <w:rPr>
          <w:rFonts w:ascii="Tahoma" w:hAnsi="Tahoma" w:cs="Tahoma"/>
          <w:sz w:val="20"/>
          <w:szCs w:val="20"/>
        </w:rPr>
      </w:pPr>
    </w:p>
    <w:p w14:paraId="45A304E7" w14:textId="77777777" w:rsidR="009910FA" w:rsidRPr="00EB49AC" w:rsidRDefault="009910FA" w:rsidP="009910FA">
      <w:pPr>
        <w:rPr>
          <w:rFonts w:ascii="Tahoma" w:hAnsi="Tahoma" w:cs="Tahoma"/>
          <w:sz w:val="20"/>
          <w:szCs w:val="20"/>
        </w:rPr>
      </w:pPr>
    </w:p>
    <w:p w14:paraId="19FFEB03" w14:textId="77777777" w:rsidR="009910FA" w:rsidRPr="00EB49AC" w:rsidRDefault="009910FA" w:rsidP="009910FA">
      <w:pPr>
        <w:rPr>
          <w:rFonts w:ascii="Tahoma" w:hAnsi="Tahoma" w:cs="Tahoma"/>
          <w:sz w:val="20"/>
          <w:szCs w:val="20"/>
        </w:rPr>
      </w:pPr>
    </w:p>
    <w:p w14:paraId="09E78472" w14:textId="77777777" w:rsidR="009910FA" w:rsidRPr="00EB49AC" w:rsidRDefault="009910FA" w:rsidP="009910FA">
      <w:pPr>
        <w:rPr>
          <w:rFonts w:ascii="Tahoma" w:hAnsi="Tahoma" w:cs="Tahoma"/>
          <w:sz w:val="20"/>
          <w:szCs w:val="20"/>
        </w:rPr>
      </w:pPr>
    </w:p>
    <w:p w14:paraId="11D0BF4A" w14:textId="77777777" w:rsidR="009910FA" w:rsidRPr="00EB49AC" w:rsidRDefault="009910FA" w:rsidP="009910FA">
      <w:pPr>
        <w:rPr>
          <w:rFonts w:ascii="Tahoma" w:hAnsi="Tahoma" w:cs="Tahoma"/>
          <w:sz w:val="20"/>
          <w:szCs w:val="20"/>
        </w:rPr>
      </w:pPr>
    </w:p>
    <w:p w14:paraId="1047445D" w14:textId="77777777" w:rsidR="009910FA" w:rsidRPr="00EB49AC" w:rsidRDefault="009910FA" w:rsidP="009910FA">
      <w:pPr>
        <w:rPr>
          <w:rFonts w:ascii="Tahoma" w:hAnsi="Tahoma" w:cs="Tahoma"/>
          <w:sz w:val="20"/>
          <w:szCs w:val="20"/>
        </w:rPr>
      </w:pPr>
    </w:p>
    <w:p w14:paraId="19166C65" w14:textId="77777777" w:rsidR="009910FA" w:rsidRPr="00EB49AC" w:rsidRDefault="009910FA" w:rsidP="009910FA">
      <w:pPr>
        <w:rPr>
          <w:rFonts w:ascii="Tahoma" w:hAnsi="Tahoma" w:cs="Tahoma"/>
          <w:sz w:val="20"/>
          <w:szCs w:val="20"/>
        </w:rPr>
      </w:pPr>
    </w:p>
    <w:p w14:paraId="0C49128C" w14:textId="77777777" w:rsidR="009910FA" w:rsidRPr="00EB49AC" w:rsidRDefault="009910FA" w:rsidP="009910FA">
      <w:pPr>
        <w:rPr>
          <w:rFonts w:ascii="Tahoma" w:hAnsi="Tahoma" w:cs="Tahoma"/>
          <w:sz w:val="20"/>
          <w:szCs w:val="20"/>
        </w:rPr>
      </w:pPr>
    </w:p>
    <w:p w14:paraId="6A592CA5" w14:textId="77777777" w:rsidR="009910FA" w:rsidRPr="00EB49AC" w:rsidRDefault="009910FA" w:rsidP="009910FA">
      <w:pPr>
        <w:rPr>
          <w:rFonts w:ascii="Tahoma" w:hAnsi="Tahoma" w:cs="Tahoma"/>
          <w:sz w:val="20"/>
          <w:szCs w:val="20"/>
        </w:rPr>
      </w:pPr>
    </w:p>
    <w:p w14:paraId="7A12A116" w14:textId="77777777" w:rsidR="009910FA" w:rsidRPr="00EB49AC" w:rsidRDefault="009910FA" w:rsidP="009910FA">
      <w:pPr>
        <w:rPr>
          <w:rFonts w:ascii="Tahoma" w:hAnsi="Tahoma" w:cs="Tahoma"/>
          <w:sz w:val="20"/>
          <w:szCs w:val="20"/>
        </w:rPr>
      </w:pPr>
    </w:p>
    <w:p w14:paraId="37BABF74" w14:textId="77777777" w:rsidR="009910FA" w:rsidRPr="00EB49AC" w:rsidRDefault="009910FA" w:rsidP="009910FA">
      <w:pPr>
        <w:rPr>
          <w:rFonts w:ascii="Tahoma" w:hAnsi="Tahoma" w:cs="Tahoma"/>
          <w:sz w:val="20"/>
          <w:szCs w:val="20"/>
        </w:rPr>
      </w:pPr>
    </w:p>
    <w:p w14:paraId="124FA5BA" w14:textId="77777777" w:rsidR="009910FA" w:rsidRPr="00EB49AC" w:rsidRDefault="009910FA" w:rsidP="009910FA">
      <w:pPr>
        <w:rPr>
          <w:rFonts w:ascii="Tahoma" w:hAnsi="Tahoma" w:cs="Tahoma"/>
          <w:sz w:val="20"/>
          <w:szCs w:val="20"/>
        </w:rPr>
      </w:pPr>
    </w:p>
    <w:p w14:paraId="14958938" w14:textId="77777777" w:rsidR="009910FA" w:rsidRPr="00EB49AC" w:rsidRDefault="009910FA" w:rsidP="009910FA">
      <w:pPr>
        <w:rPr>
          <w:rFonts w:ascii="Tahoma" w:hAnsi="Tahoma" w:cs="Tahoma"/>
          <w:sz w:val="20"/>
          <w:szCs w:val="20"/>
        </w:rPr>
      </w:pPr>
    </w:p>
    <w:p w14:paraId="47BDE91C" w14:textId="77777777" w:rsidR="009910FA" w:rsidRPr="00EB49AC" w:rsidRDefault="009910FA" w:rsidP="009910FA">
      <w:pPr>
        <w:rPr>
          <w:rFonts w:ascii="Tahoma" w:hAnsi="Tahoma" w:cs="Tahoma"/>
          <w:sz w:val="20"/>
          <w:szCs w:val="20"/>
        </w:rPr>
      </w:pPr>
    </w:p>
    <w:p w14:paraId="5BA4A0C0" w14:textId="77777777" w:rsidR="009910FA" w:rsidRPr="00EB49AC" w:rsidRDefault="009910FA" w:rsidP="009910FA">
      <w:pPr>
        <w:rPr>
          <w:rFonts w:ascii="Tahoma" w:hAnsi="Tahoma" w:cs="Tahoma"/>
          <w:sz w:val="20"/>
          <w:szCs w:val="20"/>
        </w:rPr>
      </w:pPr>
    </w:p>
    <w:p w14:paraId="55B7CDD3" w14:textId="77777777" w:rsidR="009910FA" w:rsidRPr="00EB49AC" w:rsidRDefault="009910FA" w:rsidP="009910FA">
      <w:pPr>
        <w:rPr>
          <w:rFonts w:ascii="Tahoma" w:hAnsi="Tahoma" w:cs="Tahoma"/>
          <w:sz w:val="20"/>
          <w:szCs w:val="20"/>
        </w:rPr>
      </w:pPr>
    </w:p>
    <w:p w14:paraId="075FFCF6" w14:textId="77777777" w:rsidR="009910FA" w:rsidRPr="00EB49AC" w:rsidRDefault="009910FA" w:rsidP="009910FA">
      <w:pPr>
        <w:rPr>
          <w:rFonts w:ascii="Tahoma" w:hAnsi="Tahoma" w:cs="Tahoma"/>
          <w:sz w:val="20"/>
          <w:szCs w:val="20"/>
        </w:rPr>
      </w:pPr>
    </w:p>
    <w:p w14:paraId="08780CAA" w14:textId="77777777" w:rsidR="009910FA" w:rsidRPr="00EB49AC" w:rsidRDefault="009910FA" w:rsidP="009910FA">
      <w:pPr>
        <w:rPr>
          <w:rFonts w:ascii="Tahoma" w:hAnsi="Tahoma" w:cs="Tahoma"/>
          <w:sz w:val="20"/>
          <w:szCs w:val="20"/>
        </w:rPr>
      </w:pPr>
    </w:p>
    <w:p w14:paraId="008A7814" w14:textId="77777777" w:rsidR="009910FA" w:rsidRPr="00EB49AC" w:rsidRDefault="009910FA" w:rsidP="009910FA">
      <w:pPr>
        <w:rPr>
          <w:rFonts w:ascii="Tahoma" w:hAnsi="Tahoma" w:cs="Tahoma"/>
          <w:sz w:val="20"/>
          <w:szCs w:val="20"/>
        </w:rPr>
      </w:pPr>
    </w:p>
    <w:p w14:paraId="5B2D5215" w14:textId="77777777" w:rsidR="009910FA" w:rsidRPr="00EB49AC" w:rsidRDefault="009910FA" w:rsidP="009910FA">
      <w:pPr>
        <w:rPr>
          <w:rFonts w:ascii="Tahoma" w:hAnsi="Tahoma" w:cs="Tahoma"/>
          <w:sz w:val="20"/>
          <w:szCs w:val="20"/>
        </w:rPr>
      </w:pPr>
    </w:p>
    <w:p w14:paraId="74B2E005" w14:textId="77777777" w:rsidR="009910FA" w:rsidRPr="00EB49AC" w:rsidRDefault="009910FA" w:rsidP="009910FA">
      <w:pPr>
        <w:rPr>
          <w:rFonts w:ascii="Tahoma" w:hAnsi="Tahoma" w:cs="Tahoma"/>
          <w:sz w:val="20"/>
          <w:szCs w:val="20"/>
        </w:rPr>
      </w:pPr>
    </w:p>
    <w:p w14:paraId="0D4916CE" w14:textId="77777777" w:rsidR="009910FA" w:rsidRPr="00EB49AC" w:rsidRDefault="009910FA" w:rsidP="009910FA">
      <w:pPr>
        <w:rPr>
          <w:rFonts w:ascii="Tahoma" w:hAnsi="Tahoma" w:cs="Tahoma"/>
          <w:sz w:val="20"/>
          <w:szCs w:val="20"/>
        </w:rPr>
      </w:pPr>
    </w:p>
    <w:p w14:paraId="47FCA165" w14:textId="77777777" w:rsidR="009910FA" w:rsidRPr="00EB49AC" w:rsidRDefault="009910FA" w:rsidP="009910FA">
      <w:pPr>
        <w:rPr>
          <w:rFonts w:ascii="Tahoma" w:hAnsi="Tahoma" w:cs="Tahoma"/>
          <w:sz w:val="20"/>
          <w:szCs w:val="20"/>
        </w:rPr>
      </w:pPr>
    </w:p>
    <w:p w14:paraId="41C88140" w14:textId="77777777" w:rsidR="009910FA" w:rsidRPr="00EB49AC" w:rsidRDefault="009910FA" w:rsidP="009910FA">
      <w:pPr>
        <w:rPr>
          <w:rFonts w:ascii="Tahoma" w:hAnsi="Tahoma" w:cs="Tahoma"/>
          <w:sz w:val="20"/>
          <w:szCs w:val="20"/>
        </w:rPr>
      </w:pPr>
    </w:p>
    <w:p w14:paraId="44133AC2" w14:textId="23065EA0" w:rsidR="009910FA" w:rsidRPr="00EB49AC" w:rsidRDefault="009910FA" w:rsidP="009910FA">
      <w:pPr>
        <w:rPr>
          <w:rFonts w:ascii="Tahoma" w:hAnsi="Tahoma" w:cs="Tahoma"/>
          <w:sz w:val="20"/>
          <w:szCs w:val="20"/>
        </w:rPr>
      </w:pPr>
    </w:p>
    <w:p w14:paraId="4668D5D9" w14:textId="77777777" w:rsidR="00217954" w:rsidRPr="00EB49AC" w:rsidRDefault="00217954" w:rsidP="009910FA">
      <w:pPr>
        <w:rPr>
          <w:rFonts w:ascii="Tahoma" w:hAnsi="Tahoma" w:cs="Tahoma"/>
          <w:sz w:val="20"/>
          <w:szCs w:val="20"/>
        </w:rPr>
      </w:pPr>
    </w:p>
    <w:p w14:paraId="30C1FB65" w14:textId="77777777" w:rsidR="009910FA" w:rsidRPr="00EB49AC" w:rsidRDefault="009910FA" w:rsidP="009910FA">
      <w:pPr>
        <w:rPr>
          <w:rFonts w:ascii="Tahoma" w:hAnsi="Tahoma" w:cs="Tahoma"/>
          <w:sz w:val="20"/>
          <w:szCs w:val="20"/>
        </w:rPr>
      </w:pPr>
    </w:p>
    <w:p w14:paraId="1CD62025" w14:textId="77777777" w:rsidR="009910FA" w:rsidRPr="00EB49AC" w:rsidRDefault="009910FA" w:rsidP="009910FA">
      <w:pPr>
        <w:rPr>
          <w:rFonts w:ascii="Tahoma" w:hAnsi="Tahoma" w:cs="Tahoma"/>
          <w:sz w:val="20"/>
          <w:szCs w:val="20"/>
        </w:rPr>
      </w:pPr>
    </w:p>
    <w:p w14:paraId="5D9BE5BC" w14:textId="77777777" w:rsidR="009910FA" w:rsidRPr="00EB49AC" w:rsidRDefault="009910FA" w:rsidP="009910FA">
      <w:pPr>
        <w:rPr>
          <w:rFonts w:ascii="Tahoma" w:hAnsi="Tahoma" w:cs="Tahoma"/>
          <w:sz w:val="20"/>
          <w:szCs w:val="20"/>
        </w:rPr>
      </w:pPr>
    </w:p>
    <w:p w14:paraId="40C94346" w14:textId="77777777" w:rsidR="009910FA" w:rsidRPr="00EB49AC" w:rsidRDefault="009910FA" w:rsidP="009910FA">
      <w:pPr>
        <w:rPr>
          <w:rFonts w:ascii="Tahoma" w:hAnsi="Tahoma" w:cs="Tahoma"/>
          <w:sz w:val="20"/>
          <w:szCs w:val="20"/>
        </w:rPr>
      </w:pPr>
    </w:p>
    <w:p w14:paraId="0426B671" w14:textId="50826D47" w:rsidR="009910FA" w:rsidRPr="00EB49AC" w:rsidRDefault="00132D55" w:rsidP="005F508C">
      <w:pPr>
        <w:pStyle w:val="a3"/>
        <w:spacing w:after="0"/>
        <w:jc w:val="center"/>
        <w:rPr>
          <w:rFonts w:ascii="Tahoma" w:hAnsi="Tahoma" w:cs="Tahoma"/>
          <w:b/>
          <w:sz w:val="20"/>
        </w:rPr>
      </w:pPr>
      <w:r w:rsidRPr="00EB49AC">
        <w:rPr>
          <w:rFonts w:ascii="Tahoma" w:hAnsi="Tahoma" w:cs="Tahoma"/>
          <w:sz w:val="20"/>
        </w:rPr>
        <w:t>Moscow Exchange 2023</w:t>
      </w:r>
    </w:p>
    <w:p w14:paraId="5C31B0A4" w14:textId="77777777" w:rsidR="00F8685C" w:rsidRPr="00EB49AC" w:rsidRDefault="009910FA" w:rsidP="0090301D">
      <w:pPr>
        <w:pStyle w:val="13"/>
        <w:rPr>
          <w:rFonts w:ascii="Tahoma" w:hAnsi="Tahoma" w:cs="Tahoma"/>
          <w:sz w:val="20"/>
          <w:szCs w:val="20"/>
        </w:rPr>
      </w:pPr>
      <w:r w:rsidRPr="00EB49AC">
        <w:rPr>
          <w:rFonts w:ascii="Tahoma" w:hAnsi="Tahoma" w:cs="Tahoma"/>
          <w:sz w:val="20"/>
          <w:szCs w:val="20"/>
        </w:rPr>
        <w:br w:type="page"/>
      </w:r>
      <w:r w:rsidRPr="00EB49AC">
        <w:rPr>
          <w:rFonts w:ascii="Tahoma" w:hAnsi="Tahoma" w:cs="Tahoma"/>
          <w:sz w:val="20"/>
          <w:szCs w:val="20"/>
        </w:rPr>
        <w:lastRenderedPageBreak/>
        <w:t>CONTENTS</w:t>
      </w:r>
    </w:p>
    <w:p w14:paraId="46F8C2DB" w14:textId="15C51D1A" w:rsidR="00EB49AC" w:rsidRPr="00EB49AC" w:rsidRDefault="009F6C5A">
      <w:pPr>
        <w:pStyle w:val="13"/>
        <w:rPr>
          <w:rFonts w:ascii="Tahoma" w:eastAsiaTheme="minorEastAsia" w:hAnsi="Tahoma" w:cs="Tahoma"/>
          <w:b w:val="0"/>
          <w:bCs w:val="0"/>
          <w:caps w:val="0"/>
          <w:noProof/>
          <w:sz w:val="20"/>
          <w:szCs w:val="20"/>
          <w:lang w:val="ru-RU"/>
        </w:rPr>
      </w:pPr>
      <w:r w:rsidRPr="00EB49AC">
        <w:rPr>
          <w:rFonts w:ascii="Tahoma" w:hAnsi="Tahoma" w:cs="Tahoma"/>
          <w:sz w:val="20"/>
          <w:szCs w:val="20"/>
        </w:rPr>
        <w:fldChar w:fldCharType="begin"/>
      </w:r>
      <w:r w:rsidRPr="00EB49AC">
        <w:rPr>
          <w:rFonts w:ascii="Tahoma" w:hAnsi="Tahoma" w:cs="Tahoma"/>
          <w:sz w:val="20"/>
          <w:szCs w:val="20"/>
        </w:rPr>
        <w:instrText xml:space="preserve"> TOC \o "1-1" \h \z \u </w:instrText>
      </w:r>
      <w:r w:rsidRPr="00EB49AC">
        <w:rPr>
          <w:rFonts w:ascii="Tahoma" w:hAnsi="Tahoma" w:cs="Tahoma"/>
          <w:sz w:val="20"/>
          <w:szCs w:val="20"/>
        </w:rPr>
        <w:fldChar w:fldCharType="separate"/>
      </w:r>
      <w:hyperlink w:anchor="_Toc155893763" w:history="1">
        <w:r w:rsidR="00EB49AC" w:rsidRPr="00EB49AC">
          <w:rPr>
            <w:rStyle w:val="a7"/>
            <w:rFonts w:ascii="Tahoma" w:hAnsi="Tahoma" w:cs="Tahoma"/>
            <w:noProof/>
            <w:sz w:val="20"/>
            <w:szCs w:val="20"/>
          </w:rPr>
          <w:t>General provisions</w:t>
        </w:r>
        <w:r w:rsidR="00EB49AC" w:rsidRPr="00EB49AC">
          <w:rPr>
            <w:rFonts w:ascii="Tahoma" w:hAnsi="Tahoma" w:cs="Tahoma"/>
            <w:noProof/>
            <w:webHidden/>
            <w:sz w:val="20"/>
            <w:szCs w:val="20"/>
          </w:rPr>
          <w:tab/>
        </w:r>
        <w:r w:rsidR="00EB49AC" w:rsidRPr="00EB49AC">
          <w:rPr>
            <w:rFonts w:ascii="Tahoma" w:hAnsi="Tahoma" w:cs="Tahoma"/>
            <w:noProof/>
            <w:webHidden/>
            <w:sz w:val="20"/>
            <w:szCs w:val="20"/>
          </w:rPr>
          <w:fldChar w:fldCharType="begin"/>
        </w:r>
        <w:r w:rsidR="00EB49AC" w:rsidRPr="00EB49AC">
          <w:rPr>
            <w:rFonts w:ascii="Tahoma" w:hAnsi="Tahoma" w:cs="Tahoma"/>
            <w:noProof/>
            <w:webHidden/>
            <w:sz w:val="20"/>
            <w:szCs w:val="20"/>
          </w:rPr>
          <w:instrText xml:space="preserve"> PAGEREF _Toc155893763 \h </w:instrText>
        </w:r>
        <w:r w:rsidR="00EB49AC" w:rsidRPr="00EB49AC">
          <w:rPr>
            <w:rFonts w:ascii="Tahoma" w:hAnsi="Tahoma" w:cs="Tahoma"/>
            <w:noProof/>
            <w:webHidden/>
            <w:sz w:val="20"/>
            <w:szCs w:val="20"/>
          </w:rPr>
        </w:r>
        <w:r w:rsidR="00EB49AC" w:rsidRPr="00EB49AC">
          <w:rPr>
            <w:rFonts w:ascii="Tahoma" w:hAnsi="Tahoma" w:cs="Tahoma"/>
            <w:noProof/>
            <w:webHidden/>
            <w:sz w:val="20"/>
            <w:szCs w:val="20"/>
          </w:rPr>
          <w:fldChar w:fldCharType="separate"/>
        </w:r>
        <w:r w:rsidR="00EB49AC" w:rsidRPr="00EB49AC">
          <w:rPr>
            <w:rFonts w:ascii="Tahoma" w:hAnsi="Tahoma" w:cs="Tahoma"/>
            <w:noProof/>
            <w:webHidden/>
            <w:sz w:val="20"/>
            <w:szCs w:val="20"/>
          </w:rPr>
          <w:t>3</w:t>
        </w:r>
        <w:r w:rsidR="00EB49AC" w:rsidRPr="00EB49AC">
          <w:rPr>
            <w:rFonts w:ascii="Tahoma" w:hAnsi="Tahoma" w:cs="Tahoma"/>
            <w:noProof/>
            <w:webHidden/>
            <w:sz w:val="20"/>
            <w:szCs w:val="20"/>
          </w:rPr>
          <w:fldChar w:fldCharType="end"/>
        </w:r>
      </w:hyperlink>
    </w:p>
    <w:p w14:paraId="5058210D" w14:textId="76678AAD" w:rsidR="00EB49AC" w:rsidRPr="00EB49AC" w:rsidRDefault="00EB49AC">
      <w:pPr>
        <w:pStyle w:val="13"/>
        <w:rPr>
          <w:rFonts w:ascii="Tahoma" w:eastAsiaTheme="minorEastAsia" w:hAnsi="Tahoma" w:cs="Tahoma"/>
          <w:b w:val="0"/>
          <w:bCs w:val="0"/>
          <w:caps w:val="0"/>
          <w:noProof/>
          <w:sz w:val="20"/>
          <w:szCs w:val="20"/>
          <w:lang w:val="ru-RU"/>
        </w:rPr>
      </w:pPr>
      <w:hyperlink w:anchor="_Toc155893764" w:history="1">
        <w:r w:rsidRPr="00EB49AC">
          <w:rPr>
            <w:rStyle w:val="a7"/>
            <w:rFonts w:ascii="Tahoma" w:hAnsi="Tahoma" w:cs="Tahoma"/>
            <w:noProof/>
            <w:sz w:val="20"/>
            <w:szCs w:val="20"/>
          </w:rPr>
          <w:t>2.</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General Index Calculation Overview</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_Toc155893764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4</w:t>
        </w:r>
        <w:r w:rsidRPr="00EB49AC">
          <w:rPr>
            <w:rFonts w:ascii="Tahoma" w:hAnsi="Tahoma" w:cs="Tahoma"/>
            <w:noProof/>
            <w:webHidden/>
            <w:sz w:val="20"/>
            <w:szCs w:val="20"/>
          </w:rPr>
          <w:fldChar w:fldCharType="end"/>
        </w:r>
      </w:hyperlink>
    </w:p>
    <w:p w14:paraId="5FF8D33A" w14:textId="4F09F080" w:rsidR="00EB49AC" w:rsidRPr="00EB49AC" w:rsidRDefault="00EB49AC">
      <w:pPr>
        <w:pStyle w:val="13"/>
        <w:rPr>
          <w:rFonts w:ascii="Tahoma" w:eastAsiaTheme="minorEastAsia" w:hAnsi="Tahoma" w:cs="Tahoma"/>
          <w:b w:val="0"/>
          <w:bCs w:val="0"/>
          <w:caps w:val="0"/>
          <w:noProof/>
          <w:sz w:val="20"/>
          <w:szCs w:val="20"/>
          <w:lang w:val="ru-RU"/>
        </w:rPr>
      </w:pPr>
      <w:hyperlink w:anchor="_Toc155893765" w:history="1">
        <w:r w:rsidRPr="00EB49AC">
          <w:rPr>
            <w:rStyle w:val="a7"/>
            <w:rFonts w:ascii="Tahoma" w:hAnsi="Tahoma" w:cs="Tahoma"/>
            <w:noProof/>
            <w:sz w:val="20"/>
            <w:szCs w:val="20"/>
          </w:rPr>
          <w:t>3.</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Index Construction Principles</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_Toc155893765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5</w:t>
        </w:r>
        <w:r w:rsidRPr="00EB49AC">
          <w:rPr>
            <w:rFonts w:ascii="Tahoma" w:hAnsi="Tahoma" w:cs="Tahoma"/>
            <w:noProof/>
            <w:webHidden/>
            <w:sz w:val="20"/>
            <w:szCs w:val="20"/>
          </w:rPr>
          <w:fldChar w:fldCharType="end"/>
        </w:r>
      </w:hyperlink>
    </w:p>
    <w:p w14:paraId="67CC3A4D" w14:textId="01C38B0F" w:rsidR="00EB49AC" w:rsidRPr="00EB49AC" w:rsidRDefault="00EB49AC">
      <w:pPr>
        <w:pStyle w:val="13"/>
        <w:rPr>
          <w:rFonts w:ascii="Tahoma" w:eastAsiaTheme="minorEastAsia" w:hAnsi="Tahoma" w:cs="Tahoma"/>
          <w:b w:val="0"/>
          <w:bCs w:val="0"/>
          <w:caps w:val="0"/>
          <w:noProof/>
          <w:sz w:val="20"/>
          <w:szCs w:val="20"/>
          <w:lang w:val="ru-RU"/>
        </w:rPr>
      </w:pPr>
      <w:hyperlink w:anchor="_Toc155893766" w:history="1">
        <w:r w:rsidRPr="00EB49AC">
          <w:rPr>
            <w:rStyle w:val="a7"/>
            <w:rFonts w:ascii="Tahoma" w:hAnsi="Tahoma" w:cs="Tahoma"/>
            <w:noProof/>
            <w:sz w:val="20"/>
            <w:szCs w:val="20"/>
          </w:rPr>
          <w:t>4.</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Index Review</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_Toc155893766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6</w:t>
        </w:r>
        <w:r w:rsidRPr="00EB49AC">
          <w:rPr>
            <w:rFonts w:ascii="Tahoma" w:hAnsi="Tahoma" w:cs="Tahoma"/>
            <w:noProof/>
            <w:webHidden/>
            <w:sz w:val="20"/>
            <w:szCs w:val="20"/>
          </w:rPr>
          <w:fldChar w:fldCharType="end"/>
        </w:r>
      </w:hyperlink>
    </w:p>
    <w:p w14:paraId="20E57AD6" w14:textId="40837C13" w:rsidR="00EB49AC" w:rsidRPr="00EB49AC" w:rsidRDefault="00EB49AC">
      <w:pPr>
        <w:pStyle w:val="13"/>
        <w:rPr>
          <w:rFonts w:ascii="Tahoma" w:eastAsiaTheme="minorEastAsia" w:hAnsi="Tahoma" w:cs="Tahoma"/>
          <w:b w:val="0"/>
          <w:bCs w:val="0"/>
          <w:caps w:val="0"/>
          <w:noProof/>
          <w:sz w:val="20"/>
          <w:szCs w:val="20"/>
          <w:lang w:val="ru-RU"/>
        </w:rPr>
      </w:pPr>
      <w:hyperlink w:anchor="_Toc155893767" w:history="1">
        <w:r w:rsidRPr="00EB49AC">
          <w:rPr>
            <w:rStyle w:val="a7"/>
            <w:rFonts w:ascii="Tahoma" w:hAnsi="Tahoma" w:cs="Tahoma"/>
            <w:noProof/>
            <w:sz w:val="20"/>
            <w:szCs w:val="20"/>
          </w:rPr>
          <w:t>5.</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Limitation of the Bond Value in the Index</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_Toc155893767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6</w:t>
        </w:r>
        <w:r w:rsidRPr="00EB49AC">
          <w:rPr>
            <w:rFonts w:ascii="Tahoma" w:hAnsi="Tahoma" w:cs="Tahoma"/>
            <w:noProof/>
            <w:webHidden/>
            <w:sz w:val="20"/>
            <w:szCs w:val="20"/>
          </w:rPr>
          <w:fldChar w:fldCharType="end"/>
        </w:r>
      </w:hyperlink>
    </w:p>
    <w:p w14:paraId="1EA61592" w14:textId="231A6036" w:rsidR="00EB49AC" w:rsidRPr="00EB49AC" w:rsidRDefault="00EB49AC">
      <w:pPr>
        <w:pStyle w:val="13"/>
        <w:rPr>
          <w:rFonts w:ascii="Tahoma" w:eastAsiaTheme="minorEastAsia" w:hAnsi="Tahoma" w:cs="Tahoma"/>
          <w:b w:val="0"/>
          <w:bCs w:val="0"/>
          <w:caps w:val="0"/>
          <w:noProof/>
          <w:sz w:val="20"/>
          <w:szCs w:val="20"/>
          <w:lang w:val="ru-RU"/>
        </w:rPr>
      </w:pPr>
      <w:hyperlink w:anchor="_Toc155893768" w:history="1">
        <w:r w:rsidRPr="00EB49AC">
          <w:rPr>
            <w:rStyle w:val="a7"/>
            <w:rFonts w:ascii="Tahoma" w:hAnsi="Tahoma" w:cs="Tahoma"/>
            <w:noProof/>
            <w:sz w:val="20"/>
            <w:szCs w:val="20"/>
          </w:rPr>
          <w:t>6.</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Control Over Calculation of the Index</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_Toc155893768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7</w:t>
        </w:r>
        <w:r w:rsidRPr="00EB49AC">
          <w:rPr>
            <w:rFonts w:ascii="Tahoma" w:hAnsi="Tahoma" w:cs="Tahoma"/>
            <w:noProof/>
            <w:webHidden/>
            <w:sz w:val="20"/>
            <w:szCs w:val="20"/>
          </w:rPr>
          <w:fldChar w:fldCharType="end"/>
        </w:r>
      </w:hyperlink>
    </w:p>
    <w:p w14:paraId="649653DC" w14:textId="75F481A2" w:rsidR="00EB49AC" w:rsidRPr="00EB49AC" w:rsidRDefault="00EB49AC">
      <w:pPr>
        <w:pStyle w:val="13"/>
        <w:rPr>
          <w:rFonts w:ascii="Tahoma" w:eastAsiaTheme="minorEastAsia" w:hAnsi="Tahoma" w:cs="Tahoma"/>
          <w:b w:val="0"/>
          <w:bCs w:val="0"/>
          <w:caps w:val="0"/>
          <w:noProof/>
          <w:sz w:val="20"/>
          <w:szCs w:val="20"/>
          <w:lang w:val="ru-RU"/>
        </w:rPr>
      </w:pPr>
      <w:hyperlink w:anchor="_Toc155893769" w:history="1">
        <w:r w:rsidRPr="00EB49AC">
          <w:rPr>
            <w:rStyle w:val="a7"/>
            <w:rFonts w:ascii="Tahoma" w:hAnsi="Tahoma" w:cs="Tahoma"/>
            <w:noProof/>
            <w:sz w:val="20"/>
            <w:szCs w:val="20"/>
          </w:rPr>
          <w:t>7.</w:t>
        </w:r>
        <w:r w:rsidRPr="00EB49AC">
          <w:rPr>
            <w:rFonts w:ascii="Tahoma" w:eastAsiaTheme="minorEastAsia" w:hAnsi="Tahoma" w:cs="Tahoma"/>
            <w:b w:val="0"/>
            <w:bCs w:val="0"/>
            <w:caps w:val="0"/>
            <w:noProof/>
            <w:sz w:val="20"/>
            <w:szCs w:val="20"/>
            <w:lang w:val="ru-RU"/>
          </w:rPr>
          <w:tab/>
        </w:r>
        <w:r w:rsidRPr="00EB49AC">
          <w:rPr>
            <w:rStyle w:val="a7"/>
            <w:rFonts w:ascii="Tahoma" w:hAnsi="Tahoma" w:cs="Tahoma"/>
            <w:noProof/>
            <w:sz w:val="20"/>
            <w:szCs w:val="20"/>
          </w:rPr>
          <w:t>Disclosure</w:t>
        </w:r>
        <w:r w:rsidRPr="00EB49AC">
          <w:rPr>
            <w:rFonts w:ascii="Tahoma" w:hAnsi="Tahoma" w:cs="Tahoma"/>
            <w:noProof/>
            <w:webHidden/>
            <w:sz w:val="20"/>
            <w:szCs w:val="20"/>
          </w:rPr>
          <w:tab/>
        </w:r>
        <w:r w:rsidRPr="00EB49AC">
          <w:rPr>
            <w:rFonts w:ascii="Tahoma" w:hAnsi="Tahoma" w:cs="Tahoma"/>
            <w:noProof/>
            <w:webHidden/>
            <w:sz w:val="20"/>
            <w:szCs w:val="20"/>
          </w:rPr>
          <w:fldChar w:fldCharType="begin"/>
        </w:r>
        <w:r w:rsidRPr="00EB49AC">
          <w:rPr>
            <w:rFonts w:ascii="Tahoma" w:hAnsi="Tahoma" w:cs="Tahoma"/>
            <w:noProof/>
            <w:webHidden/>
            <w:sz w:val="20"/>
            <w:szCs w:val="20"/>
          </w:rPr>
          <w:instrText xml:space="preserve"> PAGEREF _Toc155893769 \h </w:instrText>
        </w:r>
        <w:r w:rsidRPr="00EB49AC">
          <w:rPr>
            <w:rFonts w:ascii="Tahoma" w:hAnsi="Tahoma" w:cs="Tahoma"/>
            <w:noProof/>
            <w:webHidden/>
            <w:sz w:val="20"/>
            <w:szCs w:val="20"/>
          </w:rPr>
        </w:r>
        <w:r w:rsidRPr="00EB49AC">
          <w:rPr>
            <w:rFonts w:ascii="Tahoma" w:hAnsi="Tahoma" w:cs="Tahoma"/>
            <w:noProof/>
            <w:webHidden/>
            <w:sz w:val="20"/>
            <w:szCs w:val="20"/>
          </w:rPr>
          <w:fldChar w:fldCharType="separate"/>
        </w:r>
        <w:r w:rsidRPr="00EB49AC">
          <w:rPr>
            <w:rFonts w:ascii="Tahoma" w:hAnsi="Tahoma" w:cs="Tahoma"/>
            <w:noProof/>
            <w:webHidden/>
            <w:sz w:val="20"/>
            <w:szCs w:val="20"/>
          </w:rPr>
          <w:t>7</w:t>
        </w:r>
        <w:r w:rsidRPr="00EB49AC">
          <w:rPr>
            <w:rFonts w:ascii="Tahoma" w:hAnsi="Tahoma" w:cs="Tahoma"/>
            <w:noProof/>
            <w:webHidden/>
            <w:sz w:val="20"/>
            <w:szCs w:val="20"/>
          </w:rPr>
          <w:fldChar w:fldCharType="end"/>
        </w:r>
      </w:hyperlink>
    </w:p>
    <w:p w14:paraId="472DB718" w14:textId="4ACD7470" w:rsidR="009F6C5A" w:rsidRPr="00EB49AC" w:rsidRDefault="009F6C5A" w:rsidP="00315188">
      <w:pPr>
        <w:rPr>
          <w:rFonts w:ascii="Tahoma" w:hAnsi="Tahoma" w:cs="Tahoma"/>
          <w:sz w:val="20"/>
          <w:szCs w:val="20"/>
        </w:rPr>
      </w:pPr>
      <w:r w:rsidRPr="00EB49AC">
        <w:rPr>
          <w:rFonts w:ascii="Tahoma" w:hAnsi="Tahoma" w:cs="Tahoma"/>
          <w:sz w:val="20"/>
          <w:szCs w:val="20"/>
        </w:rPr>
        <w:fldChar w:fldCharType="end"/>
      </w:r>
    </w:p>
    <w:p w14:paraId="3FD5E9F6" w14:textId="77777777" w:rsidR="00657BF4" w:rsidRPr="00EB49AC" w:rsidRDefault="00DC523B" w:rsidP="00125221">
      <w:pPr>
        <w:ind w:left="360"/>
        <w:outlineLvl w:val="0"/>
        <w:rPr>
          <w:rFonts w:ascii="Tahoma" w:hAnsi="Tahoma" w:cs="Tahoma"/>
          <w:b/>
          <w:sz w:val="20"/>
          <w:szCs w:val="20"/>
        </w:rPr>
      </w:pPr>
      <w:r w:rsidRPr="00EB49AC">
        <w:rPr>
          <w:rFonts w:ascii="Tahoma" w:hAnsi="Tahoma" w:cs="Tahoma"/>
          <w:sz w:val="20"/>
          <w:szCs w:val="20"/>
        </w:rPr>
        <w:br w:type="page"/>
      </w:r>
      <w:bookmarkStart w:id="0" w:name="_Toc155893763"/>
      <w:r w:rsidRPr="00EB49AC">
        <w:rPr>
          <w:rFonts w:ascii="Tahoma" w:hAnsi="Tahoma" w:cs="Tahoma"/>
          <w:b/>
          <w:sz w:val="20"/>
          <w:szCs w:val="20"/>
        </w:rPr>
        <w:lastRenderedPageBreak/>
        <w:t>General provisions</w:t>
      </w:r>
      <w:bookmarkEnd w:id="0"/>
    </w:p>
    <w:p w14:paraId="0C7D5ED5" w14:textId="77777777" w:rsidR="00657BF4" w:rsidRPr="00EB49AC" w:rsidRDefault="00657BF4" w:rsidP="00CE65C2">
      <w:pPr>
        <w:pStyle w:val="30"/>
        <w:spacing w:before="0"/>
        <w:ind w:left="360"/>
        <w:rPr>
          <w:rFonts w:ascii="Tahoma" w:hAnsi="Tahoma" w:cs="Tahoma"/>
        </w:rPr>
      </w:pPr>
    </w:p>
    <w:p w14:paraId="40ABCA66" w14:textId="77777777" w:rsidR="00237905" w:rsidRPr="00EB49AC" w:rsidRDefault="00400792" w:rsidP="00FC0165">
      <w:pPr>
        <w:numPr>
          <w:ilvl w:val="1"/>
          <w:numId w:val="1"/>
        </w:numPr>
        <w:tabs>
          <w:tab w:val="num" w:pos="1000"/>
        </w:tabs>
        <w:jc w:val="both"/>
        <w:rPr>
          <w:rStyle w:val="af3"/>
          <w:rFonts w:ascii="Tahoma" w:hAnsi="Tahoma" w:cs="Tahoma"/>
        </w:rPr>
      </w:pPr>
      <w:bookmarkStart w:id="1" w:name="_Ref424309154"/>
      <w:r w:rsidRPr="00EB49AC">
        <w:rPr>
          <w:rStyle w:val="af3"/>
          <w:rFonts w:ascii="Tahoma" w:hAnsi="Tahoma" w:cs="Tahoma"/>
        </w:rPr>
        <w:t>Terms and definitions</w:t>
      </w:r>
    </w:p>
    <w:p w14:paraId="19808DAA" w14:textId="60093031" w:rsidR="00E23F9E" w:rsidRPr="00EB49AC" w:rsidRDefault="003609E0" w:rsidP="00EB49AC">
      <w:pPr>
        <w:numPr>
          <w:ilvl w:val="2"/>
          <w:numId w:val="1"/>
        </w:numPr>
        <w:tabs>
          <w:tab w:val="clear" w:pos="1224"/>
        </w:tabs>
        <w:ind w:left="1560"/>
        <w:jc w:val="both"/>
        <w:rPr>
          <w:rStyle w:val="af3"/>
          <w:rFonts w:ascii="Tahoma" w:hAnsi="Tahoma" w:cs="Tahoma"/>
        </w:rPr>
      </w:pPr>
      <w:r w:rsidRPr="00EB49AC">
        <w:rPr>
          <w:rFonts w:ascii="Tahoma" w:hAnsi="Tahoma" w:cs="Tahoma"/>
          <w:sz w:val="20"/>
          <w:szCs w:val="20"/>
        </w:rPr>
        <w:t>The</w:t>
      </w:r>
      <w:r w:rsidRPr="00EB49AC">
        <w:rPr>
          <w:rStyle w:val="af3"/>
          <w:rFonts w:ascii="Tahoma" w:hAnsi="Tahoma" w:cs="Tahoma"/>
        </w:rPr>
        <w:t xml:space="preserve"> following terms and definitions shall apply in this MOEX Growth Sector Bond Index Calculation Methodology by Public Joint-Stock Company Moscow Exchange MICEX-RTS (the "Methodology"):</w:t>
      </w:r>
      <w:bookmarkEnd w:id="1"/>
    </w:p>
    <w:p w14:paraId="73C767BB" w14:textId="401E2255" w:rsidR="00EC6ACF" w:rsidRPr="00EB49AC" w:rsidRDefault="00EC6ACF" w:rsidP="00EB49AC">
      <w:pPr>
        <w:ind w:left="1416" w:hanging="140"/>
        <w:jc w:val="both"/>
        <w:rPr>
          <w:rStyle w:val="af3"/>
          <w:rFonts w:ascii="Tahoma" w:hAnsi="Tahoma" w:cs="Tahoma"/>
        </w:rPr>
      </w:pPr>
      <w:r w:rsidRPr="00EB49AC">
        <w:rPr>
          <w:rFonts w:ascii="Tahoma" w:hAnsi="Tahoma" w:cs="Tahoma"/>
          <w:sz w:val="20"/>
          <w:szCs w:val="20"/>
        </w:rPr>
        <w:t xml:space="preserve">- </w:t>
      </w:r>
      <w:r w:rsidRPr="00EB49AC">
        <w:rPr>
          <w:rStyle w:val="af3"/>
          <w:rFonts w:ascii="Tahoma" w:hAnsi="Tahoma" w:cs="Tahoma"/>
          <w:i/>
        </w:rPr>
        <w:t>Index Constituents</w:t>
      </w:r>
      <w:r w:rsidR="00EB49AC" w:rsidRPr="00EB49AC">
        <w:rPr>
          <w:rStyle w:val="af3"/>
          <w:rFonts w:ascii="Tahoma" w:hAnsi="Tahoma" w:cs="Tahoma"/>
          <w:i/>
        </w:rPr>
        <w:t xml:space="preserve"> </w:t>
      </w:r>
      <w:r w:rsidRPr="00EB49AC">
        <w:rPr>
          <w:rStyle w:val="af3"/>
          <w:rFonts w:ascii="Tahoma" w:hAnsi="Tahoma" w:cs="Tahoma"/>
        </w:rPr>
        <w:t>means the list of bonds used for calculation of the Index, approved by the Exchange according to the procedure stipulated by this Methodology;</w:t>
      </w:r>
    </w:p>
    <w:p w14:paraId="43E35AE2" w14:textId="77777777" w:rsidR="00DE3E1B" w:rsidRPr="00EB49AC" w:rsidRDefault="00DE3E1B" w:rsidP="00EB49AC">
      <w:pPr>
        <w:ind w:left="1416" w:hanging="140"/>
        <w:jc w:val="both"/>
        <w:rPr>
          <w:rFonts w:ascii="Tahoma" w:hAnsi="Tahoma" w:cs="Tahoma"/>
          <w:sz w:val="20"/>
          <w:szCs w:val="20"/>
        </w:rPr>
      </w:pPr>
      <w:r w:rsidRPr="00EB49AC">
        <w:rPr>
          <w:rFonts w:ascii="Tahoma" w:hAnsi="Tahoma" w:cs="Tahoma"/>
          <w:i/>
          <w:sz w:val="20"/>
          <w:szCs w:val="20"/>
        </w:rPr>
        <w:t>- The Exchange, Moscow Exchange</w:t>
      </w:r>
      <w:r w:rsidRPr="00EB49AC">
        <w:rPr>
          <w:rFonts w:ascii="Tahoma" w:hAnsi="Tahoma" w:cs="Tahoma"/>
          <w:sz w:val="20"/>
          <w:szCs w:val="20"/>
        </w:rPr>
        <w:t xml:space="preserve"> means Public Joint-Stock Company Moscow Exchange MICEX-RTS;</w:t>
      </w:r>
    </w:p>
    <w:p w14:paraId="042263F3" w14:textId="19579B7C"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w:t>
      </w:r>
      <w:r w:rsidR="00EB49AC" w:rsidRPr="00EB49AC">
        <w:rPr>
          <w:rFonts w:ascii="Tahoma" w:hAnsi="Tahoma" w:cs="Tahoma"/>
          <w:sz w:val="20"/>
          <w:szCs w:val="20"/>
        </w:rPr>
        <w:t xml:space="preserve"> </w:t>
      </w:r>
      <w:r w:rsidRPr="00EB49AC">
        <w:rPr>
          <w:rFonts w:ascii="Tahoma" w:hAnsi="Tahoma" w:cs="Tahoma"/>
          <w:i/>
          <w:sz w:val="20"/>
          <w:szCs w:val="20"/>
        </w:rPr>
        <w:t>Date of Index Constituents</w:t>
      </w:r>
      <w:r w:rsidRPr="00EB49AC">
        <w:rPr>
          <w:rFonts w:ascii="Tahoma" w:hAnsi="Tahoma" w:cs="Tahoma"/>
          <w:sz w:val="20"/>
          <w:szCs w:val="20"/>
        </w:rPr>
        <w:t xml:space="preserve"> means 1 February, 1 May, 1 August and 1 November;</w:t>
      </w:r>
    </w:p>
    <w:p w14:paraId="36611E92"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Maturity Date</w:t>
      </w:r>
      <w:r w:rsidRPr="00EB49AC">
        <w:rPr>
          <w:rFonts w:ascii="Tahoma" w:hAnsi="Tahoma" w:cs="Tahoma"/>
          <w:sz w:val="20"/>
          <w:szCs w:val="20"/>
        </w:rPr>
        <w:t xml:space="preserve"> means the date of maturity or the date of the nearest put option, if the put option is stipulated by the issue documents;</w:t>
      </w:r>
    </w:p>
    <w:p w14:paraId="46DE90D8"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Additional Factors</w:t>
      </w:r>
      <w:r w:rsidRPr="00EB49AC">
        <w:rPr>
          <w:rFonts w:ascii="Tahoma" w:hAnsi="Tahoma" w:cs="Tahoma"/>
          <w:sz w:val="20"/>
          <w:szCs w:val="20"/>
        </w:rPr>
        <w:t xml:space="preserve"> means Weighted Average Return and Duration of the Index.</w:t>
      </w:r>
    </w:p>
    <w:p w14:paraId="63678516"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Total Return Index</w:t>
      </w:r>
      <w:r w:rsidRPr="00EB49AC">
        <w:rPr>
          <w:rFonts w:ascii="Tahoma" w:hAnsi="Tahoma" w:cs="Tahoma"/>
          <w:sz w:val="20"/>
          <w:szCs w:val="20"/>
        </w:rPr>
        <w:t xml:space="preserve"> means the Index calculated </w:t>
      </w:r>
      <w:proofErr w:type="gramStart"/>
      <w:r w:rsidRPr="00EB49AC">
        <w:rPr>
          <w:rFonts w:ascii="Tahoma" w:hAnsi="Tahoma" w:cs="Tahoma"/>
          <w:sz w:val="20"/>
          <w:szCs w:val="20"/>
        </w:rPr>
        <w:t>on the basis of</w:t>
      </w:r>
      <w:proofErr w:type="gramEnd"/>
      <w:r w:rsidRPr="00EB49AC">
        <w:rPr>
          <w:rFonts w:ascii="Tahoma" w:hAnsi="Tahoma" w:cs="Tahoma"/>
          <w:sz w:val="20"/>
          <w:szCs w:val="20"/>
        </w:rPr>
        <w:t xml:space="preserve"> the value of the Bonds, determined as the sum of the price and the Accumulated Coupon Income of the Bond, subject to coupon reinvestment.</w:t>
      </w:r>
    </w:p>
    <w:p w14:paraId="156975EF" w14:textId="59BE06A4" w:rsidR="006F5C5D" w:rsidRPr="00EB49AC" w:rsidRDefault="006F5C5D"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Zero Coupon Yield Curve, the Curve</w:t>
      </w:r>
      <w:r w:rsidRPr="00EB49AC">
        <w:rPr>
          <w:rFonts w:ascii="Tahoma" w:hAnsi="Tahoma" w:cs="Tahoma"/>
          <w:sz w:val="20"/>
          <w:szCs w:val="20"/>
        </w:rPr>
        <w:t xml:space="preserve"> means the </w:t>
      </w:r>
      <w:proofErr w:type="gramStart"/>
      <w:r w:rsidR="00EB49AC" w:rsidRPr="00EB49AC">
        <w:rPr>
          <w:rFonts w:ascii="Tahoma" w:hAnsi="Tahoma" w:cs="Tahoma"/>
          <w:sz w:val="20"/>
          <w:szCs w:val="20"/>
        </w:rPr>
        <w:t>zero coupon</w:t>
      </w:r>
      <w:proofErr w:type="gramEnd"/>
      <w:r w:rsidRPr="00EB49AC">
        <w:rPr>
          <w:rFonts w:ascii="Tahoma" w:hAnsi="Tahoma" w:cs="Tahoma"/>
          <w:sz w:val="20"/>
          <w:szCs w:val="20"/>
        </w:rPr>
        <w:t xml:space="preserve"> yield curve for the government bond market, calculated in accordance with the Moscow Exchange's Zero Coupon Yield Curve Methodology for Government Securities (Federal Government Bonds (OFZ)). </w:t>
      </w:r>
    </w:p>
    <w:p w14:paraId="09DE1C9B" w14:textId="77777777" w:rsidR="00E23F9E" w:rsidRPr="00EB49AC" w:rsidRDefault="00E23F9E"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Accrued Coupon Income, ACI</w:t>
      </w:r>
      <w:r w:rsidRPr="00EB49AC">
        <w:rPr>
          <w:rFonts w:ascii="Tahoma" w:hAnsi="Tahoma" w:cs="Tahoma"/>
          <w:sz w:val="20"/>
          <w:szCs w:val="20"/>
        </w:rPr>
        <w:t xml:space="preserve"> means the earnings accumulated on the Bond in </w:t>
      </w:r>
      <w:proofErr w:type="spellStart"/>
      <w:r w:rsidRPr="00EB49AC">
        <w:rPr>
          <w:rFonts w:ascii="Tahoma" w:hAnsi="Tahoma" w:cs="Tahoma"/>
          <w:sz w:val="20"/>
          <w:szCs w:val="20"/>
        </w:rPr>
        <w:t>rubles</w:t>
      </w:r>
      <w:proofErr w:type="spellEnd"/>
      <w:r w:rsidRPr="00EB49AC">
        <w:rPr>
          <w:rFonts w:ascii="Tahoma" w:hAnsi="Tahoma" w:cs="Tahoma"/>
          <w:sz w:val="20"/>
          <w:szCs w:val="20"/>
        </w:rPr>
        <w:t>.</w:t>
      </w:r>
    </w:p>
    <w:p w14:paraId="28FC246D" w14:textId="77777777" w:rsidR="00E87D3F" w:rsidRPr="00EB49AC" w:rsidRDefault="00E87D3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Bonds</w:t>
      </w:r>
      <w:r w:rsidRPr="00EB49AC">
        <w:rPr>
          <w:rFonts w:ascii="Tahoma" w:hAnsi="Tahoma" w:cs="Tahoma"/>
          <w:sz w:val="20"/>
          <w:szCs w:val="20"/>
        </w:rPr>
        <w:t xml:space="preserve"> means bonds issued by Russian issuers, admitted to trading on the Exchange and admitted to the MOEX Growth Sector in accordance with the Moscow Exchange Listing Rules;</w:t>
      </w:r>
    </w:p>
    <w:p w14:paraId="6C0E3353"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Call Option</w:t>
      </w:r>
      <w:r w:rsidRPr="00EB49AC">
        <w:rPr>
          <w:rFonts w:ascii="Tahoma" w:hAnsi="Tahoma" w:cs="Tahoma"/>
          <w:sz w:val="20"/>
          <w:szCs w:val="20"/>
        </w:rPr>
        <w:t xml:space="preserve"> means the possibility of early redemption of the Bonds at the initiative of the Bond Issuer.</w:t>
      </w:r>
    </w:p>
    <w:p w14:paraId="77D3ED29"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Put Option, Offer</w:t>
      </w:r>
      <w:r w:rsidRPr="00EB49AC">
        <w:rPr>
          <w:rFonts w:ascii="Tahoma" w:hAnsi="Tahoma" w:cs="Tahoma"/>
          <w:sz w:val="20"/>
          <w:szCs w:val="20"/>
        </w:rPr>
        <w:t xml:space="preserve"> means the possibility of early redemption of the Bonds issue at the initiative of the Bondholders.</w:t>
      </w:r>
    </w:p>
    <w:p w14:paraId="183E4165" w14:textId="4078AA0F"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w:t>
      </w:r>
      <w:r w:rsidR="00EB49AC" w:rsidRPr="00EB49AC">
        <w:rPr>
          <w:rFonts w:ascii="Tahoma" w:hAnsi="Tahoma" w:cs="Tahoma"/>
          <w:sz w:val="20"/>
          <w:szCs w:val="20"/>
        </w:rPr>
        <w:t xml:space="preserve"> </w:t>
      </w:r>
      <w:r w:rsidRPr="00EB49AC">
        <w:rPr>
          <w:rFonts w:ascii="Tahoma" w:hAnsi="Tahoma" w:cs="Tahoma"/>
          <w:i/>
          <w:sz w:val="20"/>
          <w:szCs w:val="20"/>
        </w:rPr>
        <w:t>Weighted Average Return</w:t>
      </w:r>
      <w:r w:rsidRPr="00EB49AC">
        <w:rPr>
          <w:rFonts w:ascii="Tahoma" w:hAnsi="Tahoma" w:cs="Tahoma"/>
          <w:sz w:val="20"/>
          <w:szCs w:val="20"/>
        </w:rPr>
        <w:t xml:space="preserve"> means the weighted average return of Bonds issues in the Index Constituents.</w:t>
      </w:r>
    </w:p>
    <w:p w14:paraId="275F9124" w14:textId="28993E7E"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w:t>
      </w:r>
      <w:r w:rsidR="00EB49AC" w:rsidRPr="00EB49AC">
        <w:rPr>
          <w:rFonts w:ascii="Tahoma" w:hAnsi="Tahoma" w:cs="Tahoma"/>
          <w:sz w:val="20"/>
          <w:szCs w:val="20"/>
        </w:rPr>
        <w:t xml:space="preserve"> </w:t>
      </w:r>
      <w:r w:rsidRPr="00EB49AC">
        <w:rPr>
          <w:rFonts w:ascii="Tahoma" w:hAnsi="Tahoma" w:cs="Tahoma"/>
          <w:i/>
          <w:sz w:val="20"/>
          <w:szCs w:val="20"/>
        </w:rPr>
        <w:t>Weighted Average Duration</w:t>
      </w:r>
      <w:r w:rsidRPr="00EB49AC">
        <w:rPr>
          <w:rFonts w:ascii="Tahoma" w:hAnsi="Tahoma" w:cs="Tahoma"/>
          <w:sz w:val="20"/>
          <w:szCs w:val="20"/>
        </w:rPr>
        <w:t xml:space="preserve"> means the weighted average duration of Bonds issues in the Index Constituents.</w:t>
      </w:r>
    </w:p>
    <w:p w14:paraId="184FD691"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Average Return</w:t>
      </w:r>
      <w:r w:rsidRPr="00EB49AC">
        <w:rPr>
          <w:rFonts w:ascii="Tahoma" w:hAnsi="Tahoma" w:cs="Tahoma"/>
          <w:sz w:val="20"/>
          <w:szCs w:val="20"/>
        </w:rPr>
        <w:t xml:space="preserve"> means return of the Bonds issue determined as the average of returns at the weighted average price of the Bonds issue calculated for ten trading days preceding the date of revision of the Index;</w:t>
      </w:r>
    </w:p>
    <w:p w14:paraId="49E72CE7"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Time to Maturity</w:t>
      </w:r>
      <w:r w:rsidRPr="00EB49AC">
        <w:rPr>
          <w:rFonts w:ascii="Tahoma" w:hAnsi="Tahoma" w:cs="Tahoma"/>
          <w:sz w:val="20"/>
          <w:szCs w:val="20"/>
        </w:rPr>
        <w:t xml:space="preserve"> means the period until the maturity date of the Bond issue or the date of the nearest offer;</w:t>
      </w:r>
    </w:p>
    <w:p w14:paraId="44B2648C" w14:textId="77777777" w:rsidR="00EC6ACF" w:rsidRPr="00EB49AC" w:rsidRDefault="00EC6ACF" w:rsidP="00EB49AC">
      <w:pPr>
        <w:ind w:left="1416" w:hanging="140"/>
        <w:jc w:val="both"/>
        <w:rPr>
          <w:rFonts w:ascii="Tahoma" w:hAnsi="Tahoma" w:cs="Tahoma"/>
          <w:sz w:val="20"/>
          <w:szCs w:val="20"/>
        </w:rPr>
      </w:pPr>
      <w:r w:rsidRPr="00EB49AC">
        <w:rPr>
          <w:rFonts w:ascii="Tahoma" w:hAnsi="Tahoma" w:cs="Tahoma"/>
          <w:i/>
          <w:sz w:val="20"/>
          <w:szCs w:val="20"/>
        </w:rPr>
        <w:t>- Weight</w:t>
      </w:r>
      <w:r w:rsidRPr="00EB49AC">
        <w:rPr>
          <w:rFonts w:ascii="Tahoma" w:hAnsi="Tahoma" w:cs="Tahoma"/>
          <w:sz w:val="20"/>
          <w:szCs w:val="20"/>
        </w:rPr>
        <w:t xml:space="preserve"> means the percentage of the Bond issue value in the total value of all Bonds in the Index;</w:t>
      </w:r>
    </w:p>
    <w:p w14:paraId="0AC82568" w14:textId="77777777" w:rsidR="00E23F9E" w:rsidRPr="00EB49AC" w:rsidRDefault="00751004" w:rsidP="00EB49AC">
      <w:pPr>
        <w:ind w:left="1416" w:hanging="140"/>
        <w:jc w:val="both"/>
        <w:rPr>
          <w:rFonts w:ascii="Tahoma" w:hAnsi="Tahoma" w:cs="Tahoma"/>
          <w:sz w:val="20"/>
          <w:szCs w:val="20"/>
        </w:rPr>
      </w:pPr>
      <w:r w:rsidRPr="00EB49AC">
        <w:rPr>
          <w:rFonts w:ascii="Tahoma" w:hAnsi="Tahoma" w:cs="Tahoma"/>
          <w:sz w:val="20"/>
          <w:szCs w:val="20"/>
        </w:rPr>
        <w:t xml:space="preserve">- </w:t>
      </w:r>
      <w:r w:rsidRPr="00EB49AC">
        <w:rPr>
          <w:rFonts w:ascii="Tahoma" w:hAnsi="Tahoma" w:cs="Tahoma"/>
          <w:i/>
          <w:sz w:val="20"/>
          <w:szCs w:val="20"/>
        </w:rPr>
        <w:t>Price Index</w:t>
      </w:r>
      <w:r w:rsidRPr="00EB49AC">
        <w:rPr>
          <w:rFonts w:ascii="Tahoma" w:hAnsi="Tahoma" w:cs="Tahoma"/>
          <w:sz w:val="20"/>
          <w:szCs w:val="20"/>
        </w:rPr>
        <w:t xml:space="preserve"> means the Index calculated </w:t>
      </w:r>
      <w:proofErr w:type="gramStart"/>
      <w:r w:rsidRPr="00EB49AC">
        <w:rPr>
          <w:rFonts w:ascii="Tahoma" w:hAnsi="Tahoma" w:cs="Tahoma"/>
          <w:sz w:val="20"/>
          <w:szCs w:val="20"/>
        </w:rPr>
        <w:t>on the basis of</w:t>
      </w:r>
      <w:proofErr w:type="gramEnd"/>
      <w:r w:rsidRPr="00EB49AC">
        <w:rPr>
          <w:rFonts w:ascii="Tahoma" w:hAnsi="Tahoma" w:cs="Tahoma"/>
          <w:sz w:val="20"/>
          <w:szCs w:val="20"/>
        </w:rPr>
        <w:t xml:space="preserve"> the prices of the Bonds net of ACI or coupon reinvestment.</w:t>
      </w:r>
    </w:p>
    <w:p w14:paraId="3B4FB264" w14:textId="4D5EDFA6" w:rsidR="00C71016" w:rsidRPr="00EB49AC" w:rsidRDefault="003609E0" w:rsidP="00EB49AC">
      <w:pPr>
        <w:numPr>
          <w:ilvl w:val="2"/>
          <w:numId w:val="1"/>
        </w:numPr>
        <w:tabs>
          <w:tab w:val="clear" w:pos="1224"/>
        </w:tabs>
        <w:ind w:left="1560"/>
        <w:jc w:val="both"/>
        <w:rPr>
          <w:rFonts w:ascii="Tahoma" w:hAnsi="Tahoma" w:cs="Tahoma"/>
          <w:sz w:val="20"/>
          <w:szCs w:val="20"/>
        </w:rPr>
      </w:pPr>
      <w:r w:rsidRPr="00EB49AC">
        <w:rPr>
          <w:rFonts w:ascii="Tahoma" w:hAnsi="Tahoma" w:cs="Tahoma"/>
          <w:sz w:val="20"/>
          <w:szCs w:val="20"/>
        </w:rPr>
        <w:t>Terms and definitions used in the Methodology shall be used in accordance with their meanings given in internal documents of the Exchange, as well as the laws of the Russian Federation, the Bank of Russia regulations and other legal acts of the Russian Federation.</w:t>
      </w:r>
    </w:p>
    <w:p w14:paraId="7B7B7539" w14:textId="5081CB82" w:rsidR="00657BF4" w:rsidRPr="00EB49AC" w:rsidRDefault="00CD1384" w:rsidP="00255A2F">
      <w:pPr>
        <w:numPr>
          <w:ilvl w:val="1"/>
          <w:numId w:val="1"/>
        </w:numPr>
        <w:jc w:val="both"/>
        <w:rPr>
          <w:rFonts w:ascii="Tahoma" w:hAnsi="Tahoma" w:cs="Tahoma"/>
          <w:sz w:val="20"/>
          <w:szCs w:val="20"/>
        </w:rPr>
      </w:pPr>
      <w:r w:rsidRPr="00EB49AC">
        <w:rPr>
          <w:rFonts w:ascii="Tahoma" w:hAnsi="Tahoma" w:cs="Tahoma"/>
          <w:sz w:val="20"/>
          <w:szCs w:val="20"/>
        </w:rPr>
        <w:t>This Methodology defines the procedure for calculating the MOEX Growth Sector Bond Index covering bonds admitted to trading on Moscow Exchange, as well as the procedure for selecting bonds whose trading prices are used to calculate the Index and Additional Factors.</w:t>
      </w:r>
    </w:p>
    <w:p w14:paraId="4A4D162D" w14:textId="77777777" w:rsidR="00584CB8" w:rsidRPr="00EB49AC" w:rsidRDefault="00584CB8" w:rsidP="00584CB8">
      <w:pPr>
        <w:numPr>
          <w:ilvl w:val="1"/>
          <w:numId w:val="1"/>
        </w:numPr>
        <w:jc w:val="both"/>
        <w:rPr>
          <w:rFonts w:ascii="Tahoma" w:hAnsi="Tahoma" w:cs="Tahoma"/>
          <w:sz w:val="20"/>
          <w:szCs w:val="20"/>
        </w:rPr>
      </w:pPr>
      <w:r w:rsidRPr="00EB49AC">
        <w:rPr>
          <w:rFonts w:ascii="Tahoma" w:hAnsi="Tahoma" w:cs="Tahoma"/>
          <w:sz w:val="20"/>
          <w:szCs w:val="20"/>
        </w:rPr>
        <w:t>The Index calculated in accordance with this Methodology shall have the following names and codes:</w:t>
      </w:r>
    </w:p>
    <w:p w14:paraId="0A58899A" w14:textId="77777777" w:rsidR="00584CB8" w:rsidRPr="00EB49AC" w:rsidRDefault="00584CB8" w:rsidP="00584CB8">
      <w:pPr>
        <w:pStyle w:val="af2"/>
        <w:numPr>
          <w:ilvl w:val="0"/>
          <w:numId w:val="46"/>
        </w:numPr>
        <w:jc w:val="both"/>
        <w:rPr>
          <w:rFonts w:ascii="Tahoma" w:hAnsi="Tahoma" w:cs="Tahoma"/>
          <w:sz w:val="20"/>
          <w:szCs w:val="20"/>
          <w:lang w:val="ru-RU"/>
        </w:rPr>
      </w:pPr>
      <w:r w:rsidRPr="00EB49AC">
        <w:rPr>
          <w:rFonts w:ascii="Tahoma" w:hAnsi="Tahoma" w:cs="Tahoma"/>
          <w:sz w:val="20"/>
          <w:szCs w:val="20"/>
        </w:rPr>
        <w:t>Name</w:t>
      </w:r>
      <w:r w:rsidRPr="00EB49AC">
        <w:rPr>
          <w:rFonts w:ascii="Tahoma" w:hAnsi="Tahoma" w:cs="Tahoma"/>
          <w:sz w:val="20"/>
          <w:szCs w:val="20"/>
          <w:lang w:val="ru-RU"/>
        </w:rPr>
        <w:t xml:space="preserve"> </w:t>
      </w:r>
      <w:r w:rsidRPr="00EB49AC">
        <w:rPr>
          <w:rFonts w:ascii="Tahoma" w:hAnsi="Tahoma" w:cs="Tahoma"/>
          <w:sz w:val="20"/>
          <w:szCs w:val="20"/>
        </w:rPr>
        <w:t>in</w:t>
      </w:r>
      <w:r w:rsidRPr="00EB49AC">
        <w:rPr>
          <w:rFonts w:ascii="Tahoma" w:hAnsi="Tahoma" w:cs="Tahoma"/>
          <w:sz w:val="20"/>
          <w:szCs w:val="20"/>
          <w:lang w:val="ru-RU"/>
        </w:rPr>
        <w:t xml:space="preserve"> </w:t>
      </w:r>
      <w:r w:rsidRPr="00EB49AC">
        <w:rPr>
          <w:rFonts w:ascii="Tahoma" w:hAnsi="Tahoma" w:cs="Tahoma"/>
          <w:sz w:val="20"/>
          <w:szCs w:val="20"/>
        </w:rPr>
        <w:t>Russian</w:t>
      </w:r>
      <w:r w:rsidRPr="00EB49AC">
        <w:rPr>
          <w:rFonts w:ascii="Tahoma" w:hAnsi="Tahoma" w:cs="Tahoma"/>
          <w:sz w:val="20"/>
          <w:szCs w:val="20"/>
          <w:lang w:val="ru-RU"/>
        </w:rPr>
        <w:t xml:space="preserve">: "Индекс </w:t>
      </w:r>
      <w:proofErr w:type="spellStart"/>
      <w:r w:rsidRPr="00EB49AC">
        <w:rPr>
          <w:rFonts w:ascii="Tahoma" w:hAnsi="Tahoma" w:cs="Tahoma"/>
          <w:sz w:val="20"/>
          <w:szCs w:val="20"/>
          <w:lang w:val="ru-RU"/>
        </w:rPr>
        <w:t>МосБиржи</w:t>
      </w:r>
      <w:proofErr w:type="spellEnd"/>
      <w:r w:rsidRPr="00EB49AC">
        <w:rPr>
          <w:rFonts w:ascii="Tahoma" w:hAnsi="Tahoma" w:cs="Tahoma"/>
          <w:sz w:val="20"/>
          <w:szCs w:val="20"/>
          <w:lang w:val="ru-RU"/>
        </w:rPr>
        <w:t xml:space="preserve"> Облигаций Сектора роста";</w:t>
      </w:r>
    </w:p>
    <w:p w14:paraId="01A396D7" w14:textId="77777777" w:rsidR="00584CB8" w:rsidRPr="00EB49AC" w:rsidRDefault="00584CB8" w:rsidP="00584CB8">
      <w:pPr>
        <w:pStyle w:val="af2"/>
        <w:numPr>
          <w:ilvl w:val="0"/>
          <w:numId w:val="46"/>
        </w:numPr>
        <w:jc w:val="both"/>
        <w:rPr>
          <w:rFonts w:ascii="Tahoma" w:hAnsi="Tahoma" w:cs="Tahoma"/>
          <w:sz w:val="20"/>
          <w:szCs w:val="20"/>
        </w:rPr>
      </w:pPr>
      <w:r w:rsidRPr="00EB49AC">
        <w:rPr>
          <w:rFonts w:ascii="Tahoma" w:hAnsi="Tahoma" w:cs="Tahoma"/>
          <w:sz w:val="20"/>
          <w:szCs w:val="20"/>
        </w:rPr>
        <w:t>Name in English: "MOEX Growth Sector Bond index";</w:t>
      </w:r>
    </w:p>
    <w:p w14:paraId="7BDE6AED" w14:textId="39A581E6" w:rsidR="00584CB8" w:rsidRPr="00EB49AC" w:rsidRDefault="00584CB8" w:rsidP="00584CB8">
      <w:pPr>
        <w:pStyle w:val="af2"/>
        <w:numPr>
          <w:ilvl w:val="0"/>
          <w:numId w:val="46"/>
        </w:numPr>
        <w:jc w:val="both"/>
        <w:rPr>
          <w:rFonts w:ascii="Tahoma" w:hAnsi="Tahoma" w:cs="Tahoma"/>
          <w:sz w:val="20"/>
          <w:szCs w:val="20"/>
        </w:rPr>
      </w:pPr>
      <w:r w:rsidRPr="00EB49AC">
        <w:rPr>
          <w:rFonts w:ascii="Tahoma" w:hAnsi="Tahoma" w:cs="Tahoma"/>
          <w:sz w:val="20"/>
          <w:szCs w:val="20"/>
        </w:rPr>
        <w:t>The Total Return Index code is RUGROWTR;</w:t>
      </w:r>
    </w:p>
    <w:p w14:paraId="1EB9087A" w14:textId="24E11D4A" w:rsidR="00B223A8" w:rsidRPr="00EB49AC" w:rsidRDefault="00E221E8" w:rsidP="00E221E8">
      <w:pPr>
        <w:pStyle w:val="af2"/>
        <w:numPr>
          <w:ilvl w:val="0"/>
          <w:numId w:val="46"/>
        </w:numPr>
        <w:jc w:val="both"/>
        <w:rPr>
          <w:rFonts w:ascii="Tahoma" w:hAnsi="Tahoma" w:cs="Tahoma"/>
          <w:sz w:val="20"/>
          <w:szCs w:val="20"/>
        </w:rPr>
      </w:pPr>
      <w:r w:rsidRPr="00EB49AC">
        <w:rPr>
          <w:rFonts w:ascii="Tahoma" w:hAnsi="Tahoma" w:cs="Tahoma"/>
          <w:sz w:val="20"/>
          <w:szCs w:val="20"/>
        </w:rPr>
        <w:t>The Price Index code is RUGROWCP.</w:t>
      </w:r>
    </w:p>
    <w:p w14:paraId="44DEFAB5" w14:textId="77777777" w:rsidR="00E221E8" w:rsidRPr="00EB49AC" w:rsidRDefault="00E221E8" w:rsidP="00B223A8">
      <w:pPr>
        <w:ind w:left="1332"/>
        <w:jc w:val="both"/>
        <w:rPr>
          <w:rFonts w:ascii="Tahoma" w:hAnsi="Tahoma" w:cs="Tahoma"/>
          <w:sz w:val="20"/>
          <w:szCs w:val="20"/>
        </w:rPr>
      </w:pPr>
    </w:p>
    <w:p w14:paraId="3B86F16F" w14:textId="77777777" w:rsidR="005F7909" w:rsidRPr="00EB49AC" w:rsidRDefault="005F7909" w:rsidP="00B223A8">
      <w:pPr>
        <w:ind w:left="1332"/>
        <w:jc w:val="both"/>
        <w:rPr>
          <w:rFonts w:ascii="Tahoma" w:hAnsi="Tahoma" w:cs="Tahoma"/>
          <w:sz w:val="20"/>
          <w:szCs w:val="20"/>
        </w:rPr>
      </w:pPr>
      <w:r w:rsidRPr="00EB49AC">
        <w:rPr>
          <w:rFonts w:ascii="Tahoma" w:hAnsi="Tahoma" w:cs="Tahoma"/>
          <w:sz w:val="20"/>
          <w:szCs w:val="20"/>
        </w:rPr>
        <w:t xml:space="preserve">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w:t>
      </w:r>
      <w:r w:rsidRPr="00EB49AC">
        <w:rPr>
          <w:rFonts w:ascii="Tahoma" w:hAnsi="Tahoma" w:cs="Tahoma"/>
          <w:sz w:val="20"/>
          <w:szCs w:val="20"/>
        </w:rPr>
        <w:lastRenderedPageBreak/>
        <w:t>Trademarks and Service Marks of the Russian Federation on 29 August 2014 (trademark certificate No. 521450).</w:t>
      </w:r>
    </w:p>
    <w:p w14:paraId="42E9033E" w14:textId="77777777" w:rsidR="00657BF4" w:rsidRPr="00EB49AC" w:rsidRDefault="00657BF4" w:rsidP="00450022">
      <w:pPr>
        <w:numPr>
          <w:ilvl w:val="1"/>
          <w:numId w:val="1"/>
        </w:numPr>
        <w:jc w:val="both"/>
        <w:rPr>
          <w:rFonts w:ascii="Tahoma" w:hAnsi="Tahoma" w:cs="Tahoma"/>
          <w:sz w:val="20"/>
          <w:szCs w:val="20"/>
        </w:rPr>
      </w:pPr>
      <w:r w:rsidRPr="00EB49AC">
        <w:rPr>
          <w:rFonts w:ascii="Tahoma" w:hAnsi="Tahoma" w:cs="Tahoma"/>
          <w:sz w:val="20"/>
          <w:szCs w:val="20"/>
        </w:rPr>
        <w:t>This Methodology, as well as all amendments and additions thereto, shall be approved by the Exchange and shall come into effect on a date determined by the Exchange. It may be amended and supplemented no more frequently than once a quarter.</w:t>
      </w:r>
    </w:p>
    <w:p w14:paraId="002E4C27" w14:textId="667A3BB3" w:rsidR="00657BF4" w:rsidRPr="00EB49AC" w:rsidRDefault="00657BF4" w:rsidP="00450022">
      <w:pPr>
        <w:numPr>
          <w:ilvl w:val="1"/>
          <w:numId w:val="1"/>
        </w:numPr>
        <w:jc w:val="both"/>
        <w:rPr>
          <w:rFonts w:ascii="Tahoma" w:hAnsi="Tahoma" w:cs="Tahoma"/>
          <w:sz w:val="20"/>
          <w:szCs w:val="20"/>
        </w:rPr>
      </w:pPr>
      <w:r w:rsidRPr="00EB49AC">
        <w:rPr>
          <w:rFonts w:ascii="Tahoma" w:hAnsi="Tahoma" w:cs="Tahoma"/>
          <w:sz w:val="20"/>
          <w:szCs w:val="20"/>
        </w:rPr>
        <w:t xml:space="preserve">The Methodology as approved (with amendments and supplements thereto) shall be published on the </w:t>
      </w:r>
      <w:r w:rsidR="00EB49AC" w:rsidRPr="00EB49AC">
        <w:rPr>
          <w:rFonts w:ascii="Tahoma" w:hAnsi="Tahoma" w:cs="Tahoma"/>
          <w:sz w:val="20"/>
          <w:szCs w:val="20"/>
        </w:rPr>
        <w:t>official website</w:t>
      </w:r>
      <w:r w:rsidRPr="00EB49AC">
        <w:rPr>
          <w:rFonts w:ascii="Tahoma" w:hAnsi="Tahoma" w:cs="Tahoma"/>
          <w:sz w:val="20"/>
          <w:szCs w:val="20"/>
        </w:rPr>
        <w:t xml:space="preserve"> of Moscow Exchange not later than three working days prior to its effective date, unless the Exchange resolves otherwise.</w:t>
      </w:r>
    </w:p>
    <w:p w14:paraId="0B2C137E" w14:textId="77777777" w:rsidR="00D90454" w:rsidRPr="00EB49AC" w:rsidRDefault="00D90454" w:rsidP="00D90454">
      <w:pPr>
        <w:tabs>
          <w:tab w:val="num" w:pos="1000"/>
        </w:tabs>
        <w:ind w:left="972"/>
        <w:jc w:val="both"/>
        <w:rPr>
          <w:rFonts w:ascii="Tahoma" w:hAnsi="Tahoma" w:cs="Tahoma"/>
          <w:sz w:val="20"/>
          <w:szCs w:val="20"/>
        </w:rPr>
      </w:pPr>
    </w:p>
    <w:p w14:paraId="34F47968" w14:textId="77777777" w:rsidR="00657BF4" w:rsidRPr="00EB49AC" w:rsidRDefault="00657BF4" w:rsidP="003F7FEF">
      <w:pPr>
        <w:numPr>
          <w:ilvl w:val="0"/>
          <w:numId w:val="1"/>
        </w:numPr>
        <w:outlineLvl w:val="0"/>
        <w:rPr>
          <w:rFonts w:ascii="Tahoma" w:hAnsi="Tahoma" w:cs="Tahoma"/>
          <w:b/>
          <w:sz w:val="20"/>
          <w:szCs w:val="20"/>
        </w:rPr>
      </w:pPr>
      <w:bookmarkStart w:id="2" w:name="_Toc26205686"/>
      <w:bookmarkStart w:id="3" w:name="_Toc26211546"/>
      <w:bookmarkStart w:id="4" w:name="_Toc26295629"/>
      <w:bookmarkStart w:id="5" w:name="_Toc26365583"/>
      <w:bookmarkStart w:id="6" w:name="_Toc26365651"/>
      <w:bookmarkStart w:id="7" w:name="_Toc26369751"/>
      <w:bookmarkStart w:id="8" w:name="_Toc155893764"/>
      <w:bookmarkEnd w:id="2"/>
      <w:bookmarkEnd w:id="3"/>
      <w:bookmarkEnd w:id="4"/>
      <w:bookmarkEnd w:id="5"/>
      <w:bookmarkEnd w:id="6"/>
      <w:bookmarkEnd w:id="7"/>
      <w:r w:rsidRPr="00EB49AC">
        <w:rPr>
          <w:rFonts w:ascii="Tahoma" w:hAnsi="Tahoma" w:cs="Tahoma"/>
          <w:b/>
          <w:sz w:val="20"/>
          <w:szCs w:val="20"/>
        </w:rPr>
        <w:t>General Index Calculation Overview</w:t>
      </w:r>
      <w:bookmarkEnd w:id="8"/>
    </w:p>
    <w:p w14:paraId="21E24837" w14:textId="77777777" w:rsidR="00657BF4" w:rsidRPr="00EB49AC" w:rsidRDefault="00657BF4" w:rsidP="003F7FEF">
      <w:pPr>
        <w:ind w:left="360"/>
        <w:outlineLvl w:val="0"/>
        <w:rPr>
          <w:rFonts w:ascii="Tahoma" w:hAnsi="Tahoma" w:cs="Tahoma"/>
          <w:b/>
          <w:sz w:val="20"/>
          <w:szCs w:val="20"/>
        </w:rPr>
      </w:pPr>
    </w:p>
    <w:p w14:paraId="00F92E7A" w14:textId="15957A97" w:rsidR="00657BF4" w:rsidRPr="00EB49AC" w:rsidRDefault="00E92BEC" w:rsidP="00EB47F6">
      <w:pPr>
        <w:numPr>
          <w:ilvl w:val="1"/>
          <w:numId w:val="1"/>
        </w:numPr>
        <w:tabs>
          <w:tab w:val="num" w:pos="1000"/>
        </w:tabs>
        <w:jc w:val="both"/>
        <w:rPr>
          <w:rStyle w:val="af3"/>
          <w:rFonts w:ascii="Tahoma" w:hAnsi="Tahoma" w:cs="Tahoma"/>
        </w:rPr>
      </w:pPr>
      <w:bookmarkStart w:id="9" w:name="_Ref323386348"/>
      <w:bookmarkStart w:id="10" w:name="п_2_1"/>
      <w:bookmarkEnd w:id="9"/>
      <w:r w:rsidRPr="00EB49AC">
        <w:rPr>
          <w:rStyle w:val="af3"/>
          <w:rFonts w:ascii="Tahoma" w:hAnsi="Tahoma" w:cs="Tahoma"/>
        </w:rPr>
        <w:t xml:space="preserve">The Index is calculated </w:t>
      </w:r>
      <w:proofErr w:type="gramStart"/>
      <w:r w:rsidRPr="00EB49AC">
        <w:rPr>
          <w:rStyle w:val="af3"/>
          <w:rFonts w:ascii="Tahoma" w:hAnsi="Tahoma" w:cs="Tahoma"/>
        </w:rPr>
        <w:t>on the basis of</w:t>
      </w:r>
      <w:proofErr w:type="gramEnd"/>
      <w:r w:rsidRPr="00EB49AC">
        <w:rPr>
          <w:rStyle w:val="af3"/>
          <w:rFonts w:ascii="Tahoma" w:hAnsi="Tahoma" w:cs="Tahoma"/>
        </w:rPr>
        <w:t xml:space="preserve"> trades in </w:t>
      </w:r>
      <w:r w:rsidR="00EB49AC" w:rsidRPr="00EB49AC">
        <w:rPr>
          <w:rStyle w:val="af3"/>
          <w:rFonts w:ascii="Tahoma" w:hAnsi="Tahoma" w:cs="Tahoma"/>
        </w:rPr>
        <w:t>the</w:t>
      </w:r>
      <w:r w:rsidRPr="00EB49AC">
        <w:rPr>
          <w:rStyle w:val="af3"/>
          <w:rFonts w:ascii="Tahoma" w:hAnsi="Tahoma" w:cs="Tahoma"/>
        </w:rPr>
        <w:t xml:space="preserve"> Bonds executed on MOEX. The Index and Additional Factors are calculated every trading day after closing of the main trading session. The Exchange is entitled to set other frequency of calculation of the Index and Additional Factors. </w:t>
      </w:r>
    </w:p>
    <w:p w14:paraId="7278BAE6" w14:textId="77777777" w:rsidR="00463DB1" w:rsidRPr="00EB49AC" w:rsidRDefault="009C227F" w:rsidP="00EB47F6">
      <w:pPr>
        <w:numPr>
          <w:ilvl w:val="1"/>
          <w:numId w:val="1"/>
        </w:numPr>
        <w:tabs>
          <w:tab w:val="num" w:pos="1000"/>
        </w:tabs>
        <w:jc w:val="both"/>
        <w:rPr>
          <w:rStyle w:val="af3"/>
          <w:rFonts w:ascii="Tahoma" w:hAnsi="Tahoma" w:cs="Tahoma"/>
        </w:rPr>
      </w:pPr>
      <w:r w:rsidRPr="00EB49AC">
        <w:rPr>
          <w:rStyle w:val="af3"/>
          <w:rFonts w:ascii="Tahoma" w:hAnsi="Tahoma" w:cs="Tahoma"/>
        </w:rPr>
        <w:t>This Methodology provides for the following procedure for calculation of the Index:</w:t>
      </w:r>
    </w:p>
    <w:p w14:paraId="1CA6F112" w14:textId="77777777" w:rsidR="004777D8" w:rsidRPr="00EB49AC" w:rsidRDefault="004777D8" w:rsidP="002A6306">
      <w:pPr>
        <w:numPr>
          <w:ilvl w:val="2"/>
          <w:numId w:val="1"/>
        </w:numPr>
        <w:jc w:val="both"/>
        <w:rPr>
          <w:rStyle w:val="af3"/>
          <w:rFonts w:ascii="Tahoma" w:hAnsi="Tahoma" w:cs="Tahoma"/>
        </w:rPr>
      </w:pPr>
      <w:r w:rsidRPr="00EB49AC">
        <w:rPr>
          <w:rStyle w:val="af3"/>
          <w:rFonts w:ascii="Tahoma" w:hAnsi="Tahoma" w:cs="Tahoma"/>
        </w:rPr>
        <w:t>The Price Index shall be calculated using the following formula:</w:t>
      </w:r>
    </w:p>
    <w:p w14:paraId="4B7B0F56" w14:textId="77777777" w:rsidR="00C2467D" w:rsidRPr="00EB49AC" w:rsidRDefault="00C2467D" w:rsidP="00C2467D">
      <w:pPr>
        <w:jc w:val="both"/>
        <w:rPr>
          <w:rStyle w:val="af3"/>
          <w:rFonts w:ascii="Tahoma" w:hAnsi="Tahoma" w:cs="Tahoma"/>
        </w:rPr>
      </w:pPr>
    </w:p>
    <w:p w14:paraId="4B08413D" w14:textId="77777777" w:rsidR="00FD08CD" w:rsidRPr="00EB49AC" w:rsidRDefault="00EB49AC" w:rsidP="005570D2">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PI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P</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16BBA9B0" w14:textId="77777777" w:rsidR="00FD08CD" w:rsidRPr="00EB49AC" w:rsidRDefault="00FD08CD" w:rsidP="00FD08CD">
      <w:pPr>
        <w:pStyle w:val="af7"/>
        <w:rPr>
          <w:rFonts w:cs="Tahoma"/>
        </w:rPr>
      </w:pPr>
      <w:r w:rsidRPr="00EB49AC">
        <w:rPr>
          <w:rFonts w:cs="Tahoma"/>
        </w:rPr>
        <w:t>where:</w:t>
      </w:r>
    </w:p>
    <w:p w14:paraId="38698753" w14:textId="77777777" w:rsidR="00FD08CD" w:rsidRPr="00EB49AC" w:rsidRDefault="00FD08CD" w:rsidP="00FD08CD">
      <w:pPr>
        <w:pStyle w:val="af7"/>
        <w:rPr>
          <w:rFonts w:cs="Tahoma"/>
        </w:rPr>
      </w:pPr>
      <w:r w:rsidRPr="00EB49AC">
        <w:rPr>
          <w:rFonts w:cs="Tahoma"/>
        </w:rPr>
        <w:t xml:space="preserve">PI </w:t>
      </w:r>
      <w:r w:rsidRPr="00EB49AC">
        <w:rPr>
          <w:rFonts w:cs="Tahoma"/>
          <w:vertAlign w:val="subscript"/>
        </w:rPr>
        <w:t>n</w:t>
      </w:r>
      <w:r w:rsidRPr="00EB49AC">
        <w:rPr>
          <w:rFonts w:cs="Tahoma"/>
        </w:rPr>
        <w:t xml:space="preserve"> – the Price Index value at time n;</w:t>
      </w:r>
    </w:p>
    <w:p w14:paraId="43795272" w14:textId="77777777" w:rsidR="00FD08CD" w:rsidRPr="00EB49AC" w:rsidRDefault="00FD08CD" w:rsidP="00FD08CD">
      <w:pPr>
        <w:pStyle w:val="af7"/>
        <w:rPr>
          <w:rFonts w:cs="Tahoma"/>
        </w:rPr>
      </w:pPr>
      <w:proofErr w:type="spellStart"/>
      <w:proofErr w:type="gramStart"/>
      <w:r w:rsidRPr="00EB49AC">
        <w:rPr>
          <w:rFonts w:cs="Tahoma"/>
        </w:rPr>
        <w:t>P</w:t>
      </w:r>
      <w:r w:rsidRPr="00EB49AC">
        <w:rPr>
          <w:rFonts w:cs="Tahoma"/>
          <w:vertAlign w:val="subscript"/>
        </w:rPr>
        <w:t>i,n</w:t>
      </w:r>
      <w:proofErr w:type="spellEnd"/>
      <w:proofErr w:type="gramEnd"/>
      <w:r w:rsidRPr="00EB49AC">
        <w:rPr>
          <w:rFonts w:cs="Tahoma"/>
        </w:rPr>
        <w:t xml:space="preserve"> - the weighted average price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as a percentage of the principal value;</w:t>
      </w:r>
    </w:p>
    <w:p w14:paraId="205CAA58" w14:textId="77777777" w:rsidR="00FD08CD" w:rsidRPr="00EB49AC" w:rsidRDefault="00FD08CD" w:rsidP="00FD08CD">
      <w:pPr>
        <w:pStyle w:val="af7"/>
        <w:rPr>
          <w:rFonts w:cs="Tahoma"/>
        </w:rPr>
      </w:pPr>
      <w:proofErr w:type="spellStart"/>
      <w:proofErr w:type="gramStart"/>
      <w:r w:rsidRPr="00EB49AC">
        <w:rPr>
          <w:rFonts w:cs="Tahoma"/>
        </w:rPr>
        <w:t>FV</w:t>
      </w:r>
      <w:r w:rsidRPr="00EB49AC">
        <w:rPr>
          <w:rFonts w:cs="Tahoma"/>
          <w:vertAlign w:val="subscript"/>
        </w:rPr>
        <w:t>i,n</w:t>
      </w:r>
      <w:proofErr w:type="spellEnd"/>
      <w:proofErr w:type="gramEnd"/>
      <w:r w:rsidRPr="00EB49AC">
        <w:rPr>
          <w:rFonts w:cs="Tahoma"/>
        </w:rPr>
        <w:t xml:space="preserve"> - the principal value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r w:rsidRPr="00EB49AC">
        <w:rPr>
          <w:rFonts w:cs="Tahoma"/>
        </w:rPr>
        <w:br/>
      </w:r>
    </w:p>
    <w:p w14:paraId="1DFFBE06" w14:textId="77777777" w:rsidR="00FD08CD" w:rsidRPr="00EB49AC" w:rsidRDefault="00FD08CD" w:rsidP="00FD08CD">
      <w:pPr>
        <w:pStyle w:val="af7"/>
        <w:rPr>
          <w:rFonts w:cs="Tahoma"/>
        </w:rPr>
      </w:pPr>
      <w:proofErr w:type="spellStart"/>
      <w:proofErr w:type="gramStart"/>
      <w:r w:rsidRPr="00EB49AC">
        <w:rPr>
          <w:rFonts w:cs="Tahoma"/>
        </w:rPr>
        <w:t>N</w:t>
      </w:r>
      <w:r w:rsidRPr="00EB49AC">
        <w:rPr>
          <w:rFonts w:cs="Tahoma"/>
          <w:vertAlign w:val="subscript"/>
        </w:rPr>
        <w:t>i,n</w:t>
      </w:r>
      <w:proofErr w:type="spellEnd"/>
      <w:proofErr w:type="gramEnd"/>
      <w:r w:rsidRPr="00EB49AC">
        <w:rPr>
          <w:rFonts w:cs="Tahoma"/>
        </w:rPr>
        <w:t xml:space="preserve"> - volume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 at time n, expressed in units of securities;</w:t>
      </w:r>
    </w:p>
    <w:p w14:paraId="7729ADAA" w14:textId="77777777" w:rsidR="00FD08CD" w:rsidRPr="00EB49AC" w:rsidRDefault="00FD08CD" w:rsidP="00FD08CD">
      <w:pPr>
        <w:pStyle w:val="af7"/>
        <w:rPr>
          <w:rFonts w:cs="Tahoma"/>
        </w:rPr>
      </w:pPr>
      <w:r w:rsidRPr="00EB49AC">
        <w:rPr>
          <w:rFonts w:cs="Tahoma"/>
        </w:rPr>
        <w:t>W</w:t>
      </w:r>
      <w:r w:rsidRPr="00EB49AC">
        <w:rPr>
          <w:rFonts w:cs="Tahoma"/>
          <w:vertAlign w:val="subscript"/>
        </w:rPr>
        <w:t>i</w:t>
      </w:r>
      <w:r w:rsidRPr="00EB49AC">
        <w:rPr>
          <w:rFonts w:cs="Tahoma"/>
        </w:rPr>
        <w:t xml:space="preserve"> – a coefficient restricting the proportion of capitalisation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Issuer (the Weighting Factor). It equals one unless otherwise set out in Clause 5.</w:t>
      </w:r>
    </w:p>
    <w:p w14:paraId="14F84986" w14:textId="77777777" w:rsidR="004777D8" w:rsidRPr="00EB49AC" w:rsidRDefault="004777D8" w:rsidP="002A6306">
      <w:pPr>
        <w:numPr>
          <w:ilvl w:val="2"/>
          <w:numId w:val="1"/>
        </w:numPr>
        <w:jc w:val="both"/>
        <w:rPr>
          <w:rStyle w:val="af3"/>
          <w:rFonts w:ascii="Tahoma" w:hAnsi="Tahoma" w:cs="Tahoma"/>
        </w:rPr>
      </w:pPr>
      <w:r w:rsidRPr="00EB49AC">
        <w:rPr>
          <w:rStyle w:val="af3"/>
          <w:rFonts w:ascii="Tahoma" w:hAnsi="Tahoma" w:cs="Tahoma"/>
        </w:rPr>
        <w:t>The Total Return Index shall be calculated using the following formula:</w:t>
      </w:r>
    </w:p>
    <w:p w14:paraId="14294969" w14:textId="77777777" w:rsidR="005570D2" w:rsidRPr="00EB49AC" w:rsidRDefault="005570D2" w:rsidP="005570D2">
      <w:pPr>
        <w:ind w:left="1224"/>
        <w:jc w:val="both"/>
        <w:rPr>
          <w:rStyle w:val="af3"/>
          <w:rFonts w:ascii="Tahoma" w:hAnsi="Tahoma" w:cs="Tahoma"/>
        </w:rPr>
      </w:pPr>
    </w:p>
    <w:p w14:paraId="0EF20FAC" w14:textId="77777777" w:rsidR="005570D2" w:rsidRPr="00EB49AC" w:rsidRDefault="00EB49AC" w:rsidP="005570D2">
      <w:pPr>
        <w:ind w:left="1224"/>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774FFABE" w14:textId="77777777" w:rsidR="005570D2" w:rsidRPr="00EB49AC" w:rsidRDefault="005570D2" w:rsidP="000D4221">
      <w:pPr>
        <w:ind w:left="1559"/>
        <w:jc w:val="both"/>
        <w:rPr>
          <w:rFonts w:ascii="Tahoma" w:hAnsi="Tahoma" w:cs="Tahoma"/>
          <w:sz w:val="20"/>
          <w:szCs w:val="20"/>
        </w:rPr>
      </w:pPr>
      <w:r w:rsidRPr="00EB49AC">
        <w:rPr>
          <w:rFonts w:ascii="Tahoma" w:hAnsi="Tahoma" w:cs="Tahoma"/>
          <w:sz w:val="20"/>
          <w:szCs w:val="20"/>
        </w:rPr>
        <w:t>where:</w:t>
      </w:r>
    </w:p>
    <w:p w14:paraId="5253533E" w14:textId="77777777" w:rsidR="005570D2" w:rsidRPr="00EB49AC" w:rsidRDefault="005570D2" w:rsidP="000D4221">
      <w:pPr>
        <w:pStyle w:val="af7"/>
        <w:rPr>
          <w:rFonts w:cs="Tahoma"/>
        </w:rPr>
      </w:pPr>
      <w:proofErr w:type="spellStart"/>
      <w:r w:rsidRPr="00EB49AC">
        <w:rPr>
          <w:rFonts w:cs="Tahoma"/>
        </w:rPr>
        <w:t>CIn</w:t>
      </w:r>
      <w:proofErr w:type="spellEnd"/>
      <w:r w:rsidRPr="00EB49AC">
        <w:rPr>
          <w:rFonts w:cs="Tahoma"/>
        </w:rPr>
        <w:t xml:space="preserve"> – the value of the Total Return Index at time n;</w:t>
      </w:r>
    </w:p>
    <w:p w14:paraId="61AD540D" w14:textId="77777777" w:rsidR="005570D2" w:rsidRPr="00EB49AC" w:rsidRDefault="005570D2" w:rsidP="000D4221">
      <w:pPr>
        <w:pStyle w:val="af7"/>
        <w:rPr>
          <w:rFonts w:cs="Tahoma"/>
        </w:rPr>
      </w:pPr>
      <w:proofErr w:type="spellStart"/>
      <w:proofErr w:type="gramStart"/>
      <w:r w:rsidRPr="00EB49AC">
        <w:rPr>
          <w:rFonts w:cs="Tahoma"/>
        </w:rPr>
        <w:t>Pi,n</w:t>
      </w:r>
      <w:proofErr w:type="spellEnd"/>
      <w:proofErr w:type="gramEnd"/>
      <w:r w:rsidRPr="00EB49AC">
        <w:rPr>
          <w:rFonts w:cs="Tahoma"/>
        </w:rPr>
        <w:t xml:space="preserve"> - the weighted average price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as a percentage of the principal value;</w:t>
      </w:r>
    </w:p>
    <w:p w14:paraId="517E7174" w14:textId="77777777" w:rsidR="005570D2" w:rsidRPr="00EB49AC" w:rsidRDefault="005570D2" w:rsidP="000D4221">
      <w:pPr>
        <w:pStyle w:val="af7"/>
        <w:rPr>
          <w:rFonts w:cs="Tahoma"/>
        </w:rPr>
      </w:pPr>
      <w:proofErr w:type="spellStart"/>
      <w:proofErr w:type="gramStart"/>
      <w:r w:rsidRPr="00EB49AC">
        <w:rPr>
          <w:rFonts w:cs="Tahoma"/>
        </w:rPr>
        <w:t>FVi,n</w:t>
      </w:r>
      <w:proofErr w:type="spellEnd"/>
      <w:proofErr w:type="gramEnd"/>
      <w:r w:rsidRPr="00EB49AC">
        <w:rPr>
          <w:rFonts w:cs="Tahoma"/>
        </w:rPr>
        <w:t xml:space="preserve"> - the principal value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7AD35D35" w14:textId="77777777" w:rsidR="005570D2" w:rsidRPr="00EB49AC" w:rsidRDefault="005570D2" w:rsidP="000D4221">
      <w:pPr>
        <w:pStyle w:val="af7"/>
        <w:rPr>
          <w:rFonts w:cs="Tahoma"/>
        </w:rPr>
      </w:pPr>
      <w:proofErr w:type="spellStart"/>
      <w:proofErr w:type="gramStart"/>
      <w:r w:rsidRPr="00EB49AC">
        <w:rPr>
          <w:rFonts w:cs="Tahoma"/>
        </w:rPr>
        <w:t>Ai,n</w:t>
      </w:r>
      <w:proofErr w:type="spellEnd"/>
      <w:proofErr w:type="gramEnd"/>
      <w:r w:rsidRPr="00EB49AC">
        <w:rPr>
          <w:rFonts w:cs="Tahoma"/>
        </w:rPr>
        <w:t xml:space="preserve"> - the accrued coupon income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19ABB3F1" w14:textId="77777777" w:rsidR="005570D2" w:rsidRPr="00EB49AC" w:rsidRDefault="005570D2" w:rsidP="000D4221">
      <w:pPr>
        <w:pStyle w:val="af7"/>
        <w:rPr>
          <w:rFonts w:cs="Tahoma"/>
        </w:rPr>
      </w:pPr>
      <w:proofErr w:type="spellStart"/>
      <w:proofErr w:type="gramStart"/>
      <w:r w:rsidRPr="00EB49AC">
        <w:rPr>
          <w:rFonts w:cs="Tahoma"/>
        </w:rPr>
        <w:t>Gi,n</w:t>
      </w:r>
      <w:proofErr w:type="spellEnd"/>
      <w:proofErr w:type="gramEnd"/>
      <w:r w:rsidRPr="00EB49AC">
        <w:rPr>
          <w:rFonts w:cs="Tahoma"/>
        </w:rPr>
        <w:t xml:space="preserve"> - the amount of coupon income paid on day n on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6B22D76D" w14:textId="77777777" w:rsidR="005570D2" w:rsidRPr="00EB49AC" w:rsidRDefault="005570D2" w:rsidP="000D4221">
      <w:pPr>
        <w:pStyle w:val="af7"/>
        <w:rPr>
          <w:rFonts w:cs="Tahoma"/>
        </w:rPr>
      </w:pPr>
      <w:proofErr w:type="spellStart"/>
      <w:proofErr w:type="gramStart"/>
      <w:r w:rsidRPr="00EB49AC">
        <w:rPr>
          <w:rFonts w:cs="Tahoma"/>
        </w:rPr>
        <w:t>Ni,n</w:t>
      </w:r>
      <w:proofErr w:type="spellEnd"/>
      <w:proofErr w:type="gramEnd"/>
      <w:r w:rsidRPr="00EB49AC">
        <w:rPr>
          <w:rFonts w:cs="Tahoma"/>
        </w:rPr>
        <w:t xml:space="preserve"> - volume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 at time n, expressed in units of securities;</w:t>
      </w:r>
    </w:p>
    <w:p w14:paraId="32AF5740" w14:textId="77777777" w:rsidR="005570D2" w:rsidRPr="00EB49AC" w:rsidRDefault="005570D2" w:rsidP="000D4221">
      <w:pPr>
        <w:pStyle w:val="af7"/>
        <w:rPr>
          <w:rFonts w:cs="Tahoma"/>
        </w:rPr>
      </w:pPr>
      <w:proofErr w:type="spellStart"/>
      <w:proofErr w:type="gramStart"/>
      <w:r w:rsidRPr="00EB49AC">
        <w:rPr>
          <w:rFonts w:cs="Tahoma"/>
        </w:rPr>
        <w:t>Wi,n</w:t>
      </w:r>
      <w:proofErr w:type="spellEnd"/>
      <w:proofErr w:type="gramEnd"/>
      <w:r w:rsidRPr="00EB49AC">
        <w:rPr>
          <w:rFonts w:cs="Tahoma"/>
        </w:rPr>
        <w:t xml:space="preserve"> – a coefficient restricting the proportion of capitalisation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Issuer (the Weighting Factor). It equals one unless otherwise set out in Clause 5.</w:t>
      </w:r>
    </w:p>
    <w:p w14:paraId="76015E60" w14:textId="77777777" w:rsidR="004777D8" w:rsidRPr="00EB49AC" w:rsidRDefault="004777D8" w:rsidP="002A6306">
      <w:pPr>
        <w:numPr>
          <w:ilvl w:val="2"/>
          <w:numId w:val="1"/>
        </w:numPr>
        <w:jc w:val="both"/>
        <w:rPr>
          <w:rStyle w:val="af3"/>
          <w:rFonts w:ascii="Tahoma" w:hAnsi="Tahoma" w:cs="Tahoma"/>
        </w:rPr>
      </w:pPr>
      <w:r w:rsidRPr="00EB49AC">
        <w:rPr>
          <w:rStyle w:val="af3"/>
          <w:rFonts w:ascii="Tahoma" w:hAnsi="Tahoma" w:cs="Tahoma"/>
        </w:rPr>
        <w:t>Additional Factors are calculated according to the following formulas:</w:t>
      </w:r>
    </w:p>
    <w:p w14:paraId="2D8E772C" w14:textId="77777777" w:rsidR="004777D8" w:rsidRPr="00EB49AC" w:rsidRDefault="004777D8" w:rsidP="002A6306">
      <w:pPr>
        <w:numPr>
          <w:ilvl w:val="3"/>
          <w:numId w:val="1"/>
        </w:numPr>
        <w:jc w:val="both"/>
        <w:rPr>
          <w:rStyle w:val="af3"/>
          <w:rFonts w:ascii="Tahoma" w:hAnsi="Tahoma" w:cs="Tahoma"/>
        </w:rPr>
      </w:pPr>
      <w:r w:rsidRPr="00EB49AC">
        <w:rPr>
          <w:rStyle w:val="af3"/>
          <w:rFonts w:ascii="Tahoma" w:hAnsi="Tahoma" w:cs="Tahoma"/>
        </w:rPr>
        <w:t>The Weighted Average Duration is calculated using the following formula:</w:t>
      </w:r>
    </w:p>
    <w:p w14:paraId="4D7EABEC" w14:textId="77777777" w:rsidR="00C002AF" w:rsidRPr="00EB49AC" w:rsidRDefault="00C002AF" w:rsidP="00C002AF">
      <w:pPr>
        <w:jc w:val="both"/>
        <w:rPr>
          <w:rStyle w:val="af3"/>
          <w:rFonts w:ascii="Tahoma" w:hAnsi="Tahoma" w:cs="Tahoma"/>
        </w:rPr>
      </w:pPr>
    </w:p>
    <w:p w14:paraId="0F966DE1" w14:textId="77777777" w:rsidR="00C002AF" w:rsidRPr="00EB49AC" w:rsidRDefault="00EB49AC" w:rsidP="00C002AF">
      <w:pPr>
        <w:pStyle w:val="af7"/>
        <w:jc w:val="center"/>
        <w:rPr>
          <w:rFonts w:cs="Tahoma"/>
        </w:rPr>
      </w:pPr>
      <m:oMathPara>
        <m:oMath>
          <m:sSub>
            <m:sSubPr>
              <m:ctrlPr>
                <w:rPr>
                  <w:rFonts w:ascii="Cambria Math" w:hAnsi="Cambria Math" w:cs="Tahoma"/>
                  <w:lang w:val="en-US"/>
                </w:rPr>
              </m:ctrlPr>
            </m:sSubPr>
            <m:e>
              <m:r>
                <m:rPr>
                  <m:sty m:val="p"/>
                </m:rPr>
                <w:rPr>
                  <w:rFonts w:ascii="Cambria Math" w:hAnsi="Cambria Math" w:cs="Tahoma"/>
                  <w:lang w:val="en-US"/>
                </w:rPr>
                <m:t>D</m:t>
              </m:r>
            </m:e>
            <m:sub>
              <m:r>
                <m:rPr>
                  <m:sty m:val="p"/>
                </m:rPr>
                <w:rPr>
                  <w:rFonts w:ascii="Cambria Math" w:hAnsi="Cambria Math" w:cs="Tahoma"/>
                  <w:lang w:val="en-US"/>
                </w:rPr>
                <m:t>n</m:t>
              </m:r>
            </m:sub>
          </m:sSub>
          <m:r>
            <m:rPr>
              <m:sty m:val="p"/>
            </m:rPr>
            <w:rPr>
              <w:rFonts w:ascii="Cambria Math" w:hAnsi="Cambria Math" w:cs="Tahoma"/>
            </w:rPr>
            <m:t>=</m:t>
          </m:r>
          <m:f>
            <m:fPr>
              <m:ctrlPr>
                <w:rPr>
                  <w:rFonts w:ascii="Cambria Math" w:hAnsi="Cambria Math" w:cs="Tahoma"/>
                </w:rPr>
              </m:ctrlPr>
            </m:fPr>
            <m:num>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sSub>
                    <m:sSubPr>
                      <m:ctrlPr>
                        <w:rPr>
                          <w:rFonts w:ascii="Cambria Math" w:hAnsi="Cambria Math" w:cs="Tahoma"/>
                        </w:rPr>
                      </m:ctrlPr>
                    </m:sSubPr>
                    <m:e>
                      <m:r>
                        <m:rPr>
                          <m:sty m:val="p"/>
                        </m:rPr>
                        <w:rPr>
                          <w:rFonts w:ascii="Cambria Math" w:hAnsi="Cambria Math" w:cs="Tahoma"/>
                        </w:rPr>
                        <m:t>D</m:t>
                      </m:r>
                    </m:e>
                    <m:sub>
                      <m:r>
                        <m:rPr>
                          <m:sty m:val="p"/>
                        </m:rPr>
                        <w:rPr>
                          <w:rFonts w:ascii="Cambria Math" w:hAnsi="Cambria Math" w:cs="Tahoma"/>
                        </w:rPr>
                        <m:t>i,n</m:t>
                      </m:r>
                    </m:sub>
                  </m:sSub>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G</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r>
                    <m:rPr>
                      <m:sty m:val="p"/>
                    </m:rPr>
                    <w:rPr>
                      <w:rFonts w:ascii="Cambria Math" w:hAnsi="Cambria Math" w:cs="Tahoma"/>
                    </w:rPr>
                    <m:t>,</m:t>
                  </m:r>
                </m:e>
              </m:nary>
            </m:num>
            <m:den>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e>
              </m:nary>
            </m:den>
          </m:f>
        </m:oMath>
      </m:oMathPara>
    </w:p>
    <w:p w14:paraId="19020EDB" w14:textId="77777777" w:rsidR="00C002AF" w:rsidRPr="00EB49AC" w:rsidRDefault="00C002AF" w:rsidP="00C002AF">
      <w:pPr>
        <w:pStyle w:val="af7"/>
        <w:rPr>
          <w:rFonts w:cs="Tahoma"/>
        </w:rPr>
      </w:pPr>
      <w:r w:rsidRPr="00EB49AC">
        <w:rPr>
          <w:rFonts w:cs="Tahoma"/>
        </w:rPr>
        <w:t>where:</w:t>
      </w:r>
    </w:p>
    <w:p w14:paraId="7F00B149" w14:textId="77777777" w:rsidR="00C002AF" w:rsidRPr="00EB49AC" w:rsidRDefault="000230F8" w:rsidP="00C002AF">
      <w:pPr>
        <w:pStyle w:val="af7"/>
        <w:rPr>
          <w:rFonts w:cs="Tahoma"/>
        </w:rPr>
      </w:pPr>
      <w:r w:rsidRPr="00EB49AC">
        <w:rPr>
          <w:rFonts w:cs="Tahoma"/>
        </w:rPr>
        <w:t xml:space="preserve">D </w:t>
      </w:r>
      <w:r w:rsidRPr="00EB49AC">
        <w:rPr>
          <w:rFonts w:cs="Tahoma"/>
          <w:vertAlign w:val="subscript"/>
        </w:rPr>
        <w:t>n</w:t>
      </w:r>
      <w:r w:rsidRPr="00EB49AC">
        <w:rPr>
          <w:rFonts w:cs="Tahoma"/>
        </w:rPr>
        <w:t xml:space="preserve"> – the value of the Weighted Average Duration at time n;</w:t>
      </w:r>
    </w:p>
    <w:p w14:paraId="589E3388" w14:textId="77777777" w:rsidR="0034552C" w:rsidRPr="00EB49AC" w:rsidRDefault="000230F8" w:rsidP="0034552C">
      <w:pPr>
        <w:pStyle w:val="af7"/>
        <w:rPr>
          <w:rFonts w:cs="Tahoma"/>
        </w:rPr>
      </w:pPr>
      <w:proofErr w:type="spellStart"/>
      <w:proofErr w:type="gramStart"/>
      <w:r w:rsidRPr="00EB49AC">
        <w:rPr>
          <w:rFonts w:cs="Tahoma"/>
        </w:rPr>
        <w:t>D</w:t>
      </w:r>
      <w:r w:rsidRPr="00EB49AC">
        <w:rPr>
          <w:rFonts w:cs="Tahoma"/>
          <w:vertAlign w:val="subscript"/>
        </w:rPr>
        <w:t>i,n</w:t>
      </w:r>
      <w:proofErr w:type="spellEnd"/>
      <w:proofErr w:type="gramEnd"/>
      <w:r w:rsidRPr="00EB49AC">
        <w:rPr>
          <w:rFonts w:cs="Tahoma"/>
        </w:rPr>
        <w:t xml:space="preserve"> - the duration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482BC58B" w14:textId="77777777" w:rsidR="00C002AF" w:rsidRPr="00EB49AC" w:rsidRDefault="00C002AF" w:rsidP="00C002AF">
      <w:pPr>
        <w:pStyle w:val="af7"/>
        <w:rPr>
          <w:rFonts w:cs="Tahoma"/>
        </w:rPr>
      </w:pPr>
      <w:proofErr w:type="spellStart"/>
      <w:proofErr w:type="gramStart"/>
      <w:r w:rsidRPr="00EB49AC">
        <w:rPr>
          <w:rFonts w:cs="Tahoma"/>
        </w:rPr>
        <w:t>P</w:t>
      </w:r>
      <w:r w:rsidRPr="00EB49AC">
        <w:rPr>
          <w:rFonts w:cs="Tahoma"/>
          <w:vertAlign w:val="subscript"/>
        </w:rPr>
        <w:t>i,n</w:t>
      </w:r>
      <w:proofErr w:type="spellEnd"/>
      <w:proofErr w:type="gramEnd"/>
      <w:r w:rsidRPr="00EB49AC">
        <w:rPr>
          <w:rFonts w:cs="Tahoma"/>
        </w:rPr>
        <w:t xml:space="preserve"> - the weighted average price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as a percentage of the principal value;</w:t>
      </w:r>
    </w:p>
    <w:p w14:paraId="524636DE" w14:textId="77777777" w:rsidR="00C002AF" w:rsidRPr="00EB49AC" w:rsidRDefault="00C002AF" w:rsidP="00C002AF">
      <w:pPr>
        <w:pStyle w:val="af7"/>
        <w:rPr>
          <w:rFonts w:cs="Tahoma"/>
        </w:rPr>
      </w:pPr>
      <w:proofErr w:type="spellStart"/>
      <w:proofErr w:type="gramStart"/>
      <w:r w:rsidRPr="00EB49AC">
        <w:rPr>
          <w:rFonts w:cs="Tahoma"/>
        </w:rPr>
        <w:lastRenderedPageBreak/>
        <w:t>FV</w:t>
      </w:r>
      <w:r w:rsidRPr="00EB49AC">
        <w:rPr>
          <w:rFonts w:cs="Tahoma"/>
          <w:vertAlign w:val="subscript"/>
        </w:rPr>
        <w:t>i,n</w:t>
      </w:r>
      <w:proofErr w:type="spellEnd"/>
      <w:proofErr w:type="gramEnd"/>
      <w:r w:rsidRPr="00EB49AC">
        <w:rPr>
          <w:rFonts w:cs="Tahoma"/>
        </w:rPr>
        <w:t xml:space="preserve"> - the principal value of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6AB3C687" w14:textId="77777777" w:rsidR="00C002AF" w:rsidRPr="00EB49AC" w:rsidRDefault="00C002AF" w:rsidP="00C002AF">
      <w:pPr>
        <w:pStyle w:val="af7"/>
        <w:rPr>
          <w:rFonts w:cs="Tahoma"/>
        </w:rPr>
      </w:pPr>
      <w:proofErr w:type="spellStart"/>
      <w:proofErr w:type="gramStart"/>
      <w:r w:rsidRPr="00EB49AC">
        <w:rPr>
          <w:rFonts w:cs="Tahoma"/>
        </w:rPr>
        <w:t>A</w:t>
      </w:r>
      <w:r w:rsidRPr="00EB49AC">
        <w:rPr>
          <w:rFonts w:cs="Tahoma"/>
          <w:vertAlign w:val="subscript"/>
        </w:rPr>
        <w:t>i,n</w:t>
      </w:r>
      <w:proofErr w:type="spellEnd"/>
      <w:proofErr w:type="gramEnd"/>
      <w:r w:rsidRPr="00EB49AC">
        <w:rPr>
          <w:rFonts w:cs="Tahoma"/>
        </w:rPr>
        <w:t xml:space="preserve"> - the accrued coupon income of the Bond at time n, expressed in roubles;</w:t>
      </w:r>
    </w:p>
    <w:p w14:paraId="0DD407C1" w14:textId="77777777" w:rsidR="00C002AF" w:rsidRPr="00EB49AC" w:rsidRDefault="00C002AF" w:rsidP="00C002AF">
      <w:pPr>
        <w:pStyle w:val="af7"/>
        <w:rPr>
          <w:rFonts w:cs="Tahoma"/>
        </w:rPr>
      </w:pPr>
      <w:proofErr w:type="spellStart"/>
      <w:proofErr w:type="gramStart"/>
      <w:r w:rsidRPr="00EB49AC">
        <w:rPr>
          <w:rFonts w:cs="Tahoma"/>
        </w:rPr>
        <w:t>G</w:t>
      </w:r>
      <w:r w:rsidRPr="00EB49AC">
        <w:rPr>
          <w:rFonts w:cs="Tahoma"/>
          <w:vertAlign w:val="subscript"/>
        </w:rPr>
        <w:t>i,n</w:t>
      </w:r>
      <w:proofErr w:type="spellEnd"/>
      <w:proofErr w:type="gramEnd"/>
      <w:r w:rsidRPr="00EB49AC">
        <w:rPr>
          <w:rFonts w:cs="Tahoma"/>
        </w:rPr>
        <w:t xml:space="preserve"> - the amount of coupon income paid on day n on the Bond of the </w:t>
      </w:r>
      <w:proofErr w:type="spellStart"/>
      <w:r w:rsidRPr="00EB49AC">
        <w:rPr>
          <w:rFonts w:cs="Tahoma"/>
        </w:rPr>
        <w:t>i</w:t>
      </w:r>
      <w:r w:rsidRPr="00EB49AC">
        <w:rPr>
          <w:rFonts w:cs="Tahoma"/>
          <w:vertAlign w:val="superscript"/>
        </w:rPr>
        <w:t>th</w:t>
      </w:r>
      <w:proofErr w:type="spellEnd"/>
      <w:r w:rsidRPr="00EB49AC">
        <w:rPr>
          <w:rFonts w:cs="Tahoma"/>
        </w:rPr>
        <w:t xml:space="preserve"> issue at time n, expressed in roubles;</w:t>
      </w:r>
    </w:p>
    <w:p w14:paraId="1A3A415F" w14:textId="77777777" w:rsidR="00C002AF" w:rsidRPr="00EB49AC" w:rsidRDefault="00C002AF" w:rsidP="00C002AF">
      <w:pPr>
        <w:pStyle w:val="af7"/>
        <w:rPr>
          <w:rFonts w:cs="Tahoma"/>
        </w:rPr>
      </w:pPr>
      <w:proofErr w:type="spellStart"/>
      <w:proofErr w:type="gramStart"/>
      <w:r w:rsidRPr="00EB49AC">
        <w:rPr>
          <w:rFonts w:cs="Tahoma"/>
        </w:rPr>
        <w:t>N</w:t>
      </w:r>
      <w:r w:rsidRPr="00EB49AC">
        <w:rPr>
          <w:rFonts w:cs="Tahoma"/>
          <w:vertAlign w:val="subscript"/>
        </w:rPr>
        <w:t>i,n</w:t>
      </w:r>
      <w:proofErr w:type="spellEnd"/>
      <w:proofErr w:type="gramEnd"/>
      <w:r w:rsidRPr="00EB49AC">
        <w:rPr>
          <w:rFonts w:cs="Tahoma"/>
        </w:rPr>
        <w:t xml:space="preserve"> - volume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 at time n, expressed in units of securities;</w:t>
      </w:r>
    </w:p>
    <w:p w14:paraId="47EA8D36" w14:textId="77777777" w:rsidR="00C002AF" w:rsidRPr="00EB49AC" w:rsidRDefault="00C002AF" w:rsidP="00C002AF">
      <w:pPr>
        <w:pStyle w:val="af7"/>
        <w:rPr>
          <w:rFonts w:cs="Tahoma"/>
        </w:rPr>
      </w:pPr>
      <w:r w:rsidRPr="00EB49AC">
        <w:rPr>
          <w:rFonts w:cs="Tahoma"/>
        </w:rPr>
        <w:t>W</w:t>
      </w:r>
      <w:r w:rsidRPr="00EB49AC">
        <w:rPr>
          <w:rFonts w:cs="Tahoma"/>
          <w:vertAlign w:val="subscript"/>
        </w:rPr>
        <w:t>i</w:t>
      </w:r>
      <w:r w:rsidRPr="00EB49AC">
        <w:rPr>
          <w:rFonts w:cs="Tahoma"/>
        </w:rPr>
        <w:t xml:space="preserve"> – a coefficient restricting the proportion of capitalisation of the </w:t>
      </w:r>
      <w:proofErr w:type="spellStart"/>
      <w:r w:rsidRPr="00EB49AC">
        <w:rPr>
          <w:rFonts w:cs="Tahoma"/>
        </w:rPr>
        <w:t>i</w:t>
      </w:r>
      <w:r w:rsidRPr="00EB49AC">
        <w:rPr>
          <w:rFonts w:cs="Tahoma"/>
          <w:vertAlign w:val="superscript"/>
        </w:rPr>
        <w:t>th</w:t>
      </w:r>
      <w:proofErr w:type="spellEnd"/>
      <w:r w:rsidRPr="00EB49AC">
        <w:rPr>
          <w:rFonts w:cs="Tahoma"/>
        </w:rPr>
        <w:t xml:space="preserve"> Bond Issuer (the Weighting Factor). It equals one unless otherwise set out in Clause 5.</w:t>
      </w:r>
    </w:p>
    <w:p w14:paraId="0C383733" w14:textId="77777777" w:rsidR="00C002AF" w:rsidRPr="00EB49AC" w:rsidRDefault="00C002AF" w:rsidP="00C002AF">
      <w:pPr>
        <w:jc w:val="both"/>
        <w:rPr>
          <w:rStyle w:val="af3"/>
          <w:rFonts w:ascii="Tahoma" w:hAnsi="Tahoma" w:cs="Tahoma"/>
        </w:rPr>
      </w:pPr>
    </w:p>
    <w:p w14:paraId="63AA4630" w14:textId="77777777" w:rsidR="004777D8" w:rsidRPr="00EB49AC" w:rsidRDefault="004777D8" w:rsidP="002A6306">
      <w:pPr>
        <w:numPr>
          <w:ilvl w:val="3"/>
          <w:numId w:val="1"/>
        </w:numPr>
        <w:jc w:val="both"/>
        <w:rPr>
          <w:rStyle w:val="af3"/>
          <w:rFonts w:ascii="Tahoma" w:hAnsi="Tahoma" w:cs="Tahoma"/>
        </w:rPr>
      </w:pPr>
      <w:r w:rsidRPr="00EB49AC">
        <w:rPr>
          <w:rStyle w:val="af3"/>
          <w:rFonts w:ascii="Tahoma" w:hAnsi="Tahoma" w:cs="Tahoma"/>
        </w:rPr>
        <w:t>The Weighted Average Return is calculated according to the following formula:</w:t>
      </w:r>
    </w:p>
    <w:p w14:paraId="16539527" w14:textId="77777777" w:rsidR="0083221C" w:rsidRPr="00EB49AC" w:rsidRDefault="0083221C" w:rsidP="0083221C">
      <w:pPr>
        <w:jc w:val="both"/>
        <w:rPr>
          <w:rStyle w:val="af3"/>
          <w:rFonts w:ascii="Tahoma" w:hAnsi="Tahoma" w:cs="Tahoma"/>
        </w:rPr>
      </w:pPr>
    </w:p>
    <w:p w14:paraId="1F8DBA5C" w14:textId="77777777" w:rsidR="0034552C" w:rsidRPr="00EB49AC" w:rsidRDefault="00EB49AC" w:rsidP="0034552C">
      <w:pPr>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Y</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sSub>
                    <m:sSubPr>
                      <m:ctrlPr>
                        <w:rPr>
                          <w:rFonts w:ascii="Cambria Math" w:hAnsi="Cambria Math" w:cs="Tahoma"/>
                          <w:sz w:val="20"/>
                          <w:szCs w:val="20"/>
                        </w:rPr>
                      </m:ctrlPr>
                    </m:sSubPr>
                    <m:e>
                      <m:r>
                        <m:rPr>
                          <m:sty m:val="p"/>
                        </m:rPr>
                        <w:rPr>
                          <w:rFonts w:ascii="Cambria Math" w:hAnsi="Cambria Math" w:cs="Tahoma"/>
                          <w:sz w:val="20"/>
                          <w:szCs w:val="20"/>
                        </w:rPr>
                        <m:t>Y</m:t>
                      </m:r>
                    </m:e>
                    <m:sub>
                      <m:r>
                        <m:rPr>
                          <m:sty m:val="p"/>
                        </m:rPr>
                        <w:rPr>
                          <w:rFonts w:ascii="Cambria Math" w:hAnsi="Cambria Math" w:cs="Tahoma"/>
                          <w:sz w:val="20"/>
                          <w:szCs w:val="20"/>
                        </w:rPr>
                        <m:t>i,n</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1B330FF3" w14:textId="77777777" w:rsidR="0034552C" w:rsidRPr="00EB49AC" w:rsidRDefault="0034552C" w:rsidP="002370C4">
      <w:pPr>
        <w:ind w:left="1416"/>
        <w:jc w:val="both"/>
        <w:rPr>
          <w:rFonts w:ascii="Tahoma" w:hAnsi="Tahoma" w:cs="Tahoma"/>
          <w:sz w:val="20"/>
          <w:szCs w:val="20"/>
        </w:rPr>
      </w:pPr>
      <w:r w:rsidRPr="00EB49AC">
        <w:rPr>
          <w:rFonts w:ascii="Tahoma" w:hAnsi="Tahoma" w:cs="Tahoma"/>
          <w:sz w:val="20"/>
          <w:szCs w:val="20"/>
        </w:rPr>
        <w:t>where:</w:t>
      </w:r>
    </w:p>
    <w:p w14:paraId="10F79D6B" w14:textId="77777777" w:rsidR="0034552C" w:rsidRPr="00EB49AC" w:rsidRDefault="000230F8" w:rsidP="00401EAF">
      <w:pPr>
        <w:ind w:left="1416"/>
        <w:jc w:val="both"/>
        <w:rPr>
          <w:rFonts w:ascii="Tahoma" w:hAnsi="Tahoma" w:cs="Tahoma"/>
          <w:sz w:val="20"/>
          <w:szCs w:val="20"/>
        </w:rPr>
      </w:pPr>
      <w:r w:rsidRPr="00EB49AC">
        <w:rPr>
          <w:rFonts w:ascii="Tahoma" w:hAnsi="Tahoma" w:cs="Tahoma"/>
          <w:sz w:val="20"/>
          <w:szCs w:val="20"/>
        </w:rPr>
        <w:t xml:space="preserve">Y </w:t>
      </w:r>
      <w:r w:rsidRPr="00EB49AC">
        <w:rPr>
          <w:rFonts w:ascii="Tahoma" w:hAnsi="Tahoma" w:cs="Tahoma"/>
          <w:sz w:val="20"/>
          <w:szCs w:val="20"/>
          <w:vertAlign w:val="subscript"/>
        </w:rPr>
        <w:t>n</w:t>
      </w:r>
      <w:r w:rsidRPr="00EB49AC">
        <w:rPr>
          <w:rFonts w:ascii="Tahoma" w:hAnsi="Tahoma" w:cs="Tahoma"/>
          <w:sz w:val="20"/>
          <w:szCs w:val="20"/>
        </w:rPr>
        <w:t xml:space="preserve"> – the value of the Weighted Average Return at time n;</w:t>
      </w:r>
    </w:p>
    <w:p w14:paraId="065ED7EF" w14:textId="77777777" w:rsidR="000230F8" w:rsidRPr="00EB49AC" w:rsidRDefault="000230F8" w:rsidP="000230F8">
      <w:pPr>
        <w:ind w:left="1416"/>
        <w:jc w:val="both"/>
        <w:rPr>
          <w:rFonts w:ascii="Tahoma" w:hAnsi="Tahoma" w:cs="Tahoma"/>
          <w:sz w:val="20"/>
          <w:szCs w:val="20"/>
        </w:rPr>
      </w:pPr>
      <w:proofErr w:type="spellStart"/>
      <w:proofErr w:type="gramStart"/>
      <w:r w:rsidRPr="00EB49AC">
        <w:rPr>
          <w:rFonts w:ascii="Tahoma" w:hAnsi="Tahoma" w:cs="Tahoma"/>
          <w:sz w:val="20"/>
          <w:szCs w:val="20"/>
        </w:rPr>
        <w:t>Yi,n</w:t>
      </w:r>
      <w:proofErr w:type="spellEnd"/>
      <w:proofErr w:type="gramEnd"/>
      <w:r w:rsidRPr="00EB49AC">
        <w:rPr>
          <w:rFonts w:ascii="Tahoma" w:hAnsi="Tahoma" w:cs="Tahoma"/>
          <w:sz w:val="20"/>
          <w:szCs w:val="20"/>
        </w:rPr>
        <w:t xml:space="preserve"> - the duration of the Bond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issue at time n, expressed in roubles;</w:t>
      </w:r>
    </w:p>
    <w:p w14:paraId="7F8E98ED"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P</w:t>
      </w:r>
      <w:r w:rsidRPr="00EB49AC">
        <w:rPr>
          <w:rFonts w:ascii="Tahoma" w:hAnsi="Tahoma" w:cs="Tahoma"/>
          <w:sz w:val="20"/>
          <w:szCs w:val="20"/>
          <w:vertAlign w:val="subscript"/>
        </w:rPr>
        <w:t>i,n</w:t>
      </w:r>
      <w:proofErr w:type="spellEnd"/>
      <w:proofErr w:type="gramEnd"/>
      <w:r w:rsidRPr="00EB49AC">
        <w:rPr>
          <w:rFonts w:ascii="Tahoma" w:hAnsi="Tahoma" w:cs="Tahoma"/>
          <w:sz w:val="20"/>
          <w:szCs w:val="20"/>
        </w:rPr>
        <w:t xml:space="preserve"> - the weighted average price of the Bond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issue at time n, expressed as a percentage of the principal value;</w:t>
      </w:r>
    </w:p>
    <w:p w14:paraId="1C8DC9A4"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FV</w:t>
      </w:r>
      <w:r w:rsidRPr="00EB49AC">
        <w:rPr>
          <w:rFonts w:ascii="Tahoma" w:hAnsi="Tahoma" w:cs="Tahoma"/>
          <w:sz w:val="20"/>
          <w:szCs w:val="20"/>
          <w:vertAlign w:val="subscript"/>
        </w:rPr>
        <w:t>i,n</w:t>
      </w:r>
      <w:proofErr w:type="spellEnd"/>
      <w:proofErr w:type="gramEnd"/>
      <w:r w:rsidRPr="00EB49AC">
        <w:rPr>
          <w:rFonts w:ascii="Tahoma" w:hAnsi="Tahoma" w:cs="Tahoma"/>
          <w:sz w:val="20"/>
          <w:szCs w:val="20"/>
        </w:rPr>
        <w:t xml:space="preserve"> - the principal value of the Bond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issue at time n, expressed in roubles;</w:t>
      </w:r>
    </w:p>
    <w:p w14:paraId="067D50B4"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A</w:t>
      </w:r>
      <w:r w:rsidRPr="00EB49AC">
        <w:rPr>
          <w:rFonts w:ascii="Tahoma" w:hAnsi="Tahoma" w:cs="Tahoma"/>
          <w:sz w:val="20"/>
          <w:szCs w:val="20"/>
          <w:vertAlign w:val="subscript"/>
        </w:rPr>
        <w:t>i,n</w:t>
      </w:r>
      <w:proofErr w:type="spellEnd"/>
      <w:proofErr w:type="gramEnd"/>
      <w:r w:rsidRPr="00EB49AC">
        <w:rPr>
          <w:rFonts w:ascii="Tahoma" w:hAnsi="Tahoma" w:cs="Tahoma"/>
          <w:sz w:val="20"/>
          <w:szCs w:val="20"/>
        </w:rPr>
        <w:t xml:space="preserve"> - the accrued coupon income of the Bond at time n, expressed in roubles;</w:t>
      </w:r>
    </w:p>
    <w:p w14:paraId="108DBEBE"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G</w:t>
      </w:r>
      <w:r w:rsidRPr="00EB49AC">
        <w:rPr>
          <w:rFonts w:ascii="Tahoma" w:hAnsi="Tahoma" w:cs="Tahoma"/>
          <w:sz w:val="20"/>
          <w:szCs w:val="20"/>
          <w:vertAlign w:val="subscript"/>
        </w:rPr>
        <w:t>i,n</w:t>
      </w:r>
      <w:proofErr w:type="spellEnd"/>
      <w:proofErr w:type="gramEnd"/>
      <w:r w:rsidRPr="00EB49AC">
        <w:rPr>
          <w:rFonts w:ascii="Tahoma" w:hAnsi="Tahoma" w:cs="Tahoma"/>
          <w:sz w:val="20"/>
          <w:szCs w:val="20"/>
        </w:rPr>
        <w:t xml:space="preserve"> - the amount of coupon income paid on day n on the Bond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issue at time n, expressed in roubles;</w:t>
      </w:r>
    </w:p>
    <w:p w14:paraId="28DB3F17"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N</w:t>
      </w:r>
      <w:r w:rsidRPr="00EB49AC">
        <w:rPr>
          <w:rFonts w:ascii="Tahoma" w:hAnsi="Tahoma" w:cs="Tahoma"/>
          <w:sz w:val="20"/>
          <w:szCs w:val="20"/>
          <w:vertAlign w:val="subscript"/>
        </w:rPr>
        <w:t>i,n</w:t>
      </w:r>
      <w:proofErr w:type="spellEnd"/>
      <w:proofErr w:type="gramEnd"/>
      <w:r w:rsidRPr="00EB49AC">
        <w:rPr>
          <w:rFonts w:ascii="Tahoma" w:hAnsi="Tahoma" w:cs="Tahoma"/>
          <w:sz w:val="20"/>
          <w:szCs w:val="20"/>
        </w:rPr>
        <w:t xml:space="preserve"> - volume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Bond issue at time n, expressed in units of securities;</w:t>
      </w:r>
    </w:p>
    <w:p w14:paraId="7E101471" w14:textId="77777777" w:rsidR="0034552C" w:rsidRPr="00EB49AC" w:rsidRDefault="0034552C" w:rsidP="00401EAF">
      <w:pPr>
        <w:ind w:left="1416"/>
        <w:jc w:val="both"/>
        <w:rPr>
          <w:rFonts w:ascii="Tahoma" w:hAnsi="Tahoma" w:cs="Tahoma"/>
          <w:sz w:val="20"/>
          <w:szCs w:val="20"/>
        </w:rPr>
      </w:pPr>
      <w:proofErr w:type="spellStart"/>
      <w:proofErr w:type="gramStart"/>
      <w:r w:rsidRPr="00EB49AC">
        <w:rPr>
          <w:rFonts w:ascii="Tahoma" w:hAnsi="Tahoma" w:cs="Tahoma"/>
          <w:sz w:val="20"/>
          <w:szCs w:val="20"/>
        </w:rPr>
        <w:t>W</w:t>
      </w:r>
      <w:r w:rsidRPr="00EB49AC">
        <w:rPr>
          <w:rFonts w:ascii="Tahoma" w:hAnsi="Tahoma" w:cs="Tahoma"/>
          <w:sz w:val="20"/>
          <w:szCs w:val="20"/>
          <w:vertAlign w:val="subscript"/>
        </w:rPr>
        <w:t>i,т</w:t>
      </w:r>
      <w:proofErr w:type="spellEnd"/>
      <w:proofErr w:type="gramEnd"/>
      <w:r w:rsidRPr="00EB49AC">
        <w:rPr>
          <w:rFonts w:ascii="Tahoma" w:hAnsi="Tahoma" w:cs="Tahoma"/>
          <w:sz w:val="20"/>
          <w:szCs w:val="20"/>
        </w:rPr>
        <w:t xml:space="preserve"> – a coefficient restricting the proportion of capitalisation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Bond Issuer (the Weighting Factor). It equals one unless otherwise set out in Clause 5.</w:t>
      </w:r>
    </w:p>
    <w:bookmarkEnd w:id="10"/>
    <w:p w14:paraId="49ED3101" w14:textId="7641CAF6" w:rsidR="00A55318" w:rsidRPr="00EB49AC" w:rsidRDefault="00A55318" w:rsidP="002A6306">
      <w:pPr>
        <w:numPr>
          <w:ilvl w:val="2"/>
          <w:numId w:val="1"/>
        </w:numPr>
        <w:jc w:val="both"/>
        <w:rPr>
          <w:rStyle w:val="af3"/>
          <w:rFonts w:ascii="Tahoma" w:hAnsi="Tahoma" w:cs="Tahoma"/>
        </w:rPr>
      </w:pPr>
      <w:r w:rsidRPr="00EB49AC">
        <w:rPr>
          <w:rStyle w:val="af3"/>
          <w:rFonts w:ascii="Tahoma" w:hAnsi="Tahoma" w:cs="Tahoma"/>
        </w:rPr>
        <w:t xml:space="preserve">Values of the Index and the Weighted Average Return are </w:t>
      </w:r>
      <w:r w:rsidR="00EB49AC" w:rsidRPr="00EB49AC">
        <w:rPr>
          <w:rStyle w:val="af3"/>
          <w:rFonts w:ascii="Tahoma" w:hAnsi="Tahoma" w:cs="Tahoma"/>
        </w:rPr>
        <w:t>calculated</w:t>
      </w:r>
      <w:r w:rsidRPr="00EB49AC">
        <w:rPr>
          <w:rStyle w:val="af3"/>
          <w:rFonts w:ascii="Tahoma" w:hAnsi="Tahoma" w:cs="Tahoma"/>
        </w:rPr>
        <w:t xml:space="preserve"> to two decimal places. The Weighted Average Duration is calculated to the nearest integer.</w:t>
      </w:r>
    </w:p>
    <w:p w14:paraId="2B7DDA3E" w14:textId="77777777" w:rsidR="00E7250B" w:rsidRPr="00EB49AC" w:rsidRDefault="00E7250B" w:rsidP="002A6306">
      <w:pPr>
        <w:numPr>
          <w:ilvl w:val="2"/>
          <w:numId w:val="1"/>
        </w:numPr>
        <w:jc w:val="both"/>
        <w:rPr>
          <w:rStyle w:val="af3"/>
          <w:rFonts w:ascii="Tahoma" w:hAnsi="Tahoma" w:cs="Tahoma"/>
        </w:rPr>
      </w:pPr>
      <w:r w:rsidRPr="00EB49AC">
        <w:rPr>
          <w:rStyle w:val="af3"/>
          <w:rFonts w:ascii="Tahoma" w:hAnsi="Tahoma" w:cs="Tahoma"/>
        </w:rPr>
        <w:t>The start date of calculation of the Index is 30 Dec 2019. The initial value of the Index is 100.</w:t>
      </w:r>
    </w:p>
    <w:p w14:paraId="162A3F10" w14:textId="77777777" w:rsidR="00A55318" w:rsidRPr="00EB49AC" w:rsidRDefault="00A55318" w:rsidP="002A6306">
      <w:pPr>
        <w:numPr>
          <w:ilvl w:val="2"/>
          <w:numId w:val="1"/>
        </w:numPr>
        <w:jc w:val="both"/>
        <w:rPr>
          <w:rFonts w:ascii="Tahoma" w:hAnsi="Tahoma" w:cs="Tahoma"/>
          <w:sz w:val="20"/>
          <w:szCs w:val="20"/>
        </w:rPr>
      </w:pPr>
      <w:r w:rsidRPr="00EB49AC">
        <w:rPr>
          <w:rFonts w:ascii="Tahoma" w:hAnsi="Tahoma" w:cs="Tahoma"/>
          <w:sz w:val="20"/>
          <w:szCs w:val="20"/>
        </w:rPr>
        <w:t>In case of suspension (termination) of trading in a Bond issue in the Index, the last value of the weighted average price of the issue shall be used to calculate the Index during the period of suspension of trading in the issue (until resumption of trading or until the date of exclusion of the issue from the Index).</w:t>
      </w:r>
    </w:p>
    <w:p w14:paraId="6DC207AD" w14:textId="77777777" w:rsidR="00432996" w:rsidRPr="00EB49AC" w:rsidRDefault="00432996" w:rsidP="00315188">
      <w:pPr>
        <w:rPr>
          <w:rFonts w:ascii="Tahoma" w:hAnsi="Tahoma" w:cs="Tahoma"/>
          <w:sz w:val="20"/>
          <w:szCs w:val="20"/>
        </w:rPr>
      </w:pPr>
    </w:p>
    <w:p w14:paraId="47AD60E6" w14:textId="77777777" w:rsidR="0014572C" w:rsidRPr="00EB49AC" w:rsidRDefault="0014572C" w:rsidP="00315188">
      <w:pPr>
        <w:rPr>
          <w:rFonts w:ascii="Tahoma" w:hAnsi="Tahoma" w:cs="Tahoma"/>
          <w:sz w:val="20"/>
          <w:szCs w:val="20"/>
        </w:rPr>
      </w:pPr>
    </w:p>
    <w:p w14:paraId="3281C0FB" w14:textId="77777777" w:rsidR="002067FC" w:rsidRPr="00EB49AC" w:rsidRDefault="00220ED2" w:rsidP="00EB47F6">
      <w:pPr>
        <w:numPr>
          <w:ilvl w:val="0"/>
          <w:numId w:val="1"/>
        </w:numPr>
        <w:outlineLvl w:val="0"/>
        <w:rPr>
          <w:rFonts w:ascii="Tahoma" w:hAnsi="Tahoma" w:cs="Tahoma"/>
          <w:b/>
          <w:sz w:val="20"/>
          <w:szCs w:val="20"/>
        </w:rPr>
      </w:pPr>
      <w:bookmarkStart w:id="11" w:name="_Toc155893765"/>
      <w:r w:rsidRPr="00EB49AC">
        <w:rPr>
          <w:rFonts w:ascii="Tahoma" w:hAnsi="Tahoma" w:cs="Tahoma"/>
          <w:b/>
          <w:sz w:val="20"/>
          <w:szCs w:val="20"/>
        </w:rPr>
        <w:t>Index Construction Principles</w:t>
      </w:r>
      <w:bookmarkEnd w:id="11"/>
    </w:p>
    <w:p w14:paraId="36D537B3" w14:textId="77777777" w:rsidR="002067FC" w:rsidRPr="00EB49AC" w:rsidRDefault="002067FC" w:rsidP="002067FC">
      <w:pPr>
        <w:pStyle w:val="a3"/>
        <w:spacing w:after="0"/>
        <w:ind w:left="360"/>
        <w:jc w:val="both"/>
        <w:rPr>
          <w:rFonts w:ascii="Tahoma" w:hAnsi="Tahoma" w:cs="Tahoma"/>
          <w:sz w:val="20"/>
        </w:rPr>
      </w:pPr>
    </w:p>
    <w:p w14:paraId="2CC691B0" w14:textId="77777777" w:rsidR="002067FC" w:rsidRPr="00EB49AC" w:rsidRDefault="00CF13DC" w:rsidP="00DC1D94">
      <w:pPr>
        <w:numPr>
          <w:ilvl w:val="1"/>
          <w:numId w:val="1"/>
        </w:numPr>
        <w:tabs>
          <w:tab w:val="num" w:pos="1000"/>
        </w:tabs>
        <w:jc w:val="both"/>
        <w:rPr>
          <w:rStyle w:val="af3"/>
          <w:rFonts w:ascii="Tahoma" w:hAnsi="Tahoma" w:cs="Tahoma"/>
        </w:rPr>
      </w:pPr>
      <w:r w:rsidRPr="00EB49AC">
        <w:rPr>
          <w:rStyle w:val="af3"/>
          <w:rFonts w:ascii="Tahoma" w:hAnsi="Tahoma" w:cs="Tahoma"/>
        </w:rPr>
        <w:t>Bonds, which prices are used to calculate the Index, are included in Index Constituents if they meet the following requirements as of the date the Index Constituents are selected:</w:t>
      </w:r>
    </w:p>
    <w:p w14:paraId="58CFE799" w14:textId="77777777" w:rsidR="002067FC" w:rsidRPr="00EB49AC" w:rsidRDefault="002067FC" w:rsidP="0048545E">
      <w:pPr>
        <w:numPr>
          <w:ilvl w:val="2"/>
          <w:numId w:val="1"/>
        </w:numPr>
        <w:jc w:val="both"/>
        <w:rPr>
          <w:rFonts w:ascii="Tahoma" w:hAnsi="Tahoma" w:cs="Tahoma"/>
          <w:sz w:val="20"/>
          <w:szCs w:val="20"/>
        </w:rPr>
      </w:pPr>
      <w:r w:rsidRPr="00EB49AC">
        <w:rPr>
          <w:rFonts w:ascii="Tahoma" w:hAnsi="Tahoma" w:cs="Tahoma"/>
          <w:sz w:val="20"/>
          <w:szCs w:val="20"/>
        </w:rPr>
        <w:t>- the issuer has fully discharged its obligations to pay coupon income, redeem on offer, and repay all Bond issues admitted to trading on MOEX. If the issuer has an outstanding obligation on the previously admitted technical default and/or default on the Bond issue admitted to trading on the Exchange, Bonds may be included in the Index provided that the issuer fully fulfils its outstanding obligations under the technical default and/or default on all issues of Bonds admitted to trading on the Exchange, and the issuer discloses the relevant notice of corporate action in accordance with the procedure and within the terms established by the regulations of the Bank of Russia.</w:t>
      </w:r>
    </w:p>
    <w:p w14:paraId="3AF4D08B" w14:textId="77777777" w:rsidR="00E30459" w:rsidRPr="00EB49AC" w:rsidRDefault="00E30459" w:rsidP="00B47A23">
      <w:pPr>
        <w:numPr>
          <w:ilvl w:val="2"/>
          <w:numId w:val="1"/>
        </w:numPr>
        <w:jc w:val="both"/>
        <w:rPr>
          <w:rStyle w:val="af3"/>
          <w:rFonts w:ascii="Tahoma" w:hAnsi="Tahoma" w:cs="Tahoma"/>
        </w:rPr>
      </w:pPr>
      <w:r w:rsidRPr="00EB49AC">
        <w:rPr>
          <w:rStyle w:val="af3"/>
          <w:rFonts w:ascii="Tahoma" w:hAnsi="Tahoma" w:cs="Tahoma"/>
        </w:rPr>
        <w:t>The Bond issue is denominated in Russian roubles.</w:t>
      </w:r>
    </w:p>
    <w:p w14:paraId="5CF136EA" w14:textId="77777777" w:rsidR="004E07C9" w:rsidRPr="00EB49AC" w:rsidRDefault="004E07C9" w:rsidP="004E07C9">
      <w:pPr>
        <w:numPr>
          <w:ilvl w:val="2"/>
          <w:numId w:val="1"/>
        </w:numPr>
        <w:tabs>
          <w:tab w:val="left" w:pos="993"/>
        </w:tabs>
        <w:jc w:val="both"/>
        <w:rPr>
          <w:rFonts w:ascii="Tahoma" w:hAnsi="Tahoma" w:cs="Tahoma"/>
          <w:sz w:val="20"/>
          <w:szCs w:val="20"/>
        </w:rPr>
      </w:pPr>
      <w:proofErr w:type="gramStart"/>
      <w:r w:rsidRPr="00EB49AC">
        <w:rPr>
          <w:rFonts w:ascii="Tahoma" w:hAnsi="Tahoma" w:cs="Tahoma"/>
          <w:sz w:val="20"/>
          <w:szCs w:val="20"/>
        </w:rPr>
        <w:t>In order for</w:t>
      </w:r>
      <w:proofErr w:type="gramEnd"/>
      <w:r w:rsidRPr="00EB49AC">
        <w:rPr>
          <w:rFonts w:ascii="Tahoma" w:hAnsi="Tahoma" w:cs="Tahoma"/>
          <w:sz w:val="20"/>
          <w:szCs w:val="20"/>
        </w:rPr>
        <w:t xml:space="preserve"> the Bonds to be included in the Index, the issuer of the Bond must be a small and medium-sized enterprise ("SME"). SME issuers of a group with consolidated financial statements and annual revenue (income) of the group exceeding RUB 2 billion shall not be included in the Index.</w:t>
      </w:r>
    </w:p>
    <w:p w14:paraId="2CD4A7B8" w14:textId="77777777" w:rsidR="005F6F58" w:rsidRPr="00EB49AC" w:rsidRDefault="00CC5768" w:rsidP="00B47A23">
      <w:pPr>
        <w:numPr>
          <w:ilvl w:val="2"/>
          <w:numId w:val="1"/>
        </w:numPr>
        <w:tabs>
          <w:tab w:val="left" w:pos="993"/>
        </w:tabs>
        <w:jc w:val="both"/>
        <w:rPr>
          <w:rStyle w:val="af3"/>
          <w:rFonts w:ascii="Tahoma" w:hAnsi="Tahoma" w:cs="Tahoma"/>
        </w:rPr>
      </w:pPr>
      <w:r w:rsidRPr="00EB49AC">
        <w:rPr>
          <w:rStyle w:val="af3"/>
          <w:rFonts w:ascii="Tahoma" w:hAnsi="Tahoma" w:cs="Tahoma"/>
        </w:rPr>
        <w:t>The rates of all coupons stipulated in the issue documents for the period until the Maturity Date have been determined.</w:t>
      </w:r>
    </w:p>
    <w:p w14:paraId="75330938" w14:textId="77777777" w:rsidR="00561BD8" w:rsidRPr="00EB49AC" w:rsidRDefault="00CC5768" w:rsidP="00B47A23">
      <w:pPr>
        <w:numPr>
          <w:ilvl w:val="2"/>
          <w:numId w:val="1"/>
        </w:numPr>
        <w:tabs>
          <w:tab w:val="left" w:pos="993"/>
        </w:tabs>
        <w:jc w:val="both"/>
        <w:rPr>
          <w:rStyle w:val="af3"/>
          <w:rFonts w:ascii="Tahoma" w:hAnsi="Tahoma" w:cs="Tahoma"/>
        </w:rPr>
      </w:pPr>
      <w:r w:rsidRPr="00EB49AC">
        <w:rPr>
          <w:rStyle w:val="af3"/>
          <w:rFonts w:ascii="Tahoma" w:hAnsi="Tahoma" w:cs="Tahoma"/>
        </w:rPr>
        <w:t>The term to maturity is at least six months.</w:t>
      </w:r>
    </w:p>
    <w:p w14:paraId="41F59F35" w14:textId="77777777" w:rsidR="001F657D" w:rsidRPr="00EB49AC" w:rsidRDefault="001F657D" w:rsidP="00B47A23">
      <w:pPr>
        <w:numPr>
          <w:ilvl w:val="2"/>
          <w:numId w:val="1"/>
        </w:numPr>
        <w:tabs>
          <w:tab w:val="left" w:pos="993"/>
        </w:tabs>
        <w:jc w:val="both"/>
        <w:rPr>
          <w:rStyle w:val="af3"/>
          <w:rFonts w:ascii="Tahoma" w:hAnsi="Tahoma" w:cs="Tahoma"/>
        </w:rPr>
      </w:pPr>
      <w:r w:rsidRPr="00EB49AC">
        <w:rPr>
          <w:rStyle w:val="af3"/>
          <w:rFonts w:ascii="Tahoma" w:hAnsi="Tahoma" w:cs="Tahoma"/>
        </w:rPr>
        <w:t>The terms of the Bond issue do not provide for the expiry of the call option earlier than three months after the Index Constituents become effective.</w:t>
      </w:r>
    </w:p>
    <w:p w14:paraId="06E98375" w14:textId="6FC364ED" w:rsidR="00B17BB5" w:rsidRPr="00EB49AC" w:rsidRDefault="008B0DD5" w:rsidP="00B47A23">
      <w:pPr>
        <w:numPr>
          <w:ilvl w:val="2"/>
          <w:numId w:val="1"/>
        </w:numPr>
        <w:tabs>
          <w:tab w:val="left" w:pos="993"/>
        </w:tabs>
        <w:jc w:val="both"/>
        <w:rPr>
          <w:rStyle w:val="af3"/>
          <w:rFonts w:ascii="Tahoma" w:hAnsi="Tahoma" w:cs="Tahoma"/>
        </w:rPr>
      </w:pPr>
      <w:r w:rsidRPr="00EB49AC">
        <w:rPr>
          <w:rStyle w:val="af3"/>
          <w:rFonts w:ascii="Tahoma" w:hAnsi="Tahoma" w:cs="Tahoma"/>
        </w:rPr>
        <w:lastRenderedPageBreak/>
        <w:t>The number of trading days for the Bond issue in the Main Trading Session of the Main Trading Mode T+ is not less than ten for three months preceding the date the Index Constituents are selected.</w:t>
      </w:r>
    </w:p>
    <w:p w14:paraId="4764D2C1" w14:textId="77777777" w:rsidR="006F09AB" w:rsidRPr="00EB49AC" w:rsidRDefault="005F7629" w:rsidP="00B47A23">
      <w:pPr>
        <w:numPr>
          <w:ilvl w:val="2"/>
          <w:numId w:val="1"/>
        </w:numPr>
        <w:tabs>
          <w:tab w:val="left" w:pos="993"/>
        </w:tabs>
        <w:jc w:val="both"/>
        <w:rPr>
          <w:rStyle w:val="af3"/>
          <w:rFonts w:ascii="Tahoma" w:hAnsi="Tahoma" w:cs="Tahoma"/>
        </w:rPr>
      </w:pPr>
      <w:r w:rsidRPr="00EB49AC">
        <w:rPr>
          <w:rStyle w:val="af3"/>
          <w:rFonts w:ascii="Tahoma" w:hAnsi="Tahoma" w:cs="Tahoma"/>
        </w:rPr>
        <w:t>The value of the Average Return of the Bonds does not exceed the sum of 15% and the Curve value calculated as of the Bond Maturity Date.</w:t>
      </w:r>
    </w:p>
    <w:p w14:paraId="01F6193F" w14:textId="55144543" w:rsidR="002A1AF1" w:rsidRPr="00EB49AC" w:rsidRDefault="002A1AF1" w:rsidP="002A1AF1">
      <w:pPr>
        <w:numPr>
          <w:ilvl w:val="1"/>
          <w:numId w:val="1"/>
        </w:numPr>
        <w:jc w:val="both"/>
        <w:rPr>
          <w:rFonts w:ascii="Tahoma" w:hAnsi="Tahoma" w:cs="Tahoma"/>
          <w:sz w:val="20"/>
          <w:szCs w:val="20"/>
        </w:rPr>
      </w:pPr>
      <w:r w:rsidRPr="00EB49AC">
        <w:rPr>
          <w:rFonts w:ascii="Tahoma" w:hAnsi="Tahoma" w:cs="Tahoma"/>
          <w:sz w:val="20"/>
          <w:szCs w:val="20"/>
        </w:rPr>
        <w:t xml:space="preserve">The Exchange is entitled to </w:t>
      </w:r>
      <w:proofErr w:type="gramStart"/>
      <w:r w:rsidRPr="00EB49AC">
        <w:rPr>
          <w:rFonts w:ascii="Tahoma" w:hAnsi="Tahoma" w:cs="Tahoma"/>
          <w:sz w:val="20"/>
          <w:szCs w:val="20"/>
        </w:rPr>
        <w:t>make a decision</w:t>
      </w:r>
      <w:proofErr w:type="gramEnd"/>
      <w:r w:rsidRPr="00EB49AC">
        <w:rPr>
          <w:rFonts w:ascii="Tahoma" w:hAnsi="Tahoma" w:cs="Tahoma"/>
          <w:sz w:val="20"/>
          <w:szCs w:val="20"/>
        </w:rPr>
        <w:t xml:space="preserve"> on inclusion in the Index of Bond Issues that do not meet requirements specified in clauses 3.1.3-3.1.8 of the Methodology.</w:t>
      </w:r>
    </w:p>
    <w:p w14:paraId="59334546" w14:textId="77777777" w:rsidR="002A1AF1" w:rsidRPr="00EB49AC" w:rsidRDefault="002A1AF1" w:rsidP="00315188">
      <w:pPr>
        <w:rPr>
          <w:rFonts w:ascii="Tahoma" w:hAnsi="Tahoma" w:cs="Tahoma"/>
          <w:sz w:val="20"/>
          <w:szCs w:val="20"/>
        </w:rPr>
      </w:pPr>
    </w:p>
    <w:p w14:paraId="1EF581E6" w14:textId="77777777" w:rsidR="00CF5824" w:rsidRPr="00EB49AC" w:rsidRDefault="00750F57" w:rsidP="003F0B0D">
      <w:pPr>
        <w:numPr>
          <w:ilvl w:val="0"/>
          <w:numId w:val="1"/>
        </w:numPr>
        <w:outlineLvl w:val="0"/>
        <w:rPr>
          <w:rFonts w:ascii="Tahoma" w:hAnsi="Tahoma" w:cs="Tahoma"/>
          <w:b/>
          <w:sz w:val="20"/>
          <w:szCs w:val="20"/>
        </w:rPr>
      </w:pPr>
      <w:bookmarkStart w:id="12" w:name="Р_4"/>
      <w:bookmarkStart w:id="13" w:name="_Toc155893766"/>
      <w:r w:rsidRPr="00EB49AC">
        <w:rPr>
          <w:rFonts w:ascii="Tahoma" w:hAnsi="Tahoma" w:cs="Tahoma"/>
          <w:b/>
          <w:sz w:val="20"/>
          <w:szCs w:val="20"/>
        </w:rPr>
        <w:t>Index Review</w:t>
      </w:r>
      <w:bookmarkEnd w:id="13"/>
    </w:p>
    <w:p w14:paraId="4B851B83" w14:textId="77777777" w:rsidR="0069318F" w:rsidRPr="00EB49AC" w:rsidRDefault="0069318F" w:rsidP="0069318F">
      <w:pPr>
        <w:ind w:left="360"/>
        <w:rPr>
          <w:rFonts w:ascii="Tahoma" w:hAnsi="Tahoma" w:cs="Tahoma"/>
          <w:b/>
          <w:sz w:val="20"/>
          <w:szCs w:val="20"/>
        </w:rPr>
      </w:pPr>
    </w:p>
    <w:p w14:paraId="4C7D4AF4" w14:textId="77777777" w:rsidR="00EE322F" w:rsidRPr="00EB49AC" w:rsidRDefault="00EE322F" w:rsidP="00471805">
      <w:pPr>
        <w:numPr>
          <w:ilvl w:val="1"/>
          <w:numId w:val="1"/>
        </w:numPr>
        <w:jc w:val="both"/>
        <w:rPr>
          <w:rStyle w:val="af3"/>
          <w:rFonts w:ascii="Tahoma" w:hAnsi="Tahoma" w:cs="Tahoma"/>
        </w:rPr>
      </w:pPr>
      <w:bookmarkStart w:id="14" w:name="_Toc26365654"/>
      <w:r w:rsidRPr="00EB49AC">
        <w:rPr>
          <w:rStyle w:val="af3"/>
          <w:rFonts w:ascii="Tahoma" w:hAnsi="Tahoma" w:cs="Tahoma"/>
        </w:rPr>
        <w:t>Bonds are added to and removed from the Index at Index Review by the Exchange's decision.</w:t>
      </w:r>
    </w:p>
    <w:p w14:paraId="7DB14EB9" w14:textId="77777777" w:rsidR="00EE322F" w:rsidRPr="00EB49AC" w:rsidRDefault="00EE322F" w:rsidP="00471805">
      <w:pPr>
        <w:numPr>
          <w:ilvl w:val="1"/>
          <w:numId w:val="1"/>
        </w:numPr>
        <w:jc w:val="both"/>
        <w:rPr>
          <w:rStyle w:val="af3"/>
          <w:rFonts w:ascii="Tahoma" w:hAnsi="Tahoma" w:cs="Tahoma"/>
        </w:rPr>
      </w:pPr>
      <w:r w:rsidRPr="00EB49AC">
        <w:rPr>
          <w:rStyle w:val="af3"/>
          <w:rFonts w:ascii="Tahoma" w:hAnsi="Tahoma" w:cs="Tahoma"/>
        </w:rPr>
        <w:t>Regular Index Reviews shall be carried out no more frequently than once a quarter, except as provided for in this Methodology. The revised Index Constituents are implemented from the beginning of the main trading session of the first trading day of March, June, September, December. The Exchange may decide to set other dates of coming into effect of the adjusted Constituent Stocks.</w:t>
      </w:r>
    </w:p>
    <w:p w14:paraId="1626187B" w14:textId="77777777" w:rsidR="00EE322F" w:rsidRPr="00EB49AC" w:rsidRDefault="00EE322F" w:rsidP="00471805">
      <w:pPr>
        <w:numPr>
          <w:ilvl w:val="1"/>
          <w:numId w:val="1"/>
        </w:numPr>
        <w:jc w:val="both"/>
        <w:rPr>
          <w:rStyle w:val="af3"/>
          <w:rFonts w:ascii="Tahoma" w:hAnsi="Tahoma" w:cs="Tahoma"/>
        </w:rPr>
      </w:pPr>
      <w:r w:rsidRPr="00EB49AC">
        <w:rPr>
          <w:rStyle w:val="af3"/>
          <w:rFonts w:ascii="Tahoma" w:hAnsi="Tahoma" w:cs="Tahoma"/>
        </w:rPr>
        <w:t>Extraordinary revision of the Index may occur on the date determined by the Exchange's decision in case of the following events:</w:t>
      </w:r>
    </w:p>
    <w:p w14:paraId="4E85D12B" w14:textId="77777777" w:rsidR="00182F52" w:rsidRPr="00EB49AC" w:rsidRDefault="001A19CC" w:rsidP="00471805">
      <w:pPr>
        <w:ind w:left="1416"/>
        <w:jc w:val="both"/>
        <w:rPr>
          <w:rStyle w:val="af3"/>
          <w:rFonts w:ascii="Tahoma" w:hAnsi="Tahoma" w:cs="Tahoma"/>
        </w:rPr>
      </w:pPr>
      <w:r w:rsidRPr="00EB49AC">
        <w:rPr>
          <w:rStyle w:val="af3"/>
          <w:rFonts w:ascii="Tahoma" w:hAnsi="Tahoma" w:cs="Tahoma"/>
        </w:rPr>
        <w:t>- in case of delisting of the Bond issue from MOEX (termination of trading in the relevant Bond issue on MOEX);</w:t>
      </w:r>
    </w:p>
    <w:p w14:paraId="7EB63815" w14:textId="1A819012" w:rsidR="001A19CC" w:rsidRPr="00EB49AC" w:rsidRDefault="001A19CC" w:rsidP="00471805">
      <w:pPr>
        <w:ind w:left="1416"/>
        <w:jc w:val="both"/>
        <w:rPr>
          <w:rStyle w:val="af3"/>
          <w:rFonts w:ascii="Tahoma" w:hAnsi="Tahoma" w:cs="Tahoma"/>
        </w:rPr>
      </w:pPr>
      <w:r w:rsidRPr="00EB49AC">
        <w:rPr>
          <w:rStyle w:val="af3"/>
          <w:rFonts w:ascii="Tahoma" w:hAnsi="Tahoma" w:cs="Tahoma"/>
        </w:rPr>
        <w:t xml:space="preserve">- in case the issuer's failure to fulfil in full the obligation to pay coupon interest, buyback on offer, redemption of the issue or issues of the </w:t>
      </w:r>
      <w:r w:rsidR="00EB49AC" w:rsidRPr="00EB49AC">
        <w:rPr>
          <w:rStyle w:val="af3"/>
          <w:rFonts w:ascii="Tahoma" w:hAnsi="Tahoma" w:cs="Tahoma"/>
        </w:rPr>
        <w:t>issuer’s</w:t>
      </w:r>
      <w:r w:rsidRPr="00EB49AC">
        <w:rPr>
          <w:rStyle w:val="af3"/>
          <w:rFonts w:ascii="Tahoma" w:hAnsi="Tahoma" w:cs="Tahoma"/>
        </w:rPr>
        <w:t xml:space="preserve"> Bonds admitted to trading on the Exchange;</w:t>
      </w:r>
    </w:p>
    <w:p w14:paraId="2F927930" w14:textId="77777777" w:rsidR="00E53DC7" w:rsidRPr="00EB49AC" w:rsidRDefault="00E53DC7" w:rsidP="00471805">
      <w:pPr>
        <w:ind w:left="1416"/>
        <w:jc w:val="both"/>
        <w:rPr>
          <w:rStyle w:val="af3"/>
          <w:rFonts w:ascii="Tahoma" w:hAnsi="Tahoma" w:cs="Tahoma"/>
        </w:rPr>
      </w:pPr>
      <w:r w:rsidRPr="00EB49AC">
        <w:rPr>
          <w:rStyle w:val="af3"/>
          <w:rFonts w:ascii="Tahoma" w:hAnsi="Tahoma" w:cs="Tahoma"/>
        </w:rPr>
        <w:t>- in case of delisting of the Bond issue from the MOEX Growth Sector;</w:t>
      </w:r>
    </w:p>
    <w:p w14:paraId="213FEE25" w14:textId="77777777" w:rsidR="00292F26" w:rsidRPr="00EB49AC" w:rsidRDefault="00292F26" w:rsidP="00471805">
      <w:pPr>
        <w:ind w:left="1416"/>
        <w:jc w:val="both"/>
        <w:rPr>
          <w:rStyle w:val="af3"/>
          <w:rFonts w:ascii="Tahoma" w:hAnsi="Tahoma" w:cs="Tahoma"/>
        </w:rPr>
      </w:pPr>
      <w:r w:rsidRPr="00EB49AC">
        <w:rPr>
          <w:rStyle w:val="af3"/>
          <w:rFonts w:ascii="Tahoma" w:hAnsi="Tahoma" w:cs="Tahoma"/>
        </w:rPr>
        <w:t>- in other cases that may have a material impact on the calculation of the Index.</w:t>
      </w:r>
    </w:p>
    <w:bookmarkEnd w:id="14"/>
    <w:p w14:paraId="2C9FD4C3" w14:textId="21BC3324" w:rsidR="0015082F" w:rsidRPr="00EB49AC" w:rsidRDefault="0015082F" w:rsidP="00471805">
      <w:pPr>
        <w:numPr>
          <w:ilvl w:val="2"/>
          <w:numId w:val="1"/>
        </w:numPr>
        <w:jc w:val="both"/>
        <w:rPr>
          <w:rStyle w:val="af3"/>
          <w:rFonts w:ascii="Tahoma" w:hAnsi="Tahoma" w:cs="Tahoma"/>
        </w:rPr>
      </w:pPr>
      <w:r w:rsidRPr="00EB49AC">
        <w:rPr>
          <w:rStyle w:val="af3"/>
          <w:rFonts w:ascii="Tahoma" w:hAnsi="Tahoma" w:cs="Tahoma"/>
        </w:rPr>
        <w:t xml:space="preserve">From the date of revision of the Index, the calculation of the Index is made using the new values of the weighting coefficients of the Bonds included in the Index, calculated on the basis of information on the Bonds as of the date preceding the date the new Index </w:t>
      </w:r>
      <w:r w:rsidR="00EB49AC" w:rsidRPr="00EB49AC">
        <w:rPr>
          <w:rStyle w:val="af3"/>
          <w:rFonts w:ascii="Tahoma" w:hAnsi="Tahoma" w:cs="Tahoma"/>
        </w:rPr>
        <w:t>Constituents</w:t>
      </w:r>
      <w:r w:rsidRPr="00EB49AC">
        <w:rPr>
          <w:rStyle w:val="af3"/>
          <w:rFonts w:ascii="Tahoma" w:hAnsi="Tahoma" w:cs="Tahoma"/>
        </w:rPr>
        <w:t xml:space="preserve"> are implemented.</w:t>
      </w:r>
    </w:p>
    <w:p w14:paraId="0AB21615" w14:textId="77777777" w:rsidR="004F740C" w:rsidRPr="00EB49AC" w:rsidRDefault="004F740C" w:rsidP="00471805">
      <w:pPr>
        <w:numPr>
          <w:ilvl w:val="2"/>
          <w:numId w:val="1"/>
        </w:numPr>
        <w:jc w:val="both"/>
        <w:rPr>
          <w:rStyle w:val="af3"/>
          <w:rFonts w:ascii="Tahoma" w:hAnsi="Tahoma" w:cs="Tahoma"/>
        </w:rPr>
      </w:pPr>
      <w:r w:rsidRPr="00EB49AC">
        <w:rPr>
          <w:rStyle w:val="af3"/>
          <w:rFonts w:ascii="Tahoma" w:hAnsi="Tahoma" w:cs="Tahoma"/>
        </w:rPr>
        <w:t>In case of suspension (termination) of trading in a Bond issue in the Index, the last value of the weighted average price of the issue shall be used to calculate the Index during the period of suspension of trading (until resumption of trading or until the date of exclusion of the issue from the Index).</w:t>
      </w:r>
    </w:p>
    <w:p w14:paraId="6D05E3EA" w14:textId="77777777" w:rsidR="009F4D1F" w:rsidRPr="00EB49AC" w:rsidRDefault="009F4D1F" w:rsidP="00315188">
      <w:pPr>
        <w:rPr>
          <w:rFonts w:ascii="Tahoma" w:hAnsi="Tahoma" w:cs="Tahoma"/>
          <w:sz w:val="20"/>
          <w:szCs w:val="20"/>
        </w:rPr>
      </w:pPr>
      <w:bookmarkStart w:id="15" w:name="_Toc372540155"/>
      <w:bookmarkStart w:id="16" w:name="_Toc372540156"/>
      <w:bookmarkEnd w:id="12"/>
      <w:bookmarkEnd w:id="15"/>
      <w:bookmarkEnd w:id="16"/>
    </w:p>
    <w:p w14:paraId="1605825E" w14:textId="77777777" w:rsidR="009F4D1F" w:rsidRPr="00EB49AC" w:rsidRDefault="009F4D1F" w:rsidP="00315188">
      <w:pPr>
        <w:rPr>
          <w:rFonts w:ascii="Tahoma" w:hAnsi="Tahoma" w:cs="Tahoma"/>
          <w:sz w:val="20"/>
          <w:szCs w:val="20"/>
        </w:rPr>
      </w:pPr>
    </w:p>
    <w:p w14:paraId="6C671B73" w14:textId="77777777" w:rsidR="00E2713E" w:rsidRPr="00EB49AC" w:rsidRDefault="00AA556F" w:rsidP="00B74EE3">
      <w:pPr>
        <w:numPr>
          <w:ilvl w:val="0"/>
          <w:numId w:val="1"/>
        </w:numPr>
        <w:outlineLvl w:val="0"/>
        <w:rPr>
          <w:rFonts w:ascii="Tahoma" w:hAnsi="Tahoma" w:cs="Tahoma"/>
          <w:b/>
          <w:sz w:val="20"/>
          <w:szCs w:val="20"/>
        </w:rPr>
      </w:pPr>
      <w:bookmarkStart w:id="17" w:name="_Toc527625987"/>
      <w:bookmarkStart w:id="18" w:name="_Toc155893767"/>
      <w:bookmarkEnd w:id="17"/>
      <w:r w:rsidRPr="00EB49AC">
        <w:rPr>
          <w:rFonts w:ascii="Tahoma" w:hAnsi="Tahoma" w:cs="Tahoma"/>
          <w:b/>
          <w:sz w:val="20"/>
          <w:szCs w:val="20"/>
        </w:rPr>
        <w:t>Limitation of the Bond Value in the Index</w:t>
      </w:r>
      <w:bookmarkEnd w:id="18"/>
    </w:p>
    <w:p w14:paraId="4A94F9AC" w14:textId="77777777" w:rsidR="00CF34DC" w:rsidRPr="00EB49AC" w:rsidRDefault="00CF34DC" w:rsidP="00CF34DC">
      <w:pPr>
        <w:ind w:left="360"/>
        <w:outlineLvl w:val="0"/>
        <w:rPr>
          <w:rFonts w:ascii="Tahoma" w:hAnsi="Tahoma" w:cs="Tahoma"/>
          <w:b/>
          <w:sz w:val="20"/>
          <w:szCs w:val="20"/>
        </w:rPr>
      </w:pPr>
    </w:p>
    <w:p w14:paraId="503B0EBB" w14:textId="4C02BB6D" w:rsidR="00EE2014" w:rsidRPr="00EB49AC" w:rsidRDefault="00477432" w:rsidP="00B74EE3">
      <w:pPr>
        <w:numPr>
          <w:ilvl w:val="1"/>
          <w:numId w:val="1"/>
        </w:numPr>
        <w:jc w:val="both"/>
        <w:rPr>
          <w:rFonts w:ascii="Tahoma" w:hAnsi="Tahoma" w:cs="Tahoma"/>
          <w:sz w:val="20"/>
          <w:szCs w:val="20"/>
        </w:rPr>
      </w:pPr>
      <w:r w:rsidRPr="00EB49AC">
        <w:rPr>
          <w:rFonts w:ascii="Tahoma" w:hAnsi="Tahoma" w:cs="Tahoma"/>
          <w:sz w:val="20"/>
          <w:szCs w:val="20"/>
        </w:rPr>
        <w:t>If the number of issuers included in the Index is at least 8, the maximum share of the capitalisation of the Issuer's Bonds (total capitalisation of different issues of Bonds of this issuer, if different issues of the Issuer's Bonds are included in the Index) in the aggregate capitalisation of the Bonds included in the Index is limited to 13% (S=13%).</w:t>
      </w:r>
    </w:p>
    <w:p w14:paraId="04B0EE35" w14:textId="77777777" w:rsidR="00C464D1" w:rsidRPr="00EB49AC" w:rsidRDefault="00C464D1" w:rsidP="00C464D1">
      <w:pPr>
        <w:numPr>
          <w:ilvl w:val="1"/>
          <w:numId w:val="1"/>
        </w:numPr>
        <w:jc w:val="both"/>
        <w:rPr>
          <w:rFonts w:ascii="Tahoma" w:hAnsi="Tahoma" w:cs="Tahoma"/>
          <w:sz w:val="20"/>
          <w:szCs w:val="20"/>
        </w:rPr>
      </w:pPr>
      <w:r w:rsidRPr="00EB49AC">
        <w:rPr>
          <w:rFonts w:ascii="Tahoma" w:hAnsi="Tahoma" w:cs="Tahoma"/>
          <w:sz w:val="20"/>
          <w:szCs w:val="20"/>
        </w:rPr>
        <w:t xml:space="preserve">The Weight of the </w:t>
      </w:r>
      <w:proofErr w:type="spellStart"/>
      <w:r w:rsidRPr="00EB49AC">
        <w:rPr>
          <w:rFonts w:ascii="Tahoma" w:hAnsi="Tahoma" w:cs="Tahoma"/>
          <w:sz w:val="20"/>
          <w:szCs w:val="20"/>
        </w:rPr>
        <w:t>i</w:t>
      </w:r>
      <w:r w:rsidRPr="00EB49AC">
        <w:rPr>
          <w:rFonts w:ascii="Tahoma" w:hAnsi="Tahoma" w:cs="Tahoma"/>
          <w:sz w:val="20"/>
          <w:szCs w:val="20"/>
          <w:vertAlign w:val="superscript"/>
        </w:rPr>
        <w:t>th</w:t>
      </w:r>
      <w:proofErr w:type="spellEnd"/>
      <w:r w:rsidRPr="00EB49AC">
        <w:rPr>
          <w:rFonts w:ascii="Tahoma" w:hAnsi="Tahoma" w:cs="Tahoma"/>
          <w:sz w:val="20"/>
          <w:szCs w:val="20"/>
        </w:rPr>
        <w:t xml:space="preserve"> Bond in the Index is calculated according to the following formula:</w:t>
      </w:r>
    </w:p>
    <w:p w14:paraId="12AF2BAB" w14:textId="77777777" w:rsidR="00C464D1" w:rsidRPr="00EB49AC" w:rsidRDefault="00D36EFF" w:rsidP="00C464D1">
      <w:pPr>
        <w:pStyle w:val="af9"/>
        <w:jc w:val="center"/>
        <w:rPr>
          <w:rFonts w:ascii="Tahoma" w:hAnsi="Tahoma" w:cs="Tahoma"/>
          <w:i w:val="0"/>
          <w:sz w:val="20"/>
        </w:rPr>
      </w:pPr>
      <m:oMathPara>
        <m:oMath>
          <m:r>
            <w:rPr>
              <w:rFonts w:cs="Tahoma"/>
              <w:sz w:val="20"/>
            </w:rPr>
            <m:t>Wgh</m:t>
          </m:r>
          <m:sSub>
            <m:sSubPr>
              <m:ctrlPr>
                <w:rPr>
                  <w:rFonts w:cs="Tahoma"/>
                  <w:i w:val="0"/>
                  <w:sz w:val="20"/>
                </w:rPr>
              </m:ctrlPr>
            </m:sSubPr>
            <m:e>
              <m:r>
                <w:rPr>
                  <w:rFonts w:cs="Tahoma"/>
                  <w:sz w:val="20"/>
                </w:rPr>
                <m:t>t</m:t>
              </m:r>
            </m:e>
            <m:sub>
              <m:r>
                <w:rPr>
                  <w:rFonts w:cs="Tahoma"/>
                  <w:sz w:val="20"/>
                </w:rPr>
                <m:t>i</m:t>
              </m:r>
            </m:sub>
          </m:sSub>
          <m:r>
            <w:rPr>
              <w:rFonts w:cs="Tahoma"/>
              <w:sz w:val="20"/>
            </w:rPr>
            <m:t>=</m:t>
          </m:r>
          <m:f>
            <m:fPr>
              <m:ctrlPr>
                <w:rPr>
                  <w:rFonts w:cs="Tahoma"/>
                  <w:i w:val="0"/>
                  <w:sz w:val="20"/>
                </w:rPr>
              </m:ctrlPr>
            </m:fPr>
            <m:num>
              <m:r>
                <w:rPr>
                  <w:rFonts w:cs="Tahoma"/>
                  <w:sz w:val="20"/>
                </w:rPr>
                <m:t>M</m:t>
              </m:r>
              <m:sSub>
                <m:sSubPr>
                  <m:ctrlPr>
                    <w:rPr>
                      <w:rFonts w:cs="Tahoma"/>
                      <w:i w:val="0"/>
                      <w:sz w:val="20"/>
                    </w:rPr>
                  </m:ctrlPr>
                </m:sSubPr>
                <m:e>
                  <m:r>
                    <w:rPr>
                      <w:rFonts w:cs="Tahoma"/>
                      <w:sz w:val="20"/>
                    </w:rPr>
                    <m:t>C</m:t>
                  </m:r>
                </m:e>
                <m:sub>
                  <m:r>
                    <w:rPr>
                      <w:rFonts w:cs="Tahoma"/>
                      <w:sz w:val="20"/>
                    </w:rPr>
                    <m:t>i</m:t>
                  </m:r>
                </m:sub>
              </m:sSub>
            </m:num>
            <m:den>
              <m:nary>
                <m:naryPr>
                  <m:chr m:val="∑"/>
                  <m:limLoc m:val="undOvr"/>
                  <m:ctrlPr>
                    <w:rPr>
                      <w:rFonts w:cs="Tahoma"/>
                      <w:i w:val="0"/>
                      <w:sz w:val="20"/>
                    </w:rPr>
                  </m:ctrlPr>
                </m:naryPr>
                <m:sub>
                  <m:r>
                    <w:rPr>
                      <w:rFonts w:cs="Tahoma"/>
                      <w:sz w:val="20"/>
                    </w:rPr>
                    <m:t>i=1</m:t>
                  </m:r>
                </m:sub>
                <m:sup>
                  <m:r>
                    <w:rPr>
                      <w:rFonts w:cs="Tahoma"/>
                      <w:sz w:val="20"/>
                    </w:rPr>
                    <m:t>N</m:t>
                  </m:r>
                </m:sup>
                <m:e>
                  <m:r>
                    <w:rPr>
                      <w:rFonts w:cs="Tahoma"/>
                      <w:sz w:val="20"/>
                    </w:rPr>
                    <m:t>M</m:t>
                  </m:r>
                  <m:sSub>
                    <m:sSubPr>
                      <m:ctrlPr>
                        <w:rPr>
                          <w:rFonts w:cs="Tahoma"/>
                          <w:i w:val="0"/>
                          <w:sz w:val="20"/>
                        </w:rPr>
                      </m:ctrlPr>
                    </m:sSubPr>
                    <m:e>
                      <m:r>
                        <w:rPr>
                          <w:rFonts w:cs="Tahoma"/>
                          <w:sz w:val="20"/>
                        </w:rPr>
                        <m:t>C</m:t>
                      </m:r>
                    </m:e>
                    <m:sub>
                      <m:r>
                        <w:rPr>
                          <w:rFonts w:cs="Tahoma"/>
                          <w:sz w:val="20"/>
                        </w:rPr>
                        <m:t>i</m:t>
                      </m:r>
                    </m:sub>
                  </m:sSub>
                  <m:r>
                    <w:rPr>
                      <w:rFonts w:cs="Tahoma"/>
                      <w:sz w:val="20"/>
                    </w:rPr>
                    <m:t xml:space="preserve"> </m:t>
                  </m:r>
                </m:e>
              </m:nary>
            </m:den>
          </m:f>
          <m:r>
            <w:rPr>
              <w:rFonts w:cs="Tahoma"/>
              <w:sz w:val="20"/>
            </w:rPr>
            <m:t>∙100%,</m:t>
          </m:r>
        </m:oMath>
      </m:oMathPara>
    </w:p>
    <w:p w14:paraId="652AEC60" w14:textId="77777777" w:rsidR="00C464D1" w:rsidRPr="00EB49AC" w:rsidRDefault="00C464D1" w:rsidP="00C464D1">
      <w:pPr>
        <w:pStyle w:val="af7"/>
        <w:rPr>
          <w:rFonts w:cs="Tahoma"/>
        </w:rPr>
      </w:pPr>
      <w:r w:rsidRPr="00EB49AC">
        <w:rPr>
          <w:rFonts w:cs="Tahoma"/>
        </w:rPr>
        <w:t>where:</w:t>
      </w:r>
    </w:p>
    <w:p w14:paraId="3ABB13FD" w14:textId="77777777" w:rsidR="00C464D1" w:rsidRPr="00EB49AC" w:rsidRDefault="00C464D1" w:rsidP="00C464D1">
      <w:pPr>
        <w:pStyle w:val="af7"/>
        <w:rPr>
          <w:rFonts w:cs="Tahoma"/>
        </w:rPr>
      </w:pPr>
      <w:proofErr w:type="spellStart"/>
      <w:r w:rsidRPr="00EB49AC">
        <w:rPr>
          <w:rFonts w:cs="Tahoma"/>
        </w:rPr>
        <w:t>Wght</w:t>
      </w:r>
      <w:r w:rsidRPr="00EB49AC">
        <w:rPr>
          <w:rFonts w:cs="Tahoma"/>
          <w:vertAlign w:val="subscript"/>
        </w:rPr>
        <w:t>i</w:t>
      </w:r>
      <w:proofErr w:type="spellEnd"/>
      <w:r w:rsidRPr="00EB49AC">
        <w:rPr>
          <w:rFonts w:cs="Tahoma"/>
        </w:rPr>
        <w:t xml:space="preserve"> – the weight of the </w:t>
      </w:r>
      <w:proofErr w:type="spellStart"/>
      <w:r w:rsidRPr="00EB49AC">
        <w:rPr>
          <w:rFonts w:cs="Tahoma"/>
        </w:rPr>
        <w:t>i</w:t>
      </w:r>
      <w:r w:rsidRPr="00EB49AC">
        <w:rPr>
          <w:rFonts w:cs="Tahoma"/>
          <w:vertAlign w:val="superscript"/>
        </w:rPr>
        <w:t>th</w:t>
      </w:r>
      <w:proofErr w:type="spellEnd"/>
      <w:r w:rsidRPr="00EB49AC">
        <w:rPr>
          <w:rFonts w:cs="Tahoma"/>
        </w:rPr>
        <w:t xml:space="preserve"> Bond;</w:t>
      </w:r>
    </w:p>
    <w:p w14:paraId="35FAA714" w14:textId="77777777" w:rsidR="00C464D1" w:rsidRPr="00EB49AC" w:rsidRDefault="00C464D1" w:rsidP="00C464D1">
      <w:pPr>
        <w:pStyle w:val="af7"/>
        <w:rPr>
          <w:rFonts w:cs="Tahoma"/>
        </w:rPr>
      </w:pPr>
      <w:proofErr w:type="spellStart"/>
      <w:r w:rsidRPr="00EB49AC">
        <w:rPr>
          <w:rFonts w:cs="Tahoma"/>
        </w:rPr>
        <w:t>MC</w:t>
      </w:r>
      <w:r w:rsidRPr="00EB49AC">
        <w:rPr>
          <w:rFonts w:cs="Tahoma"/>
          <w:vertAlign w:val="subscript"/>
        </w:rPr>
        <w:t>i</w:t>
      </w:r>
      <w:proofErr w:type="spellEnd"/>
      <w:r w:rsidRPr="00EB49AC">
        <w:rPr>
          <w:rFonts w:cs="Tahoma"/>
        </w:rPr>
        <w:t xml:space="preserve"> – capitalisation of the </w:t>
      </w:r>
      <w:proofErr w:type="spellStart"/>
      <w:r w:rsidRPr="00EB49AC">
        <w:rPr>
          <w:rFonts w:cs="Tahoma"/>
        </w:rPr>
        <w:t>i</w:t>
      </w:r>
      <w:r w:rsidRPr="00EB49AC">
        <w:rPr>
          <w:rFonts w:cs="Tahoma"/>
          <w:vertAlign w:val="superscript"/>
        </w:rPr>
        <w:t>th</w:t>
      </w:r>
      <w:proofErr w:type="spellEnd"/>
      <w:r w:rsidRPr="00EB49AC">
        <w:rPr>
          <w:rFonts w:cs="Tahoma"/>
        </w:rPr>
        <w:t xml:space="preserve"> Bond, determined according to the formula:</w:t>
      </w:r>
    </w:p>
    <w:p w14:paraId="6BE87FC2" w14:textId="77777777" w:rsidR="00C464D1" w:rsidRPr="00EB49AC" w:rsidRDefault="00EB49AC" w:rsidP="00C464D1">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MC</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m:t>
              </m:r>
            </m:sub>
          </m:sSub>
        </m:oMath>
      </m:oMathPara>
    </w:p>
    <w:p w14:paraId="517A18FB" w14:textId="77777777" w:rsidR="00C464D1" w:rsidRPr="00EB49AC" w:rsidRDefault="00C464D1" w:rsidP="00C464D1">
      <w:pPr>
        <w:pStyle w:val="af7"/>
        <w:rPr>
          <w:rFonts w:cs="Tahoma"/>
        </w:rPr>
      </w:pPr>
      <w:r w:rsidRPr="00EB49AC">
        <w:rPr>
          <w:rFonts w:cs="Tahoma"/>
        </w:rPr>
        <w:t>N – the total number of Bonds.</w:t>
      </w:r>
    </w:p>
    <w:p w14:paraId="541D376A" w14:textId="77777777" w:rsidR="00283411" w:rsidRPr="00EB49AC" w:rsidRDefault="00C464D1" w:rsidP="00283411">
      <w:pPr>
        <w:pStyle w:val="af2"/>
        <w:ind w:left="972"/>
        <w:jc w:val="both"/>
        <w:rPr>
          <w:rFonts w:ascii="Tahoma" w:hAnsi="Tahoma" w:cs="Tahoma"/>
          <w:sz w:val="20"/>
          <w:szCs w:val="20"/>
        </w:rPr>
      </w:pPr>
      <w:r w:rsidRPr="00EB49AC">
        <w:rPr>
          <w:rFonts w:ascii="Tahoma" w:hAnsi="Tahoma" w:cs="Tahoma"/>
          <w:sz w:val="20"/>
          <w:szCs w:val="20"/>
        </w:rPr>
        <w:t>The Weight of Bonds of one Issuer is calculated as the sum of Weights of Bonds of all issues of such Issuer.</w:t>
      </w:r>
    </w:p>
    <w:p w14:paraId="7FE3BC5D" w14:textId="77777777" w:rsidR="00155031" w:rsidRPr="00EB49AC" w:rsidRDefault="00155031" w:rsidP="00155031">
      <w:pPr>
        <w:numPr>
          <w:ilvl w:val="1"/>
          <w:numId w:val="1"/>
        </w:numPr>
        <w:jc w:val="both"/>
        <w:rPr>
          <w:rFonts w:ascii="Tahoma" w:hAnsi="Tahoma" w:cs="Tahoma"/>
          <w:sz w:val="20"/>
          <w:szCs w:val="20"/>
        </w:rPr>
      </w:pPr>
      <w:r w:rsidRPr="00EB49AC">
        <w:rPr>
          <w:rFonts w:ascii="Tahoma" w:hAnsi="Tahoma" w:cs="Tahoma"/>
          <w:sz w:val="20"/>
          <w:szCs w:val="20"/>
        </w:rPr>
        <w:t xml:space="preserve">To </w:t>
      </w:r>
      <w:proofErr w:type="gramStart"/>
      <w:r w:rsidRPr="00EB49AC">
        <w:rPr>
          <w:rFonts w:ascii="Tahoma" w:hAnsi="Tahoma" w:cs="Tahoma"/>
          <w:sz w:val="20"/>
          <w:szCs w:val="20"/>
        </w:rPr>
        <w:t>effect</w:t>
      </w:r>
      <w:proofErr w:type="gramEnd"/>
      <w:r w:rsidRPr="00EB49AC">
        <w:rPr>
          <w:rFonts w:ascii="Tahoma" w:hAnsi="Tahoma" w:cs="Tahoma"/>
          <w:sz w:val="20"/>
          <w:szCs w:val="20"/>
        </w:rPr>
        <w:t xml:space="preserve"> the restriction set out in Clause 5.1, the Weights of Issuers are adjusted as follows:</w:t>
      </w:r>
    </w:p>
    <w:p w14:paraId="5EBE3A56" w14:textId="02F388B2" w:rsidR="00155031" w:rsidRPr="00EB49AC" w:rsidRDefault="00155031" w:rsidP="00155031">
      <w:pPr>
        <w:pStyle w:val="af2"/>
        <w:numPr>
          <w:ilvl w:val="4"/>
          <w:numId w:val="44"/>
        </w:numPr>
        <w:ind w:left="1843" w:hanging="403"/>
        <w:contextualSpacing/>
        <w:jc w:val="both"/>
        <w:rPr>
          <w:rFonts w:ascii="Tahoma" w:hAnsi="Tahoma" w:cs="Tahoma"/>
          <w:sz w:val="20"/>
          <w:szCs w:val="20"/>
        </w:rPr>
      </w:pPr>
      <w:r w:rsidRPr="00EB49AC">
        <w:rPr>
          <w:rFonts w:ascii="Tahoma" w:hAnsi="Tahoma" w:cs="Tahoma"/>
          <w:sz w:val="20"/>
          <w:szCs w:val="20"/>
        </w:rPr>
        <w:t xml:space="preserve">If the Issuer's Weight in the Index exceeds S, the </w:t>
      </w:r>
      <w:r w:rsidR="00EB49AC" w:rsidRPr="00EB49AC">
        <w:rPr>
          <w:rFonts w:ascii="Tahoma" w:hAnsi="Tahoma" w:cs="Tahoma"/>
          <w:sz w:val="20"/>
          <w:szCs w:val="20"/>
        </w:rPr>
        <w:t>relevant Weight</w:t>
      </w:r>
      <w:r w:rsidRPr="00EB49AC">
        <w:rPr>
          <w:rFonts w:ascii="Tahoma" w:hAnsi="Tahoma" w:cs="Tahoma"/>
          <w:sz w:val="20"/>
          <w:szCs w:val="20"/>
        </w:rPr>
        <w:t xml:space="preserve"> shall be set equal to S.</w:t>
      </w:r>
    </w:p>
    <w:p w14:paraId="42D0ED81" w14:textId="77777777" w:rsidR="00155031" w:rsidRPr="00EB49AC" w:rsidRDefault="00155031" w:rsidP="00155031">
      <w:pPr>
        <w:pStyle w:val="af2"/>
        <w:numPr>
          <w:ilvl w:val="4"/>
          <w:numId w:val="44"/>
        </w:numPr>
        <w:ind w:left="1843" w:hanging="403"/>
        <w:contextualSpacing/>
        <w:jc w:val="both"/>
        <w:rPr>
          <w:rFonts w:ascii="Tahoma" w:hAnsi="Tahoma" w:cs="Tahoma"/>
          <w:sz w:val="20"/>
          <w:szCs w:val="20"/>
        </w:rPr>
      </w:pPr>
      <w:bookmarkStart w:id="19" w:name="_Hlk31212518"/>
      <w:r w:rsidRPr="00EB49AC">
        <w:rPr>
          <w:rFonts w:ascii="Tahoma" w:hAnsi="Tahoma" w:cs="Tahoma"/>
          <w:sz w:val="20"/>
          <w:szCs w:val="20"/>
        </w:rPr>
        <w:t>The difference between limited and unlimited Weights is divided between Issuers with an unlimited Weight on a pro rata basis.</w:t>
      </w:r>
    </w:p>
    <w:bookmarkEnd w:id="19"/>
    <w:p w14:paraId="643435CB" w14:textId="77777777" w:rsidR="00155031" w:rsidRPr="00EB49AC" w:rsidRDefault="00155031" w:rsidP="00155031">
      <w:pPr>
        <w:pStyle w:val="af2"/>
        <w:numPr>
          <w:ilvl w:val="4"/>
          <w:numId w:val="44"/>
        </w:numPr>
        <w:ind w:left="1843" w:hanging="403"/>
        <w:contextualSpacing/>
        <w:jc w:val="both"/>
        <w:rPr>
          <w:rFonts w:ascii="Tahoma" w:hAnsi="Tahoma" w:cs="Tahoma"/>
          <w:sz w:val="20"/>
          <w:szCs w:val="20"/>
        </w:rPr>
      </w:pPr>
      <w:r w:rsidRPr="00EB49AC">
        <w:rPr>
          <w:rFonts w:ascii="Tahoma" w:hAnsi="Tahoma" w:cs="Tahoma"/>
          <w:sz w:val="20"/>
          <w:szCs w:val="20"/>
        </w:rPr>
        <w:lastRenderedPageBreak/>
        <w:t>The above steps are repeated iteratively until there are issuers whose specific weights exceed the S value.</w:t>
      </w:r>
    </w:p>
    <w:p w14:paraId="420094F9" w14:textId="77777777" w:rsidR="00283411" w:rsidRPr="00EB49AC" w:rsidRDefault="00283411" w:rsidP="00283411">
      <w:pPr>
        <w:numPr>
          <w:ilvl w:val="1"/>
          <w:numId w:val="1"/>
        </w:numPr>
        <w:jc w:val="both"/>
        <w:rPr>
          <w:rFonts w:ascii="Tahoma" w:hAnsi="Tahoma" w:cs="Tahoma"/>
          <w:sz w:val="20"/>
          <w:szCs w:val="20"/>
        </w:rPr>
      </w:pPr>
      <w:r w:rsidRPr="00EB49AC">
        <w:rPr>
          <w:rFonts w:ascii="Tahoma" w:hAnsi="Tahoma" w:cs="Tahoma"/>
          <w:sz w:val="20"/>
          <w:szCs w:val="20"/>
        </w:rPr>
        <w:t>Weighting factors Wi can be anything between 0 and 1, with accuracy to seven decimal places according to the rounding rule.</w:t>
      </w:r>
    </w:p>
    <w:p w14:paraId="2B5FE156" w14:textId="77777777" w:rsidR="00CF34DC" w:rsidRPr="00EB49AC" w:rsidRDefault="00CF34DC" w:rsidP="00B74EE3">
      <w:pPr>
        <w:numPr>
          <w:ilvl w:val="1"/>
          <w:numId w:val="1"/>
        </w:numPr>
        <w:jc w:val="both"/>
        <w:rPr>
          <w:rFonts w:ascii="Tahoma" w:hAnsi="Tahoma" w:cs="Tahoma"/>
          <w:sz w:val="20"/>
          <w:szCs w:val="20"/>
        </w:rPr>
      </w:pPr>
      <w:r w:rsidRPr="00EB49AC">
        <w:rPr>
          <w:rFonts w:ascii="Tahoma" w:hAnsi="Tahoma" w:cs="Tahoma"/>
          <w:sz w:val="20"/>
          <w:szCs w:val="20"/>
        </w:rPr>
        <w:t>If, as of the Index Review date, the share of the Bond issue in the Index does not meet the requirements of clause 5.1, the Exchange is entitled to set the volume N</w:t>
      </w:r>
      <w:r w:rsidRPr="00EB49AC">
        <w:rPr>
          <w:rFonts w:ascii="Tahoma" w:hAnsi="Tahoma" w:cs="Tahoma"/>
          <w:sz w:val="20"/>
          <w:szCs w:val="20"/>
          <w:vertAlign w:val="subscript"/>
        </w:rPr>
        <w:t>i,t-1</w:t>
      </w:r>
      <w:r w:rsidRPr="00EB49AC">
        <w:rPr>
          <w:rFonts w:ascii="Tahoma" w:hAnsi="Tahoma" w:cs="Tahoma"/>
          <w:sz w:val="20"/>
          <w:szCs w:val="20"/>
        </w:rPr>
        <w:t xml:space="preserve"> of Bond issue used for calculation of the Index in accordance with clause 2.2 of the Methodology, so that the share of the Bond issue in the Index does not exceed the value set by clause 5.1.</w:t>
      </w:r>
    </w:p>
    <w:p w14:paraId="185461A8" w14:textId="77777777" w:rsidR="009523B4" w:rsidRPr="00EB49AC" w:rsidRDefault="009523B4" w:rsidP="009523B4">
      <w:pPr>
        <w:ind w:left="360"/>
        <w:outlineLvl w:val="0"/>
        <w:rPr>
          <w:rFonts w:ascii="Tahoma" w:hAnsi="Tahoma" w:cs="Tahoma"/>
          <w:b/>
          <w:sz w:val="20"/>
          <w:szCs w:val="20"/>
        </w:rPr>
      </w:pPr>
    </w:p>
    <w:p w14:paraId="78333375" w14:textId="77777777" w:rsidR="00C73D53" w:rsidRPr="00EB49AC" w:rsidRDefault="00C73D53" w:rsidP="00B74EE3">
      <w:pPr>
        <w:numPr>
          <w:ilvl w:val="0"/>
          <w:numId w:val="1"/>
        </w:numPr>
        <w:outlineLvl w:val="0"/>
        <w:rPr>
          <w:rFonts w:ascii="Tahoma" w:hAnsi="Tahoma" w:cs="Tahoma"/>
          <w:b/>
          <w:sz w:val="20"/>
          <w:szCs w:val="20"/>
        </w:rPr>
      </w:pPr>
      <w:bookmarkStart w:id="20" w:name="_Toc31119135"/>
      <w:bookmarkStart w:id="21" w:name="_Toc31207503"/>
      <w:bookmarkStart w:id="22" w:name="_Toc31209593"/>
      <w:bookmarkStart w:id="23" w:name="_Toc31212600"/>
      <w:bookmarkStart w:id="24" w:name="_Toc424122380"/>
      <w:bookmarkStart w:id="25" w:name="_Toc438206745"/>
      <w:bookmarkStart w:id="26" w:name="_Toc438206781"/>
      <w:bookmarkStart w:id="27" w:name="_Toc438207001"/>
      <w:bookmarkStart w:id="28" w:name="_Toc433902917"/>
      <w:bookmarkStart w:id="29" w:name="_Toc463443775"/>
      <w:bookmarkStart w:id="30" w:name="_Toc488065488"/>
      <w:bookmarkStart w:id="31" w:name="_Toc514669049"/>
      <w:bookmarkStart w:id="32" w:name="_Ref272826482"/>
      <w:bookmarkStart w:id="33" w:name="п_6_1"/>
      <w:bookmarkStart w:id="34" w:name="_Toc155893768"/>
      <w:bookmarkEnd w:id="20"/>
      <w:bookmarkEnd w:id="21"/>
      <w:bookmarkEnd w:id="22"/>
      <w:bookmarkEnd w:id="23"/>
      <w:r w:rsidRPr="00EB49AC">
        <w:rPr>
          <w:rFonts w:ascii="Tahoma" w:hAnsi="Tahoma" w:cs="Tahoma"/>
          <w:b/>
          <w:sz w:val="20"/>
          <w:szCs w:val="20"/>
        </w:rPr>
        <w:t>Control Over Calculation of the Index</w:t>
      </w:r>
      <w:bookmarkEnd w:id="24"/>
      <w:bookmarkEnd w:id="25"/>
      <w:bookmarkEnd w:id="26"/>
      <w:bookmarkEnd w:id="27"/>
      <w:bookmarkEnd w:id="28"/>
      <w:bookmarkEnd w:id="29"/>
      <w:bookmarkEnd w:id="30"/>
      <w:bookmarkEnd w:id="31"/>
      <w:bookmarkEnd w:id="34"/>
    </w:p>
    <w:p w14:paraId="5F4A1001" w14:textId="77777777" w:rsidR="00B74EE3" w:rsidRPr="00EB49AC" w:rsidRDefault="00B74EE3" w:rsidP="00B74EE3">
      <w:pPr>
        <w:ind w:left="360"/>
        <w:outlineLvl w:val="0"/>
        <w:rPr>
          <w:rFonts w:ascii="Tahoma" w:hAnsi="Tahoma" w:cs="Tahoma"/>
          <w:b/>
          <w:sz w:val="20"/>
          <w:szCs w:val="20"/>
        </w:rPr>
      </w:pPr>
    </w:p>
    <w:p w14:paraId="3754E3FC" w14:textId="77777777" w:rsidR="00C73D53" w:rsidRPr="00EB49AC" w:rsidRDefault="00C73D53" w:rsidP="00B74EE3">
      <w:pPr>
        <w:numPr>
          <w:ilvl w:val="1"/>
          <w:numId w:val="1"/>
        </w:numPr>
        <w:jc w:val="both"/>
        <w:rPr>
          <w:rFonts w:ascii="Tahoma" w:hAnsi="Tahoma" w:cs="Tahoma"/>
          <w:sz w:val="20"/>
          <w:szCs w:val="20"/>
        </w:rPr>
      </w:pPr>
      <w:r w:rsidRPr="00EB49AC">
        <w:rPr>
          <w:rFonts w:ascii="Tahoma" w:hAnsi="Tahoma" w:cs="Tahoma"/>
          <w:sz w:val="20"/>
          <w:szCs w:val="20"/>
        </w:rPr>
        <w:t>In case of technical failure upon calculation of the Index or technical failure in the course of securities trading on the Exchange, which resulted in distortion of data used for calculation of the Index, recalculation of previously calculated index values is allowed. This recalculation shall be carried out within the shortest possible time from the moment of detection of the technical failure. Upon recalculation of the Index, the Exchange posts the relevant announcement on its website.</w:t>
      </w:r>
    </w:p>
    <w:p w14:paraId="4EBB0A6B" w14:textId="53CFD4CD" w:rsidR="00C73D53" w:rsidRDefault="00C73D53" w:rsidP="00B74EE3">
      <w:pPr>
        <w:numPr>
          <w:ilvl w:val="1"/>
          <w:numId w:val="1"/>
        </w:numPr>
        <w:jc w:val="both"/>
        <w:rPr>
          <w:rFonts w:ascii="Tahoma" w:hAnsi="Tahoma" w:cs="Tahoma"/>
          <w:sz w:val="20"/>
          <w:szCs w:val="20"/>
        </w:rPr>
      </w:pPr>
      <w:r w:rsidRPr="00EB49AC">
        <w:rPr>
          <w:rFonts w:ascii="Tahoma" w:hAnsi="Tahoma" w:cs="Tahoma"/>
          <w:sz w:val="20"/>
          <w:szCs w:val="20"/>
        </w:rPr>
        <w:t>In the event of circumstances that may adversely affect the adequacy of the Index in representing the real state of the Russian fixed income market, the Exchange may take any actions necessary to ensure adequacy of the Index, including exclusion of a Bond from the Index, etc.</w:t>
      </w:r>
    </w:p>
    <w:p w14:paraId="6723A8E5" w14:textId="77777777" w:rsidR="00EB49AC" w:rsidRPr="00EB49AC" w:rsidRDefault="00EB49AC" w:rsidP="00EB49AC">
      <w:pPr>
        <w:ind w:left="972"/>
        <w:jc w:val="both"/>
        <w:rPr>
          <w:rFonts w:ascii="Tahoma" w:hAnsi="Tahoma" w:cs="Tahoma"/>
          <w:sz w:val="20"/>
          <w:szCs w:val="20"/>
        </w:rPr>
      </w:pPr>
      <w:bookmarkStart w:id="35" w:name="_GoBack"/>
      <w:bookmarkEnd w:id="35"/>
    </w:p>
    <w:p w14:paraId="04AFC61B" w14:textId="77777777" w:rsidR="00657BF4" w:rsidRPr="00EB49AC" w:rsidRDefault="00657BF4" w:rsidP="00B74EE3">
      <w:pPr>
        <w:numPr>
          <w:ilvl w:val="0"/>
          <w:numId w:val="1"/>
        </w:numPr>
        <w:outlineLvl w:val="0"/>
        <w:rPr>
          <w:rFonts w:ascii="Tahoma" w:hAnsi="Tahoma" w:cs="Tahoma"/>
          <w:b/>
          <w:sz w:val="20"/>
          <w:szCs w:val="20"/>
        </w:rPr>
      </w:pPr>
      <w:bookmarkStart w:id="36" w:name="_Toc155893769"/>
      <w:bookmarkEnd w:id="32"/>
      <w:bookmarkEnd w:id="33"/>
      <w:r w:rsidRPr="00EB49AC">
        <w:rPr>
          <w:rFonts w:ascii="Tahoma" w:hAnsi="Tahoma" w:cs="Tahoma"/>
          <w:b/>
          <w:sz w:val="20"/>
          <w:szCs w:val="20"/>
        </w:rPr>
        <w:t>Disclosure</w:t>
      </w:r>
      <w:bookmarkEnd w:id="36"/>
    </w:p>
    <w:p w14:paraId="664FA15E" w14:textId="77777777" w:rsidR="00657BF4" w:rsidRPr="00EB49AC" w:rsidRDefault="00657BF4" w:rsidP="00B74EE3">
      <w:pPr>
        <w:ind w:left="972"/>
        <w:jc w:val="both"/>
        <w:rPr>
          <w:rFonts w:ascii="Tahoma" w:hAnsi="Tahoma" w:cs="Tahoma"/>
          <w:sz w:val="20"/>
          <w:szCs w:val="20"/>
        </w:rPr>
      </w:pPr>
    </w:p>
    <w:p w14:paraId="17EE8FC2" w14:textId="77777777" w:rsidR="00EB69B2" w:rsidRPr="00EB49AC" w:rsidRDefault="00EB69B2" w:rsidP="00B74EE3">
      <w:pPr>
        <w:numPr>
          <w:ilvl w:val="1"/>
          <w:numId w:val="1"/>
        </w:numPr>
        <w:jc w:val="both"/>
        <w:rPr>
          <w:rFonts w:ascii="Tahoma" w:hAnsi="Tahoma" w:cs="Tahoma"/>
          <w:sz w:val="20"/>
          <w:szCs w:val="20"/>
        </w:rPr>
      </w:pPr>
      <w:r w:rsidRPr="00EB49AC">
        <w:rPr>
          <w:rFonts w:ascii="Tahoma" w:hAnsi="Tahoma" w:cs="Tahoma"/>
          <w:sz w:val="20"/>
          <w:szCs w:val="20"/>
        </w:rPr>
        <w:t>Values of the Index and Additional Factors for the previous trading day are disclosed every trading day not later than 12:00 Moscow time.</w:t>
      </w:r>
    </w:p>
    <w:p w14:paraId="360DBB93" w14:textId="10057D43" w:rsidR="009523B4" w:rsidRPr="00EB49AC" w:rsidRDefault="00E914CC" w:rsidP="00B74EE3">
      <w:pPr>
        <w:numPr>
          <w:ilvl w:val="1"/>
          <w:numId w:val="1"/>
        </w:numPr>
        <w:jc w:val="both"/>
        <w:rPr>
          <w:rFonts w:ascii="Tahoma" w:hAnsi="Tahoma" w:cs="Tahoma"/>
          <w:sz w:val="20"/>
          <w:szCs w:val="20"/>
        </w:rPr>
      </w:pPr>
      <w:r w:rsidRPr="00EB49AC">
        <w:rPr>
          <w:rFonts w:ascii="Tahoma" w:hAnsi="Tahoma" w:cs="Tahoma"/>
          <w:sz w:val="20"/>
          <w:szCs w:val="20"/>
        </w:rPr>
        <w:t xml:space="preserve"> Notifications on scheduled Index Reviews are disclosed within three working days from the date of the Exchange's decision to approve the new Index Constituents, but not later than one week before the date of coming into effect of such Exchange's decision.</w:t>
      </w:r>
    </w:p>
    <w:p w14:paraId="47E1D5C9" w14:textId="77777777" w:rsidR="009523B4" w:rsidRPr="00EB49AC" w:rsidRDefault="009523B4" w:rsidP="00B74EE3">
      <w:pPr>
        <w:numPr>
          <w:ilvl w:val="1"/>
          <w:numId w:val="1"/>
        </w:numPr>
        <w:jc w:val="both"/>
        <w:rPr>
          <w:rFonts w:ascii="Tahoma" w:hAnsi="Tahoma" w:cs="Tahoma"/>
          <w:sz w:val="20"/>
          <w:szCs w:val="20"/>
        </w:rPr>
      </w:pPr>
      <w:r w:rsidRPr="00EB49AC">
        <w:rPr>
          <w:rFonts w:ascii="Tahoma" w:hAnsi="Tahoma" w:cs="Tahoma"/>
          <w:sz w:val="20"/>
          <w:szCs w:val="20"/>
        </w:rPr>
        <w:t>Notification on extraordinary Index Reviews are disclosed not later than the day preceding the effective date of the Exchange's decision on approval of the new Index Constituents.</w:t>
      </w:r>
    </w:p>
    <w:p w14:paraId="3DD362A0" w14:textId="77777777" w:rsidR="00657BF4" w:rsidRPr="00EB49AC" w:rsidRDefault="00657BF4" w:rsidP="00B74EE3">
      <w:pPr>
        <w:numPr>
          <w:ilvl w:val="1"/>
          <w:numId w:val="1"/>
        </w:numPr>
        <w:jc w:val="both"/>
        <w:rPr>
          <w:rFonts w:ascii="Tahoma" w:hAnsi="Tahoma" w:cs="Tahoma"/>
          <w:sz w:val="20"/>
          <w:szCs w:val="20"/>
        </w:rPr>
      </w:pPr>
      <w:r w:rsidRPr="00EB49AC">
        <w:rPr>
          <w:rFonts w:ascii="Tahoma" w:hAnsi="Tahoma" w:cs="Tahoma"/>
          <w:sz w:val="20"/>
          <w:szCs w:val="20"/>
        </w:rPr>
        <w:t>Information subject to disclosure in accordance with this Methodology shall be disclosed on the Exchange's official website. Such information may be disseminated in other ways, including through news agencies that distribute MOEX market data.</w:t>
      </w:r>
    </w:p>
    <w:p w14:paraId="717B6F76" w14:textId="77777777" w:rsidR="00645F36" w:rsidRPr="00EB49AC" w:rsidRDefault="00645F36" w:rsidP="000B712B">
      <w:pPr>
        <w:jc w:val="right"/>
        <w:rPr>
          <w:rFonts w:ascii="Tahoma" w:hAnsi="Tahoma" w:cs="Tahoma"/>
          <w:sz w:val="20"/>
          <w:szCs w:val="20"/>
        </w:rPr>
      </w:pPr>
    </w:p>
    <w:sectPr w:rsidR="00645F36" w:rsidRPr="00EB49AC" w:rsidSect="004534E4">
      <w:headerReference w:type="default" r:id="rId8"/>
      <w:footerReference w:type="default" r:id="rId9"/>
      <w:footerReference w:type="first" r:id="rId10"/>
      <w:pgSz w:w="11906" w:h="16838"/>
      <w:pgMar w:top="1079" w:right="1134" w:bottom="1079"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BB0" w16cex:dateUtc="2020-11-18T07:53:00Z"/>
  <w16cex:commentExtensible w16cex:durableId="235F7D5F" w16cex:dateUtc="2020-11-18T08:00:00Z"/>
  <w16cex:commentExtensible w16cex:durableId="235F7C24" w16cex:dateUtc="2020-11-18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E7FA" w14:textId="77777777" w:rsidR="00245399" w:rsidRDefault="00245399">
      <w:r>
        <w:separator/>
      </w:r>
    </w:p>
  </w:endnote>
  <w:endnote w:type="continuationSeparator" w:id="0">
    <w:p w14:paraId="5A1BDFC3" w14:textId="77777777" w:rsidR="00245399" w:rsidRDefault="0024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3072" w14:textId="77777777" w:rsidR="0066590D" w:rsidRPr="006D19CD" w:rsidRDefault="0066590D"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14</w:t>
    </w:r>
    <w:r w:rsidRPr="006D19CD">
      <w:rPr>
        <w:rStyle w:val="aa"/>
        <w:rFonts w:ascii="Arial" w:hAnsi="Arial" w:cs="Arial"/>
        <w:sz w:val="20"/>
      </w:rPr>
      <w:fldChar w:fldCharType="end"/>
    </w:r>
  </w:p>
  <w:p w14:paraId="69E7677E" w14:textId="77777777" w:rsidR="0066590D" w:rsidRDefault="0066590D"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D3E3" w14:textId="77777777" w:rsidR="0066590D" w:rsidRDefault="0066590D"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04D2" w14:textId="77777777" w:rsidR="00245399" w:rsidRDefault="00245399">
      <w:r>
        <w:separator/>
      </w:r>
    </w:p>
  </w:footnote>
  <w:footnote w:type="continuationSeparator" w:id="0">
    <w:p w14:paraId="13C66F64" w14:textId="77777777" w:rsidR="00245399" w:rsidRDefault="0024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D900" w14:textId="77777777" w:rsidR="0066590D" w:rsidRDefault="006659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4518128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ascii="Tahoma" w:hAnsi="Tahoma" w:cs="Tahoma"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6"/>
  </w:num>
  <w:num w:numId="11">
    <w:abstractNumId w:val="15"/>
  </w:num>
  <w:num w:numId="12">
    <w:abstractNumId w:val="35"/>
  </w:num>
  <w:num w:numId="13">
    <w:abstractNumId w:val="32"/>
  </w:num>
  <w:num w:numId="14">
    <w:abstractNumId w:val="7"/>
  </w:num>
  <w:num w:numId="15">
    <w:abstractNumId w:val="8"/>
  </w:num>
  <w:num w:numId="16">
    <w:abstractNumId w:val="42"/>
  </w:num>
  <w:num w:numId="17">
    <w:abstractNumId w:val="38"/>
  </w:num>
  <w:num w:numId="18">
    <w:abstractNumId w:val="2"/>
  </w:num>
  <w:num w:numId="19">
    <w:abstractNumId w:val="4"/>
  </w:num>
  <w:num w:numId="20">
    <w:abstractNumId w:val="11"/>
  </w:num>
  <w:num w:numId="21">
    <w:abstractNumId w:val="29"/>
  </w:num>
  <w:num w:numId="22">
    <w:abstractNumId w:val="1"/>
  </w:num>
  <w:num w:numId="23">
    <w:abstractNumId w:val="3"/>
  </w:num>
  <w:num w:numId="24">
    <w:abstractNumId w:val="5"/>
  </w:num>
  <w:num w:numId="25">
    <w:abstractNumId w:val="18"/>
  </w:num>
  <w:num w:numId="26">
    <w:abstractNumId w:val="5"/>
  </w:num>
  <w:num w:numId="27">
    <w:abstractNumId w:val="16"/>
  </w:num>
  <w:num w:numId="28">
    <w:abstractNumId w:val="41"/>
  </w:num>
  <w:num w:numId="29">
    <w:abstractNumId w:val="27"/>
  </w:num>
  <w:num w:numId="30">
    <w:abstractNumId w:val="37"/>
  </w:num>
  <w:num w:numId="31">
    <w:abstractNumId w:val="24"/>
  </w:num>
  <w:num w:numId="32">
    <w:abstractNumId w:val="25"/>
  </w:num>
  <w:num w:numId="33">
    <w:abstractNumId w:val="14"/>
  </w:num>
  <w:num w:numId="34">
    <w:abstractNumId w:val="22"/>
  </w:num>
  <w:num w:numId="35">
    <w:abstractNumId w:val="9"/>
  </w:num>
  <w:num w:numId="36">
    <w:abstractNumId w:val="21"/>
  </w:num>
  <w:num w:numId="37">
    <w:abstractNumId w:val="30"/>
  </w:num>
  <w:num w:numId="38">
    <w:abstractNumId w:val="34"/>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0"/>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6"/>
  </w:num>
  <w:num w:numId="45">
    <w:abstractNumId w:val="33"/>
  </w:num>
  <w:num w:numId="46">
    <w:abstractNumId w:val="0"/>
  </w:num>
  <w:num w:numId="47">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137A"/>
    <w:rsid w:val="00001973"/>
    <w:rsid w:val="00001C77"/>
    <w:rsid w:val="00001E00"/>
    <w:rsid w:val="00002331"/>
    <w:rsid w:val="0000288E"/>
    <w:rsid w:val="00002D56"/>
    <w:rsid w:val="0000383E"/>
    <w:rsid w:val="00003F00"/>
    <w:rsid w:val="000052C9"/>
    <w:rsid w:val="0000537C"/>
    <w:rsid w:val="000057B1"/>
    <w:rsid w:val="00005C3D"/>
    <w:rsid w:val="00005F86"/>
    <w:rsid w:val="00006A72"/>
    <w:rsid w:val="00006E2C"/>
    <w:rsid w:val="00010E7F"/>
    <w:rsid w:val="00012255"/>
    <w:rsid w:val="00013643"/>
    <w:rsid w:val="00014370"/>
    <w:rsid w:val="00014845"/>
    <w:rsid w:val="00014BB7"/>
    <w:rsid w:val="00014E31"/>
    <w:rsid w:val="000156F5"/>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399"/>
    <w:rsid w:val="00022588"/>
    <w:rsid w:val="00022791"/>
    <w:rsid w:val="00022E77"/>
    <w:rsid w:val="00022F3B"/>
    <w:rsid w:val="000230F8"/>
    <w:rsid w:val="000240F9"/>
    <w:rsid w:val="00024137"/>
    <w:rsid w:val="00024CB3"/>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388"/>
    <w:rsid w:val="00033A1A"/>
    <w:rsid w:val="00033C3D"/>
    <w:rsid w:val="000348BF"/>
    <w:rsid w:val="00035132"/>
    <w:rsid w:val="00035CED"/>
    <w:rsid w:val="00036606"/>
    <w:rsid w:val="00037772"/>
    <w:rsid w:val="00040096"/>
    <w:rsid w:val="00040DBD"/>
    <w:rsid w:val="00041BAD"/>
    <w:rsid w:val="0004241E"/>
    <w:rsid w:val="000426EF"/>
    <w:rsid w:val="00042CA2"/>
    <w:rsid w:val="00042E39"/>
    <w:rsid w:val="0004480F"/>
    <w:rsid w:val="00044C15"/>
    <w:rsid w:val="00045917"/>
    <w:rsid w:val="00045B1C"/>
    <w:rsid w:val="00045D5E"/>
    <w:rsid w:val="000466F6"/>
    <w:rsid w:val="00046847"/>
    <w:rsid w:val="000476B3"/>
    <w:rsid w:val="00050071"/>
    <w:rsid w:val="000501B8"/>
    <w:rsid w:val="00050270"/>
    <w:rsid w:val="000503C8"/>
    <w:rsid w:val="000504C8"/>
    <w:rsid w:val="00050707"/>
    <w:rsid w:val="000509C7"/>
    <w:rsid w:val="00050E75"/>
    <w:rsid w:val="00051F6A"/>
    <w:rsid w:val="000520AE"/>
    <w:rsid w:val="00052B37"/>
    <w:rsid w:val="00052C04"/>
    <w:rsid w:val="00052E1D"/>
    <w:rsid w:val="00053C47"/>
    <w:rsid w:val="0005407A"/>
    <w:rsid w:val="000548FC"/>
    <w:rsid w:val="000564B6"/>
    <w:rsid w:val="000567D3"/>
    <w:rsid w:val="00056A65"/>
    <w:rsid w:val="00056F15"/>
    <w:rsid w:val="000611BC"/>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280D"/>
    <w:rsid w:val="00082DB5"/>
    <w:rsid w:val="00082F1C"/>
    <w:rsid w:val="00083708"/>
    <w:rsid w:val="0008386E"/>
    <w:rsid w:val="00085FB5"/>
    <w:rsid w:val="0008600B"/>
    <w:rsid w:val="00086286"/>
    <w:rsid w:val="00086B7B"/>
    <w:rsid w:val="00086BDD"/>
    <w:rsid w:val="000876A9"/>
    <w:rsid w:val="00090308"/>
    <w:rsid w:val="000913A3"/>
    <w:rsid w:val="00091813"/>
    <w:rsid w:val="00092AAF"/>
    <w:rsid w:val="00092C0A"/>
    <w:rsid w:val="00092D8B"/>
    <w:rsid w:val="0009352D"/>
    <w:rsid w:val="00093AB8"/>
    <w:rsid w:val="00093D87"/>
    <w:rsid w:val="00093FF9"/>
    <w:rsid w:val="00094086"/>
    <w:rsid w:val="00094427"/>
    <w:rsid w:val="000953B8"/>
    <w:rsid w:val="00095B88"/>
    <w:rsid w:val="00095C40"/>
    <w:rsid w:val="000963A8"/>
    <w:rsid w:val="00096656"/>
    <w:rsid w:val="00097085"/>
    <w:rsid w:val="00097628"/>
    <w:rsid w:val="00097E08"/>
    <w:rsid w:val="00097F55"/>
    <w:rsid w:val="000A0B1A"/>
    <w:rsid w:val="000A1345"/>
    <w:rsid w:val="000A2AE6"/>
    <w:rsid w:val="000A37C8"/>
    <w:rsid w:val="000A430C"/>
    <w:rsid w:val="000A4ACC"/>
    <w:rsid w:val="000A4C28"/>
    <w:rsid w:val="000A4D9F"/>
    <w:rsid w:val="000A5803"/>
    <w:rsid w:val="000A5AAA"/>
    <w:rsid w:val="000A6293"/>
    <w:rsid w:val="000A6C67"/>
    <w:rsid w:val="000B005B"/>
    <w:rsid w:val="000B0EC6"/>
    <w:rsid w:val="000B1117"/>
    <w:rsid w:val="000B1512"/>
    <w:rsid w:val="000B1BE2"/>
    <w:rsid w:val="000B1E75"/>
    <w:rsid w:val="000B47FE"/>
    <w:rsid w:val="000B5305"/>
    <w:rsid w:val="000B5B7B"/>
    <w:rsid w:val="000B624A"/>
    <w:rsid w:val="000B65FE"/>
    <w:rsid w:val="000B665E"/>
    <w:rsid w:val="000B678B"/>
    <w:rsid w:val="000B6C13"/>
    <w:rsid w:val="000B6DA4"/>
    <w:rsid w:val="000B6EA2"/>
    <w:rsid w:val="000B712B"/>
    <w:rsid w:val="000B718E"/>
    <w:rsid w:val="000B7444"/>
    <w:rsid w:val="000B751D"/>
    <w:rsid w:val="000B75AE"/>
    <w:rsid w:val="000C1276"/>
    <w:rsid w:val="000C173A"/>
    <w:rsid w:val="000C1C63"/>
    <w:rsid w:val="000C1CA4"/>
    <w:rsid w:val="000C2944"/>
    <w:rsid w:val="000C2A24"/>
    <w:rsid w:val="000C301D"/>
    <w:rsid w:val="000C357E"/>
    <w:rsid w:val="000C373D"/>
    <w:rsid w:val="000C378F"/>
    <w:rsid w:val="000C3E8B"/>
    <w:rsid w:val="000C6325"/>
    <w:rsid w:val="000C6B26"/>
    <w:rsid w:val="000C726B"/>
    <w:rsid w:val="000C7A80"/>
    <w:rsid w:val="000C7E51"/>
    <w:rsid w:val="000D032C"/>
    <w:rsid w:val="000D1663"/>
    <w:rsid w:val="000D1FF9"/>
    <w:rsid w:val="000D3EDF"/>
    <w:rsid w:val="000D40AB"/>
    <w:rsid w:val="000D4221"/>
    <w:rsid w:val="000D5344"/>
    <w:rsid w:val="000D566E"/>
    <w:rsid w:val="000D5727"/>
    <w:rsid w:val="000D6090"/>
    <w:rsid w:val="000D634E"/>
    <w:rsid w:val="000D6DAA"/>
    <w:rsid w:val="000D7501"/>
    <w:rsid w:val="000D775B"/>
    <w:rsid w:val="000D7A1F"/>
    <w:rsid w:val="000D7D36"/>
    <w:rsid w:val="000E0ECB"/>
    <w:rsid w:val="000E12E7"/>
    <w:rsid w:val="000E14E3"/>
    <w:rsid w:val="000E179D"/>
    <w:rsid w:val="000E1CFA"/>
    <w:rsid w:val="000E1D27"/>
    <w:rsid w:val="000E2701"/>
    <w:rsid w:val="000E2EED"/>
    <w:rsid w:val="000E40A9"/>
    <w:rsid w:val="000E4CD8"/>
    <w:rsid w:val="000E50D7"/>
    <w:rsid w:val="000E5463"/>
    <w:rsid w:val="000E5682"/>
    <w:rsid w:val="000E63A5"/>
    <w:rsid w:val="000E647D"/>
    <w:rsid w:val="000E654D"/>
    <w:rsid w:val="000E660C"/>
    <w:rsid w:val="000E6CAA"/>
    <w:rsid w:val="000E7580"/>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36B"/>
    <w:rsid w:val="000F64BE"/>
    <w:rsid w:val="000F7FE1"/>
    <w:rsid w:val="0010146F"/>
    <w:rsid w:val="00101C6B"/>
    <w:rsid w:val="00101EAD"/>
    <w:rsid w:val="00103B76"/>
    <w:rsid w:val="00103E59"/>
    <w:rsid w:val="001040A2"/>
    <w:rsid w:val="001042DF"/>
    <w:rsid w:val="00106E61"/>
    <w:rsid w:val="0011077D"/>
    <w:rsid w:val="00110F5E"/>
    <w:rsid w:val="00110FC6"/>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221"/>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5E4"/>
    <w:rsid w:val="0013499C"/>
    <w:rsid w:val="00135D30"/>
    <w:rsid w:val="00136B43"/>
    <w:rsid w:val="00137771"/>
    <w:rsid w:val="0014120D"/>
    <w:rsid w:val="001420C9"/>
    <w:rsid w:val="00142F36"/>
    <w:rsid w:val="00143312"/>
    <w:rsid w:val="0014348D"/>
    <w:rsid w:val="00144549"/>
    <w:rsid w:val="00144CB6"/>
    <w:rsid w:val="0014572C"/>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6F7C"/>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D37"/>
    <w:rsid w:val="00197DFD"/>
    <w:rsid w:val="001A0451"/>
    <w:rsid w:val="001A1388"/>
    <w:rsid w:val="001A178E"/>
    <w:rsid w:val="001A19CC"/>
    <w:rsid w:val="001A1D4C"/>
    <w:rsid w:val="001A2CF0"/>
    <w:rsid w:val="001A30B4"/>
    <w:rsid w:val="001A32A1"/>
    <w:rsid w:val="001A39EA"/>
    <w:rsid w:val="001A3CA0"/>
    <w:rsid w:val="001A492A"/>
    <w:rsid w:val="001A5ABB"/>
    <w:rsid w:val="001A6E35"/>
    <w:rsid w:val="001A7AD7"/>
    <w:rsid w:val="001B004A"/>
    <w:rsid w:val="001B07D8"/>
    <w:rsid w:val="001B07DE"/>
    <w:rsid w:val="001B0E7B"/>
    <w:rsid w:val="001B0ED4"/>
    <w:rsid w:val="001B0F73"/>
    <w:rsid w:val="001B103A"/>
    <w:rsid w:val="001B17E2"/>
    <w:rsid w:val="001B20D2"/>
    <w:rsid w:val="001B33BC"/>
    <w:rsid w:val="001B366D"/>
    <w:rsid w:val="001B36C2"/>
    <w:rsid w:val="001B3EB2"/>
    <w:rsid w:val="001B4068"/>
    <w:rsid w:val="001B468F"/>
    <w:rsid w:val="001B518C"/>
    <w:rsid w:val="001B5531"/>
    <w:rsid w:val="001B56F3"/>
    <w:rsid w:val="001B5883"/>
    <w:rsid w:val="001B5AC9"/>
    <w:rsid w:val="001B6275"/>
    <w:rsid w:val="001B67FE"/>
    <w:rsid w:val="001C008A"/>
    <w:rsid w:val="001C26E8"/>
    <w:rsid w:val="001C2780"/>
    <w:rsid w:val="001C35C2"/>
    <w:rsid w:val="001C3681"/>
    <w:rsid w:val="001C3B67"/>
    <w:rsid w:val="001C3FA9"/>
    <w:rsid w:val="001C4A61"/>
    <w:rsid w:val="001C4E07"/>
    <w:rsid w:val="001C512E"/>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837"/>
    <w:rsid w:val="001E1B06"/>
    <w:rsid w:val="001E1FF3"/>
    <w:rsid w:val="001E2F58"/>
    <w:rsid w:val="001E328D"/>
    <w:rsid w:val="001E3DE2"/>
    <w:rsid w:val="001E496A"/>
    <w:rsid w:val="001E49DE"/>
    <w:rsid w:val="001E49E1"/>
    <w:rsid w:val="001E4BB5"/>
    <w:rsid w:val="001E5BF5"/>
    <w:rsid w:val="001E5E04"/>
    <w:rsid w:val="001E5E0D"/>
    <w:rsid w:val="001E6BFE"/>
    <w:rsid w:val="001E71D5"/>
    <w:rsid w:val="001E7AB5"/>
    <w:rsid w:val="001F02B2"/>
    <w:rsid w:val="001F0784"/>
    <w:rsid w:val="001F079D"/>
    <w:rsid w:val="001F0814"/>
    <w:rsid w:val="001F0A7A"/>
    <w:rsid w:val="001F10AC"/>
    <w:rsid w:val="001F15DF"/>
    <w:rsid w:val="001F17A0"/>
    <w:rsid w:val="001F1907"/>
    <w:rsid w:val="001F246A"/>
    <w:rsid w:val="001F2B72"/>
    <w:rsid w:val="001F3AA7"/>
    <w:rsid w:val="001F4224"/>
    <w:rsid w:val="001F57D1"/>
    <w:rsid w:val="001F657D"/>
    <w:rsid w:val="001F6B48"/>
    <w:rsid w:val="001F77D4"/>
    <w:rsid w:val="001F7F0B"/>
    <w:rsid w:val="0020092B"/>
    <w:rsid w:val="002025E4"/>
    <w:rsid w:val="002027E3"/>
    <w:rsid w:val="00202A7C"/>
    <w:rsid w:val="0020328C"/>
    <w:rsid w:val="00203334"/>
    <w:rsid w:val="002047C0"/>
    <w:rsid w:val="00204C78"/>
    <w:rsid w:val="00204C7C"/>
    <w:rsid w:val="00204D50"/>
    <w:rsid w:val="00205F41"/>
    <w:rsid w:val="002060E7"/>
    <w:rsid w:val="0020621D"/>
    <w:rsid w:val="00206386"/>
    <w:rsid w:val="002067FC"/>
    <w:rsid w:val="00207365"/>
    <w:rsid w:val="00207D2B"/>
    <w:rsid w:val="002102F1"/>
    <w:rsid w:val="00210F0F"/>
    <w:rsid w:val="0021125A"/>
    <w:rsid w:val="0021166E"/>
    <w:rsid w:val="00211794"/>
    <w:rsid w:val="002139E2"/>
    <w:rsid w:val="00213AE1"/>
    <w:rsid w:val="00213E49"/>
    <w:rsid w:val="002149BA"/>
    <w:rsid w:val="00214E22"/>
    <w:rsid w:val="00215009"/>
    <w:rsid w:val="002154C7"/>
    <w:rsid w:val="00216396"/>
    <w:rsid w:val="0021697A"/>
    <w:rsid w:val="00217123"/>
    <w:rsid w:val="002171C9"/>
    <w:rsid w:val="002175C0"/>
    <w:rsid w:val="00217954"/>
    <w:rsid w:val="002205D2"/>
    <w:rsid w:val="00220993"/>
    <w:rsid w:val="00220ED2"/>
    <w:rsid w:val="00220FCA"/>
    <w:rsid w:val="00221585"/>
    <w:rsid w:val="00221B2D"/>
    <w:rsid w:val="00222570"/>
    <w:rsid w:val="00222A1C"/>
    <w:rsid w:val="002231DD"/>
    <w:rsid w:val="00223229"/>
    <w:rsid w:val="00223D97"/>
    <w:rsid w:val="00223F33"/>
    <w:rsid w:val="00224554"/>
    <w:rsid w:val="0022485B"/>
    <w:rsid w:val="002248F4"/>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19B4"/>
    <w:rsid w:val="00242B24"/>
    <w:rsid w:val="00242E65"/>
    <w:rsid w:val="00243DC4"/>
    <w:rsid w:val="00244335"/>
    <w:rsid w:val="002444AB"/>
    <w:rsid w:val="00244757"/>
    <w:rsid w:val="00244AE4"/>
    <w:rsid w:val="00244BC5"/>
    <w:rsid w:val="00245357"/>
    <w:rsid w:val="00245399"/>
    <w:rsid w:val="00245B58"/>
    <w:rsid w:val="00245C9E"/>
    <w:rsid w:val="0024627E"/>
    <w:rsid w:val="0024656E"/>
    <w:rsid w:val="00246B3D"/>
    <w:rsid w:val="00246BC9"/>
    <w:rsid w:val="00246EB1"/>
    <w:rsid w:val="00247E62"/>
    <w:rsid w:val="00250DD1"/>
    <w:rsid w:val="00251171"/>
    <w:rsid w:val="00251E4B"/>
    <w:rsid w:val="00252310"/>
    <w:rsid w:val="0025307A"/>
    <w:rsid w:val="002532CE"/>
    <w:rsid w:val="00254463"/>
    <w:rsid w:val="00254481"/>
    <w:rsid w:val="002545D3"/>
    <w:rsid w:val="002553EF"/>
    <w:rsid w:val="00255A2F"/>
    <w:rsid w:val="00255EE3"/>
    <w:rsid w:val="002567CF"/>
    <w:rsid w:val="00257028"/>
    <w:rsid w:val="0026001D"/>
    <w:rsid w:val="002602CD"/>
    <w:rsid w:val="002603BA"/>
    <w:rsid w:val="002606AA"/>
    <w:rsid w:val="002607BB"/>
    <w:rsid w:val="00262534"/>
    <w:rsid w:val="002629D6"/>
    <w:rsid w:val="00262DB5"/>
    <w:rsid w:val="00263537"/>
    <w:rsid w:val="002640AE"/>
    <w:rsid w:val="002640C4"/>
    <w:rsid w:val="00265C38"/>
    <w:rsid w:val="00265C4F"/>
    <w:rsid w:val="00265E60"/>
    <w:rsid w:val="00265EDE"/>
    <w:rsid w:val="00266B01"/>
    <w:rsid w:val="00267169"/>
    <w:rsid w:val="00267288"/>
    <w:rsid w:val="002673C9"/>
    <w:rsid w:val="0026744E"/>
    <w:rsid w:val="00267716"/>
    <w:rsid w:val="00267B1F"/>
    <w:rsid w:val="00267EB9"/>
    <w:rsid w:val="002707C7"/>
    <w:rsid w:val="002717F5"/>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71C"/>
    <w:rsid w:val="00281FC0"/>
    <w:rsid w:val="00282A1A"/>
    <w:rsid w:val="00282BBB"/>
    <w:rsid w:val="00283411"/>
    <w:rsid w:val="0028361A"/>
    <w:rsid w:val="0028554A"/>
    <w:rsid w:val="002855F6"/>
    <w:rsid w:val="00286030"/>
    <w:rsid w:val="0028633F"/>
    <w:rsid w:val="00286B4D"/>
    <w:rsid w:val="00287F81"/>
    <w:rsid w:val="00292913"/>
    <w:rsid w:val="00292F26"/>
    <w:rsid w:val="00293304"/>
    <w:rsid w:val="00293FCA"/>
    <w:rsid w:val="00294446"/>
    <w:rsid w:val="00294AD0"/>
    <w:rsid w:val="00295D07"/>
    <w:rsid w:val="0029623A"/>
    <w:rsid w:val="00296EF1"/>
    <w:rsid w:val="00297737"/>
    <w:rsid w:val="00297A86"/>
    <w:rsid w:val="002A0244"/>
    <w:rsid w:val="002A02CF"/>
    <w:rsid w:val="002A062B"/>
    <w:rsid w:val="002A0705"/>
    <w:rsid w:val="002A0760"/>
    <w:rsid w:val="002A0A54"/>
    <w:rsid w:val="002A123A"/>
    <w:rsid w:val="002A17EE"/>
    <w:rsid w:val="002A1A7E"/>
    <w:rsid w:val="002A1AF1"/>
    <w:rsid w:val="002A267B"/>
    <w:rsid w:val="002A2FA7"/>
    <w:rsid w:val="002A363B"/>
    <w:rsid w:val="002A37FB"/>
    <w:rsid w:val="002A3B48"/>
    <w:rsid w:val="002A3B5F"/>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1004"/>
    <w:rsid w:val="002B1D4B"/>
    <w:rsid w:val="002B1F00"/>
    <w:rsid w:val="002B2174"/>
    <w:rsid w:val="002B2CA0"/>
    <w:rsid w:val="002B3208"/>
    <w:rsid w:val="002B4BD8"/>
    <w:rsid w:val="002B51FB"/>
    <w:rsid w:val="002B562B"/>
    <w:rsid w:val="002B57C4"/>
    <w:rsid w:val="002B5927"/>
    <w:rsid w:val="002B5AD6"/>
    <w:rsid w:val="002B5B71"/>
    <w:rsid w:val="002B60AF"/>
    <w:rsid w:val="002B655E"/>
    <w:rsid w:val="002B6B00"/>
    <w:rsid w:val="002B6F0F"/>
    <w:rsid w:val="002B6F3A"/>
    <w:rsid w:val="002B6F9D"/>
    <w:rsid w:val="002C0697"/>
    <w:rsid w:val="002C06E4"/>
    <w:rsid w:val="002C0C79"/>
    <w:rsid w:val="002C1A3F"/>
    <w:rsid w:val="002C1D31"/>
    <w:rsid w:val="002C1E00"/>
    <w:rsid w:val="002C2696"/>
    <w:rsid w:val="002C2B06"/>
    <w:rsid w:val="002C2B08"/>
    <w:rsid w:val="002C2FBF"/>
    <w:rsid w:val="002C2FF6"/>
    <w:rsid w:val="002C3295"/>
    <w:rsid w:val="002C3639"/>
    <w:rsid w:val="002C3866"/>
    <w:rsid w:val="002C43AC"/>
    <w:rsid w:val="002C48D1"/>
    <w:rsid w:val="002C50E3"/>
    <w:rsid w:val="002C5EF1"/>
    <w:rsid w:val="002C6E26"/>
    <w:rsid w:val="002C7B63"/>
    <w:rsid w:val="002D0D0B"/>
    <w:rsid w:val="002D1021"/>
    <w:rsid w:val="002D120A"/>
    <w:rsid w:val="002D2854"/>
    <w:rsid w:val="002D2D43"/>
    <w:rsid w:val="002D3348"/>
    <w:rsid w:val="002D3C18"/>
    <w:rsid w:val="002D3FC5"/>
    <w:rsid w:val="002D4284"/>
    <w:rsid w:val="002D4463"/>
    <w:rsid w:val="002D4722"/>
    <w:rsid w:val="002D5193"/>
    <w:rsid w:val="002D5906"/>
    <w:rsid w:val="002D5E9F"/>
    <w:rsid w:val="002D5EE7"/>
    <w:rsid w:val="002D63DB"/>
    <w:rsid w:val="002D6AB5"/>
    <w:rsid w:val="002D71CE"/>
    <w:rsid w:val="002D78D1"/>
    <w:rsid w:val="002D7D08"/>
    <w:rsid w:val="002E0A12"/>
    <w:rsid w:val="002E15C9"/>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F0C9C"/>
    <w:rsid w:val="002F17BA"/>
    <w:rsid w:val="002F1993"/>
    <w:rsid w:val="002F1E22"/>
    <w:rsid w:val="002F1E2C"/>
    <w:rsid w:val="002F2039"/>
    <w:rsid w:val="002F22FF"/>
    <w:rsid w:val="002F3368"/>
    <w:rsid w:val="002F3D21"/>
    <w:rsid w:val="002F52E8"/>
    <w:rsid w:val="002F65ED"/>
    <w:rsid w:val="002F6BD9"/>
    <w:rsid w:val="002F6BE7"/>
    <w:rsid w:val="002F6F97"/>
    <w:rsid w:val="002F74EF"/>
    <w:rsid w:val="002F7EB1"/>
    <w:rsid w:val="00300129"/>
    <w:rsid w:val="003008A7"/>
    <w:rsid w:val="00301184"/>
    <w:rsid w:val="003022B1"/>
    <w:rsid w:val="00302843"/>
    <w:rsid w:val="00302D4B"/>
    <w:rsid w:val="00302EB5"/>
    <w:rsid w:val="00303946"/>
    <w:rsid w:val="00303DB4"/>
    <w:rsid w:val="00304317"/>
    <w:rsid w:val="00304625"/>
    <w:rsid w:val="0030486E"/>
    <w:rsid w:val="0030540D"/>
    <w:rsid w:val="00305932"/>
    <w:rsid w:val="00305A98"/>
    <w:rsid w:val="00305E8E"/>
    <w:rsid w:val="0030639A"/>
    <w:rsid w:val="00306D78"/>
    <w:rsid w:val="003071DB"/>
    <w:rsid w:val="0030797D"/>
    <w:rsid w:val="003108C0"/>
    <w:rsid w:val="00310944"/>
    <w:rsid w:val="00310945"/>
    <w:rsid w:val="003110FE"/>
    <w:rsid w:val="00311928"/>
    <w:rsid w:val="00311E74"/>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B22"/>
    <w:rsid w:val="003208F0"/>
    <w:rsid w:val="00320F2A"/>
    <w:rsid w:val="0032179D"/>
    <w:rsid w:val="00321CE2"/>
    <w:rsid w:val="00322715"/>
    <w:rsid w:val="00322EFF"/>
    <w:rsid w:val="00322FAC"/>
    <w:rsid w:val="003232B7"/>
    <w:rsid w:val="00323686"/>
    <w:rsid w:val="00324A57"/>
    <w:rsid w:val="00324B09"/>
    <w:rsid w:val="00326453"/>
    <w:rsid w:val="003268C5"/>
    <w:rsid w:val="00326DE6"/>
    <w:rsid w:val="00327881"/>
    <w:rsid w:val="00327A2D"/>
    <w:rsid w:val="00332A4D"/>
    <w:rsid w:val="00332A82"/>
    <w:rsid w:val="00332FDF"/>
    <w:rsid w:val="00333238"/>
    <w:rsid w:val="003333AB"/>
    <w:rsid w:val="003335D4"/>
    <w:rsid w:val="003339F2"/>
    <w:rsid w:val="0033410F"/>
    <w:rsid w:val="00334118"/>
    <w:rsid w:val="00334A13"/>
    <w:rsid w:val="00334FD4"/>
    <w:rsid w:val="003356F3"/>
    <w:rsid w:val="00335975"/>
    <w:rsid w:val="003362B6"/>
    <w:rsid w:val="00336969"/>
    <w:rsid w:val="003372D0"/>
    <w:rsid w:val="003373FA"/>
    <w:rsid w:val="0033785A"/>
    <w:rsid w:val="00337C11"/>
    <w:rsid w:val="003402B9"/>
    <w:rsid w:val="00340BEE"/>
    <w:rsid w:val="003417E8"/>
    <w:rsid w:val="003420AD"/>
    <w:rsid w:val="00343709"/>
    <w:rsid w:val="00343CFA"/>
    <w:rsid w:val="00344D88"/>
    <w:rsid w:val="0034552C"/>
    <w:rsid w:val="00346080"/>
    <w:rsid w:val="0034625D"/>
    <w:rsid w:val="00346591"/>
    <w:rsid w:val="00346A13"/>
    <w:rsid w:val="00347039"/>
    <w:rsid w:val="00347131"/>
    <w:rsid w:val="0034745E"/>
    <w:rsid w:val="00350191"/>
    <w:rsid w:val="003507B3"/>
    <w:rsid w:val="003515C0"/>
    <w:rsid w:val="00351774"/>
    <w:rsid w:val="00351961"/>
    <w:rsid w:val="003532F1"/>
    <w:rsid w:val="00354830"/>
    <w:rsid w:val="00354CCB"/>
    <w:rsid w:val="0035663B"/>
    <w:rsid w:val="00356C0B"/>
    <w:rsid w:val="00357610"/>
    <w:rsid w:val="003576A0"/>
    <w:rsid w:val="00357E1E"/>
    <w:rsid w:val="0036001E"/>
    <w:rsid w:val="003609E0"/>
    <w:rsid w:val="00360D26"/>
    <w:rsid w:val="0036322E"/>
    <w:rsid w:val="0036328D"/>
    <w:rsid w:val="00364BE2"/>
    <w:rsid w:val="00364DE1"/>
    <w:rsid w:val="00366435"/>
    <w:rsid w:val="003665B9"/>
    <w:rsid w:val="00366AED"/>
    <w:rsid w:val="00367081"/>
    <w:rsid w:val="00370051"/>
    <w:rsid w:val="003705A0"/>
    <w:rsid w:val="00370BE1"/>
    <w:rsid w:val="00370C5A"/>
    <w:rsid w:val="00371297"/>
    <w:rsid w:val="0037156B"/>
    <w:rsid w:val="00371595"/>
    <w:rsid w:val="003720CB"/>
    <w:rsid w:val="00372374"/>
    <w:rsid w:val="00372AFF"/>
    <w:rsid w:val="00373308"/>
    <w:rsid w:val="00373ED1"/>
    <w:rsid w:val="003744B1"/>
    <w:rsid w:val="0037528A"/>
    <w:rsid w:val="0037536E"/>
    <w:rsid w:val="003758F0"/>
    <w:rsid w:val="00375B54"/>
    <w:rsid w:val="00375E9E"/>
    <w:rsid w:val="00376914"/>
    <w:rsid w:val="00377659"/>
    <w:rsid w:val="00377692"/>
    <w:rsid w:val="0037774C"/>
    <w:rsid w:val="003777F9"/>
    <w:rsid w:val="00377AE6"/>
    <w:rsid w:val="00377F79"/>
    <w:rsid w:val="00382072"/>
    <w:rsid w:val="003822ED"/>
    <w:rsid w:val="00382788"/>
    <w:rsid w:val="00382C55"/>
    <w:rsid w:val="00382C6A"/>
    <w:rsid w:val="003832B6"/>
    <w:rsid w:val="003834B2"/>
    <w:rsid w:val="00383BD0"/>
    <w:rsid w:val="00383F6C"/>
    <w:rsid w:val="00384DF8"/>
    <w:rsid w:val="00386BD5"/>
    <w:rsid w:val="003874A8"/>
    <w:rsid w:val="003878E6"/>
    <w:rsid w:val="00387A77"/>
    <w:rsid w:val="00390461"/>
    <w:rsid w:val="00390E19"/>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E47"/>
    <w:rsid w:val="003A27F2"/>
    <w:rsid w:val="003A294B"/>
    <w:rsid w:val="003A2DF4"/>
    <w:rsid w:val="003A2F1A"/>
    <w:rsid w:val="003A4FA3"/>
    <w:rsid w:val="003A70DC"/>
    <w:rsid w:val="003A7A3C"/>
    <w:rsid w:val="003B09FE"/>
    <w:rsid w:val="003B0EA1"/>
    <w:rsid w:val="003B1591"/>
    <w:rsid w:val="003B230C"/>
    <w:rsid w:val="003B2E0E"/>
    <w:rsid w:val="003B3FA6"/>
    <w:rsid w:val="003B4354"/>
    <w:rsid w:val="003B4820"/>
    <w:rsid w:val="003B5133"/>
    <w:rsid w:val="003B65F7"/>
    <w:rsid w:val="003B6707"/>
    <w:rsid w:val="003B7195"/>
    <w:rsid w:val="003B751F"/>
    <w:rsid w:val="003B7ED4"/>
    <w:rsid w:val="003B7FEB"/>
    <w:rsid w:val="003C089B"/>
    <w:rsid w:val="003C0DCD"/>
    <w:rsid w:val="003C16BF"/>
    <w:rsid w:val="003C1D60"/>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141"/>
    <w:rsid w:val="003D76BB"/>
    <w:rsid w:val="003E020C"/>
    <w:rsid w:val="003E02BE"/>
    <w:rsid w:val="003E07AA"/>
    <w:rsid w:val="003E09EE"/>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32A5"/>
    <w:rsid w:val="004035DB"/>
    <w:rsid w:val="00403A4E"/>
    <w:rsid w:val="00404091"/>
    <w:rsid w:val="004044F4"/>
    <w:rsid w:val="004052DC"/>
    <w:rsid w:val="00405441"/>
    <w:rsid w:val="004063EC"/>
    <w:rsid w:val="004064D8"/>
    <w:rsid w:val="00406B68"/>
    <w:rsid w:val="00406BFF"/>
    <w:rsid w:val="0040773B"/>
    <w:rsid w:val="00407FD9"/>
    <w:rsid w:val="00410EE8"/>
    <w:rsid w:val="00411296"/>
    <w:rsid w:val="0041152B"/>
    <w:rsid w:val="00411603"/>
    <w:rsid w:val="004120A5"/>
    <w:rsid w:val="00412833"/>
    <w:rsid w:val="00412B00"/>
    <w:rsid w:val="00412BF1"/>
    <w:rsid w:val="00412CEB"/>
    <w:rsid w:val="00412D99"/>
    <w:rsid w:val="004145E5"/>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E45"/>
    <w:rsid w:val="004241D6"/>
    <w:rsid w:val="00424D1A"/>
    <w:rsid w:val="004251C0"/>
    <w:rsid w:val="004252FF"/>
    <w:rsid w:val="0042569A"/>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D55"/>
    <w:rsid w:val="004406B3"/>
    <w:rsid w:val="00440F4B"/>
    <w:rsid w:val="00441989"/>
    <w:rsid w:val="00442243"/>
    <w:rsid w:val="004437F7"/>
    <w:rsid w:val="00444BA1"/>
    <w:rsid w:val="00445268"/>
    <w:rsid w:val="00445342"/>
    <w:rsid w:val="004457E8"/>
    <w:rsid w:val="004458AC"/>
    <w:rsid w:val="00445D87"/>
    <w:rsid w:val="00445DF1"/>
    <w:rsid w:val="00446316"/>
    <w:rsid w:val="004465DD"/>
    <w:rsid w:val="004479ED"/>
    <w:rsid w:val="00447D80"/>
    <w:rsid w:val="00450022"/>
    <w:rsid w:val="00450202"/>
    <w:rsid w:val="004506C1"/>
    <w:rsid w:val="004509B3"/>
    <w:rsid w:val="00450E1D"/>
    <w:rsid w:val="00450FDB"/>
    <w:rsid w:val="00451A98"/>
    <w:rsid w:val="00451EAE"/>
    <w:rsid w:val="0045255D"/>
    <w:rsid w:val="004534E4"/>
    <w:rsid w:val="00453785"/>
    <w:rsid w:val="00453C96"/>
    <w:rsid w:val="00456261"/>
    <w:rsid w:val="00456542"/>
    <w:rsid w:val="00456A61"/>
    <w:rsid w:val="0045744F"/>
    <w:rsid w:val="00457936"/>
    <w:rsid w:val="00460A34"/>
    <w:rsid w:val="0046133B"/>
    <w:rsid w:val="00461597"/>
    <w:rsid w:val="0046272A"/>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643C"/>
    <w:rsid w:val="004679F4"/>
    <w:rsid w:val="00470B07"/>
    <w:rsid w:val="004714D6"/>
    <w:rsid w:val="00471805"/>
    <w:rsid w:val="004719F4"/>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2A85"/>
    <w:rsid w:val="004A2E3D"/>
    <w:rsid w:val="004A321F"/>
    <w:rsid w:val="004A3824"/>
    <w:rsid w:val="004A3D7E"/>
    <w:rsid w:val="004A4F47"/>
    <w:rsid w:val="004A4F4B"/>
    <w:rsid w:val="004A5067"/>
    <w:rsid w:val="004A53BE"/>
    <w:rsid w:val="004A5641"/>
    <w:rsid w:val="004A62F6"/>
    <w:rsid w:val="004A6810"/>
    <w:rsid w:val="004A685F"/>
    <w:rsid w:val="004A6BAF"/>
    <w:rsid w:val="004A6C1D"/>
    <w:rsid w:val="004A6DB5"/>
    <w:rsid w:val="004A7D62"/>
    <w:rsid w:val="004B015D"/>
    <w:rsid w:val="004B0F3C"/>
    <w:rsid w:val="004B1907"/>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B3"/>
    <w:rsid w:val="004D6DCB"/>
    <w:rsid w:val="004D6DE4"/>
    <w:rsid w:val="004D7569"/>
    <w:rsid w:val="004D7AC6"/>
    <w:rsid w:val="004D7D82"/>
    <w:rsid w:val="004E07C9"/>
    <w:rsid w:val="004E096F"/>
    <w:rsid w:val="004E0B8D"/>
    <w:rsid w:val="004E0D16"/>
    <w:rsid w:val="004E1217"/>
    <w:rsid w:val="004E1D7D"/>
    <w:rsid w:val="004E1E45"/>
    <w:rsid w:val="004E2177"/>
    <w:rsid w:val="004E2FDD"/>
    <w:rsid w:val="004E34EE"/>
    <w:rsid w:val="004E46D6"/>
    <w:rsid w:val="004E4783"/>
    <w:rsid w:val="004E49BC"/>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5013FE"/>
    <w:rsid w:val="005017A9"/>
    <w:rsid w:val="00501C13"/>
    <w:rsid w:val="005025D8"/>
    <w:rsid w:val="00502E52"/>
    <w:rsid w:val="005039AE"/>
    <w:rsid w:val="00503B37"/>
    <w:rsid w:val="00503FAC"/>
    <w:rsid w:val="0050474F"/>
    <w:rsid w:val="005055BC"/>
    <w:rsid w:val="005060BE"/>
    <w:rsid w:val="005066E4"/>
    <w:rsid w:val="005068B1"/>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3AA9"/>
    <w:rsid w:val="00524E6B"/>
    <w:rsid w:val="0052580F"/>
    <w:rsid w:val="00525A97"/>
    <w:rsid w:val="00525C3A"/>
    <w:rsid w:val="00525C9A"/>
    <w:rsid w:val="00525E52"/>
    <w:rsid w:val="00525E65"/>
    <w:rsid w:val="00525E78"/>
    <w:rsid w:val="00527002"/>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1C8"/>
    <w:rsid w:val="0054482E"/>
    <w:rsid w:val="00545511"/>
    <w:rsid w:val="00545ADA"/>
    <w:rsid w:val="00545C46"/>
    <w:rsid w:val="00545CC2"/>
    <w:rsid w:val="00545D44"/>
    <w:rsid w:val="0054675C"/>
    <w:rsid w:val="0054702B"/>
    <w:rsid w:val="0055020C"/>
    <w:rsid w:val="005506B5"/>
    <w:rsid w:val="005514E8"/>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699C"/>
    <w:rsid w:val="005570D2"/>
    <w:rsid w:val="00557138"/>
    <w:rsid w:val="0055785A"/>
    <w:rsid w:val="00557A95"/>
    <w:rsid w:val="0056039E"/>
    <w:rsid w:val="005606AE"/>
    <w:rsid w:val="0056088F"/>
    <w:rsid w:val="00561607"/>
    <w:rsid w:val="005618B5"/>
    <w:rsid w:val="00561B6F"/>
    <w:rsid w:val="00561BD8"/>
    <w:rsid w:val="0056267D"/>
    <w:rsid w:val="00562A4F"/>
    <w:rsid w:val="00563F22"/>
    <w:rsid w:val="005647EB"/>
    <w:rsid w:val="00564FC3"/>
    <w:rsid w:val="00564FDB"/>
    <w:rsid w:val="00565F14"/>
    <w:rsid w:val="00566090"/>
    <w:rsid w:val="0056658D"/>
    <w:rsid w:val="00566804"/>
    <w:rsid w:val="00566AAA"/>
    <w:rsid w:val="00567150"/>
    <w:rsid w:val="005676FB"/>
    <w:rsid w:val="00567811"/>
    <w:rsid w:val="00567F8D"/>
    <w:rsid w:val="0057076B"/>
    <w:rsid w:val="005707B9"/>
    <w:rsid w:val="00570DE9"/>
    <w:rsid w:val="00570F82"/>
    <w:rsid w:val="00571180"/>
    <w:rsid w:val="0057156B"/>
    <w:rsid w:val="0057261E"/>
    <w:rsid w:val="00572F2A"/>
    <w:rsid w:val="005730A8"/>
    <w:rsid w:val="005731CB"/>
    <w:rsid w:val="00573C58"/>
    <w:rsid w:val="005743B7"/>
    <w:rsid w:val="00574DD7"/>
    <w:rsid w:val="00574F17"/>
    <w:rsid w:val="005752BF"/>
    <w:rsid w:val="00575522"/>
    <w:rsid w:val="0057652C"/>
    <w:rsid w:val="005773E1"/>
    <w:rsid w:val="00577C94"/>
    <w:rsid w:val="00577E3A"/>
    <w:rsid w:val="00580198"/>
    <w:rsid w:val="00582B40"/>
    <w:rsid w:val="00582E4C"/>
    <w:rsid w:val="005837EF"/>
    <w:rsid w:val="00583925"/>
    <w:rsid w:val="00583E1A"/>
    <w:rsid w:val="00584291"/>
    <w:rsid w:val="005843C4"/>
    <w:rsid w:val="00584CB8"/>
    <w:rsid w:val="00584FAD"/>
    <w:rsid w:val="00585027"/>
    <w:rsid w:val="00586428"/>
    <w:rsid w:val="00586851"/>
    <w:rsid w:val="00586B1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6582"/>
    <w:rsid w:val="005965B0"/>
    <w:rsid w:val="00596A7A"/>
    <w:rsid w:val="00597539"/>
    <w:rsid w:val="00597784"/>
    <w:rsid w:val="005979A3"/>
    <w:rsid w:val="005A0111"/>
    <w:rsid w:val="005A10EB"/>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D37"/>
    <w:rsid w:val="005B3ED2"/>
    <w:rsid w:val="005B45E5"/>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243C"/>
    <w:rsid w:val="005D2B28"/>
    <w:rsid w:val="005D3CE3"/>
    <w:rsid w:val="005D538F"/>
    <w:rsid w:val="005D780C"/>
    <w:rsid w:val="005E041F"/>
    <w:rsid w:val="005E06DB"/>
    <w:rsid w:val="005E0770"/>
    <w:rsid w:val="005E0799"/>
    <w:rsid w:val="005E0CC4"/>
    <w:rsid w:val="005E1751"/>
    <w:rsid w:val="005E2684"/>
    <w:rsid w:val="005E3D98"/>
    <w:rsid w:val="005E3DA9"/>
    <w:rsid w:val="005E4228"/>
    <w:rsid w:val="005E464C"/>
    <w:rsid w:val="005E5EB0"/>
    <w:rsid w:val="005E6DC5"/>
    <w:rsid w:val="005E70B9"/>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6F58"/>
    <w:rsid w:val="005F7171"/>
    <w:rsid w:val="005F7629"/>
    <w:rsid w:val="005F7909"/>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248"/>
    <w:rsid w:val="00607C4D"/>
    <w:rsid w:val="0061032B"/>
    <w:rsid w:val="0061097E"/>
    <w:rsid w:val="00610A3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587"/>
    <w:rsid w:val="0062164A"/>
    <w:rsid w:val="00621DE4"/>
    <w:rsid w:val="00622B99"/>
    <w:rsid w:val="00623552"/>
    <w:rsid w:val="0062498E"/>
    <w:rsid w:val="00624EBC"/>
    <w:rsid w:val="00625B87"/>
    <w:rsid w:val="006262A5"/>
    <w:rsid w:val="00626E36"/>
    <w:rsid w:val="006277C3"/>
    <w:rsid w:val="006277D1"/>
    <w:rsid w:val="00627B86"/>
    <w:rsid w:val="00627FE9"/>
    <w:rsid w:val="00630202"/>
    <w:rsid w:val="00630EC6"/>
    <w:rsid w:val="0063146D"/>
    <w:rsid w:val="006314F7"/>
    <w:rsid w:val="006325DA"/>
    <w:rsid w:val="00633C54"/>
    <w:rsid w:val="00633E99"/>
    <w:rsid w:val="00633F51"/>
    <w:rsid w:val="006347E2"/>
    <w:rsid w:val="00634A40"/>
    <w:rsid w:val="006357B9"/>
    <w:rsid w:val="006358D5"/>
    <w:rsid w:val="00635AE0"/>
    <w:rsid w:val="006360E7"/>
    <w:rsid w:val="0063647E"/>
    <w:rsid w:val="006364A6"/>
    <w:rsid w:val="006367F6"/>
    <w:rsid w:val="00636BAD"/>
    <w:rsid w:val="00637085"/>
    <w:rsid w:val="0063734A"/>
    <w:rsid w:val="006374AC"/>
    <w:rsid w:val="0064016E"/>
    <w:rsid w:val="006409B3"/>
    <w:rsid w:val="00642785"/>
    <w:rsid w:val="006457BA"/>
    <w:rsid w:val="00645F36"/>
    <w:rsid w:val="00647C7A"/>
    <w:rsid w:val="00650120"/>
    <w:rsid w:val="006504B5"/>
    <w:rsid w:val="0065106A"/>
    <w:rsid w:val="0065113F"/>
    <w:rsid w:val="00653326"/>
    <w:rsid w:val="006539A4"/>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E3D"/>
    <w:rsid w:val="0066250E"/>
    <w:rsid w:val="0066265A"/>
    <w:rsid w:val="006627EF"/>
    <w:rsid w:val="00663E31"/>
    <w:rsid w:val="00664173"/>
    <w:rsid w:val="0066590D"/>
    <w:rsid w:val="00665BCF"/>
    <w:rsid w:val="00666A09"/>
    <w:rsid w:val="00667266"/>
    <w:rsid w:val="006672B5"/>
    <w:rsid w:val="00667945"/>
    <w:rsid w:val="00667969"/>
    <w:rsid w:val="00667FA5"/>
    <w:rsid w:val="006703EA"/>
    <w:rsid w:val="00670420"/>
    <w:rsid w:val="006709A0"/>
    <w:rsid w:val="00670FE3"/>
    <w:rsid w:val="00671497"/>
    <w:rsid w:val="006725D0"/>
    <w:rsid w:val="00672982"/>
    <w:rsid w:val="00672B79"/>
    <w:rsid w:val="00673068"/>
    <w:rsid w:val="006734E7"/>
    <w:rsid w:val="00673D14"/>
    <w:rsid w:val="0067493B"/>
    <w:rsid w:val="00674F91"/>
    <w:rsid w:val="00675127"/>
    <w:rsid w:val="0067581A"/>
    <w:rsid w:val="00676D6A"/>
    <w:rsid w:val="006775D5"/>
    <w:rsid w:val="00677DDA"/>
    <w:rsid w:val="006801C4"/>
    <w:rsid w:val="00680BE0"/>
    <w:rsid w:val="00681D4C"/>
    <w:rsid w:val="00681D99"/>
    <w:rsid w:val="00683A95"/>
    <w:rsid w:val="00683CFE"/>
    <w:rsid w:val="006843B8"/>
    <w:rsid w:val="006848C1"/>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59FE"/>
    <w:rsid w:val="00696681"/>
    <w:rsid w:val="006972D7"/>
    <w:rsid w:val="00697B16"/>
    <w:rsid w:val="00697D0C"/>
    <w:rsid w:val="006A2101"/>
    <w:rsid w:val="006A21CD"/>
    <w:rsid w:val="006A3321"/>
    <w:rsid w:val="006A381D"/>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502"/>
    <w:rsid w:val="006B2C2A"/>
    <w:rsid w:val="006B3418"/>
    <w:rsid w:val="006B3C2E"/>
    <w:rsid w:val="006B4667"/>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383"/>
    <w:rsid w:val="006D2A17"/>
    <w:rsid w:val="006D2D2B"/>
    <w:rsid w:val="006D2DFB"/>
    <w:rsid w:val="006D318A"/>
    <w:rsid w:val="006D3629"/>
    <w:rsid w:val="006D386F"/>
    <w:rsid w:val="006D4356"/>
    <w:rsid w:val="006D4980"/>
    <w:rsid w:val="006D4AC0"/>
    <w:rsid w:val="006D60F3"/>
    <w:rsid w:val="006D64EF"/>
    <w:rsid w:val="006D6616"/>
    <w:rsid w:val="006D662D"/>
    <w:rsid w:val="006D6F01"/>
    <w:rsid w:val="006D7350"/>
    <w:rsid w:val="006D7539"/>
    <w:rsid w:val="006D794D"/>
    <w:rsid w:val="006D7CB0"/>
    <w:rsid w:val="006D7E80"/>
    <w:rsid w:val="006E09CD"/>
    <w:rsid w:val="006E0A59"/>
    <w:rsid w:val="006E0C72"/>
    <w:rsid w:val="006E1C3B"/>
    <w:rsid w:val="006E1F17"/>
    <w:rsid w:val="006E1F1B"/>
    <w:rsid w:val="006E2232"/>
    <w:rsid w:val="006E2254"/>
    <w:rsid w:val="006E23AA"/>
    <w:rsid w:val="006E2866"/>
    <w:rsid w:val="006E322A"/>
    <w:rsid w:val="006E369C"/>
    <w:rsid w:val="006E3739"/>
    <w:rsid w:val="006E553C"/>
    <w:rsid w:val="006E6207"/>
    <w:rsid w:val="006E71DD"/>
    <w:rsid w:val="006E7C27"/>
    <w:rsid w:val="006F0063"/>
    <w:rsid w:val="006F03D8"/>
    <w:rsid w:val="006F07E5"/>
    <w:rsid w:val="006F09AB"/>
    <w:rsid w:val="006F166C"/>
    <w:rsid w:val="006F2A1D"/>
    <w:rsid w:val="006F36F9"/>
    <w:rsid w:val="006F3D2A"/>
    <w:rsid w:val="006F4A18"/>
    <w:rsid w:val="006F5899"/>
    <w:rsid w:val="006F58D6"/>
    <w:rsid w:val="006F5977"/>
    <w:rsid w:val="006F5C5D"/>
    <w:rsid w:val="006F6EDB"/>
    <w:rsid w:val="006F758A"/>
    <w:rsid w:val="006F7A7E"/>
    <w:rsid w:val="006F7E41"/>
    <w:rsid w:val="00701285"/>
    <w:rsid w:val="0070138D"/>
    <w:rsid w:val="00702113"/>
    <w:rsid w:val="00702710"/>
    <w:rsid w:val="00702E81"/>
    <w:rsid w:val="007034B9"/>
    <w:rsid w:val="00704046"/>
    <w:rsid w:val="007045CE"/>
    <w:rsid w:val="00704761"/>
    <w:rsid w:val="00705052"/>
    <w:rsid w:val="007060AC"/>
    <w:rsid w:val="0070610F"/>
    <w:rsid w:val="00706CA4"/>
    <w:rsid w:val="00706EF3"/>
    <w:rsid w:val="00707F5D"/>
    <w:rsid w:val="007121BE"/>
    <w:rsid w:val="007121DC"/>
    <w:rsid w:val="007126BE"/>
    <w:rsid w:val="00713521"/>
    <w:rsid w:val="00713595"/>
    <w:rsid w:val="00713B7C"/>
    <w:rsid w:val="0071457F"/>
    <w:rsid w:val="00714972"/>
    <w:rsid w:val="00716A62"/>
    <w:rsid w:val="00716DD6"/>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F37"/>
    <w:rsid w:val="00734FAD"/>
    <w:rsid w:val="007352F8"/>
    <w:rsid w:val="007358AF"/>
    <w:rsid w:val="0073598C"/>
    <w:rsid w:val="00736BCD"/>
    <w:rsid w:val="00736CCF"/>
    <w:rsid w:val="00740736"/>
    <w:rsid w:val="00740C76"/>
    <w:rsid w:val="00742B75"/>
    <w:rsid w:val="00743168"/>
    <w:rsid w:val="0074431B"/>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DC8"/>
    <w:rsid w:val="00762914"/>
    <w:rsid w:val="00763255"/>
    <w:rsid w:val="00763B1B"/>
    <w:rsid w:val="00764100"/>
    <w:rsid w:val="007649CB"/>
    <w:rsid w:val="00764FDC"/>
    <w:rsid w:val="00765068"/>
    <w:rsid w:val="0076573B"/>
    <w:rsid w:val="007659ED"/>
    <w:rsid w:val="007670ED"/>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2781"/>
    <w:rsid w:val="0078288E"/>
    <w:rsid w:val="00782FA9"/>
    <w:rsid w:val="00784512"/>
    <w:rsid w:val="0078490B"/>
    <w:rsid w:val="0078495D"/>
    <w:rsid w:val="00786B30"/>
    <w:rsid w:val="00786CCC"/>
    <w:rsid w:val="007876AB"/>
    <w:rsid w:val="00790073"/>
    <w:rsid w:val="0079092E"/>
    <w:rsid w:val="00790A8A"/>
    <w:rsid w:val="00790DCE"/>
    <w:rsid w:val="007913F1"/>
    <w:rsid w:val="007929F3"/>
    <w:rsid w:val="00792B1E"/>
    <w:rsid w:val="00793183"/>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804"/>
    <w:rsid w:val="007A292F"/>
    <w:rsid w:val="007A41DD"/>
    <w:rsid w:val="007A5A73"/>
    <w:rsid w:val="007A61DA"/>
    <w:rsid w:val="007A664E"/>
    <w:rsid w:val="007A68AE"/>
    <w:rsid w:val="007A6CB2"/>
    <w:rsid w:val="007A70DA"/>
    <w:rsid w:val="007A76B0"/>
    <w:rsid w:val="007A7B62"/>
    <w:rsid w:val="007A7C7A"/>
    <w:rsid w:val="007B008D"/>
    <w:rsid w:val="007B059E"/>
    <w:rsid w:val="007B0BA0"/>
    <w:rsid w:val="007B0BD3"/>
    <w:rsid w:val="007B1B14"/>
    <w:rsid w:val="007B1ED0"/>
    <w:rsid w:val="007B2730"/>
    <w:rsid w:val="007B2AC0"/>
    <w:rsid w:val="007B41FC"/>
    <w:rsid w:val="007B4A29"/>
    <w:rsid w:val="007B4F50"/>
    <w:rsid w:val="007B4FE6"/>
    <w:rsid w:val="007B5464"/>
    <w:rsid w:val="007B54DF"/>
    <w:rsid w:val="007B5C09"/>
    <w:rsid w:val="007B6EB3"/>
    <w:rsid w:val="007B73D9"/>
    <w:rsid w:val="007B797B"/>
    <w:rsid w:val="007C02C7"/>
    <w:rsid w:val="007C0342"/>
    <w:rsid w:val="007C03AB"/>
    <w:rsid w:val="007C0CAF"/>
    <w:rsid w:val="007C201F"/>
    <w:rsid w:val="007C232F"/>
    <w:rsid w:val="007C2AE7"/>
    <w:rsid w:val="007C2B2D"/>
    <w:rsid w:val="007C360E"/>
    <w:rsid w:val="007C4324"/>
    <w:rsid w:val="007C48CA"/>
    <w:rsid w:val="007C4DE4"/>
    <w:rsid w:val="007C5935"/>
    <w:rsid w:val="007C5E94"/>
    <w:rsid w:val="007C6081"/>
    <w:rsid w:val="007D0346"/>
    <w:rsid w:val="007D0BE4"/>
    <w:rsid w:val="007D158D"/>
    <w:rsid w:val="007D1AD9"/>
    <w:rsid w:val="007D1B7E"/>
    <w:rsid w:val="007D1EBC"/>
    <w:rsid w:val="007D2294"/>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0DC"/>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B5C"/>
    <w:rsid w:val="00800D0E"/>
    <w:rsid w:val="00800D48"/>
    <w:rsid w:val="00802407"/>
    <w:rsid w:val="00803C8D"/>
    <w:rsid w:val="0080632B"/>
    <w:rsid w:val="00806C27"/>
    <w:rsid w:val="00806DD5"/>
    <w:rsid w:val="00807036"/>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0C50"/>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0B90"/>
    <w:rsid w:val="008321A5"/>
    <w:rsid w:val="0083221C"/>
    <w:rsid w:val="0083285B"/>
    <w:rsid w:val="00832BC1"/>
    <w:rsid w:val="008330A5"/>
    <w:rsid w:val="008334F8"/>
    <w:rsid w:val="00833858"/>
    <w:rsid w:val="0083407B"/>
    <w:rsid w:val="0083590A"/>
    <w:rsid w:val="00835D8C"/>
    <w:rsid w:val="00835FCD"/>
    <w:rsid w:val="00836D77"/>
    <w:rsid w:val="00837964"/>
    <w:rsid w:val="00840827"/>
    <w:rsid w:val="00840B9D"/>
    <w:rsid w:val="0084181F"/>
    <w:rsid w:val="0084187C"/>
    <w:rsid w:val="008429C8"/>
    <w:rsid w:val="008437A6"/>
    <w:rsid w:val="00843843"/>
    <w:rsid w:val="00843865"/>
    <w:rsid w:val="00843AEF"/>
    <w:rsid w:val="008445C0"/>
    <w:rsid w:val="00844BA7"/>
    <w:rsid w:val="00845446"/>
    <w:rsid w:val="00845B23"/>
    <w:rsid w:val="00846978"/>
    <w:rsid w:val="00846BC7"/>
    <w:rsid w:val="00847411"/>
    <w:rsid w:val="00850026"/>
    <w:rsid w:val="008502FB"/>
    <w:rsid w:val="00850344"/>
    <w:rsid w:val="008516CE"/>
    <w:rsid w:val="00851B36"/>
    <w:rsid w:val="00851CCC"/>
    <w:rsid w:val="008526D7"/>
    <w:rsid w:val="00852DEA"/>
    <w:rsid w:val="0085347D"/>
    <w:rsid w:val="008538F0"/>
    <w:rsid w:val="00854172"/>
    <w:rsid w:val="0085447C"/>
    <w:rsid w:val="00855328"/>
    <w:rsid w:val="00855646"/>
    <w:rsid w:val="0085656B"/>
    <w:rsid w:val="00856871"/>
    <w:rsid w:val="008573A0"/>
    <w:rsid w:val="00860228"/>
    <w:rsid w:val="00860993"/>
    <w:rsid w:val="00861626"/>
    <w:rsid w:val="00861871"/>
    <w:rsid w:val="0086289A"/>
    <w:rsid w:val="00863C47"/>
    <w:rsid w:val="0086470B"/>
    <w:rsid w:val="00864B57"/>
    <w:rsid w:val="00864DDA"/>
    <w:rsid w:val="0086537F"/>
    <w:rsid w:val="00865934"/>
    <w:rsid w:val="00865A1B"/>
    <w:rsid w:val="00865FA7"/>
    <w:rsid w:val="0086692F"/>
    <w:rsid w:val="00870267"/>
    <w:rsid w:val="008707B9"/>
    <w:rsid w:val="00871158"/>
    <w:rsid w:val="00872ADD"/>
    <w:rsid w:val="00872E4B"/>
    <w:rsid w:val="008733E6"/>
    <w:rsid w:val="00873439"/>
    <w:rsid w:val="00874A99"/>
    <w:rsid w:val="00874C8E"/>
    <w:rsid w:val="0087521F"/>
    <w:rsid w:val="00875530"/>
    <w:rsid w:val="00875DBD"/>
    <w:rsid w:val="0087640A"/>
    <w:rsid w:val="00876750"/>
    <w:rsid w:val="00876E2F"/>
    <w:rsid w:val="00877068"/>
    <w:rsid w:val="00877889"/>
    <w:rsid w:val="008778B3"/>
    <w:rsid w:val="008802F7"/>
    <w:rsid w:val="008818FD"/>
    <w:rsid w:val="008819A3"/>
    <w:rsid w:val="00881E4B"/>
    <w:rsid w:val="00882678"/>
    <w:rsid w:val="00883283"/>
    <w:rsid w:val="00883606"/>
    <w:rsid w:val="008843CA"/>
    <w:rsid w:val="0088460F"/>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254"/>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36A7"/>
    <w:rsid w:val="008A4341"/>
    <w:rsid w:val="008A4495"/>
    <w:rsid w:val="008A4FE0"/>
    <w:rsid w:val="008A5136"/>
    <w:rsid w:val="008A605E"/>
    <w:rsid w:val="008A7189"/>
    <w:rsid w:val="008B082F"/>
    <w:rsid w:val="008B0CC0"/>
    <w:rsid w:val="008B0DD5"/>
    <w:rsid w:val="008B0ECA"/>
    <w:rsid w:val="008B0FCF"/>
    <w:rsid w:val="008B13A3"/>
    <w:rsid w:val="008B14DC"/>
    <w:rsid w:val="008B1806"/>
    <w:rsid w:val="008B1E6D"/>
    <w:rsid w:val="008B2438"/>
    <w:rsid w:val="008B2D17"/>
    <w:rsid w:val="008B2EED"/>
    <w:rsid w:val="008B3944"/>
    <w:rsid w:val="008B3ADB"/>
    <w:rsid w:val="008B3B05"/>
    <w:rsid w:val="008B426B"/>
    <w:rsid w:val="008B521F"/>
    <w:rsid w:val="008B5F4A"/>
    <w:rsid w:val="008B63B9"/>
    <w:rsid w:val="008B6830"/>
    <w:rsid w:val="008B75AD"/>
    <w:rsid w:val="008C233E"/>
    <w:rsid w:val="008C2682"/>
    <w:rsid w:val="008C2A31"/>
    <w:rsid w:val="008C2A81"/>
    <w:rsid w:val="008C301A"/>
    <w:rsid w:val="008C51BF"/>
    <w:rsid w:val="008C51D6"/>
    <w:rsid w:val="008C5400"/>
    <w:rsid w:val="008C6A80"/>
    <w:rsid w:val="008C6CF1"/>
    <w:rsid w:val="008C7123"/>
    <w:rsid w:val="008C782D"/>
    <w:rsid w:val="008C78B7"/>
    <w:rsid w:val="008C7B99"/>
    <w:rsid w:val="008D1EAF"/>
    <w:rsid w:val="008D2006"/>
    <w:rsid w:val="008D2305"/>
    <w:rsid w:val="008D2A1A"/>
    <w:rsid w:val="008D397B"/>
    <w:rsid w:val="008D499E"/>
    <w:rsid w:val="008D4C01"/>
    <w:rsid w:val="008D4CA0"/>
    <w:rsid w:val="008D4D69"/>
    <w:rsid w:val="008D553B"/>
    <w:rsid w:val="008D5C27"/>
    <w:rsid w:val="008D6292"/>
    <w:rsid w:val="008D6EDE"/>
    <w:rsid w:val="008D737A"/>
    <w:rsid w:val="008D74FF"/>
    <w:rsid w:val="008D789D"/>
    <w:rsid w:val="008D7D92"/>
    <w:rsid w:val="008E1168"/>
    <w:rsid w:val="008E2403"/>
    <w:rsid w:val="008E32D9"/>
    <w:rsid w:val="008E35F2"/>
    <w:rsid w:val="008E4134"/>
    <w:rsid w:val="008E4EED"/>
    <w:rsid w:val="008E5A21"/>
    <w:rsid w:val="008E5F74"/>
    <w:rsid w:val="008E6001"/>
    <w:rsid w:val="008E70CB"/>
    <w:rsid w:val="008E7C56"/>
    <w:rsid w:val="008F20D1"/>
    <w:rsid w:val="008F2B6A"/>
    <w:rsid w:val="008F2E91"/>
    <w:rsid w:val="008F33AB"/>
    <w:rsid w:val="008F440C"/>
    <w:rsid w:val="008F5E8A"/>
    <w:rsid w:val="008F7209"/>
    <w:rsid w:val="008F726E"/>
    <w:rsid w:val="008F7485"/>
    <w:rsid w:val="009006E6"/>
    <w:rsid w:val="00901877"/>
    <w:rsid w:val="00901C82"/>
    <w:rsid w:val="009023EA"/>
    <w:rsid w:val="009025B9"/>
    <w:rsid w:val="0090301D"/>
    <w:rsid w:val="00903543"/>
    <w:rsid w:val="00903D63"/>
    <w:rsid w:val="00905234"/>
    <w:rsid w:val="0090593C"/>
    <w:rsid w:val="00905B0F"/>
    <w:rsid w:val="00906255"/>
    <w:rsid w:val="009063D8"/>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621E"/>
    <w:rsid w:val="00916A53"/>
    <w:rsid w:val="00917D39"/>
    <w:rsid w:val="00917D5C"/>
    <w:rsid w:val="00917D9F"/>
    <w:rsid w:val="00917E37"/>
    <w:rsid w:val="00920003"/>
    <w:rsid w:val="0092026C"/>
    <w:rsid w:val="00921C50"/>
    <w:rsid w:val="009228E0"/>
    <w:rsid w:val="00922B90"/>
    <w:rsid w:val="00922C39"/>
    <w:rsid w:val="00923A0E"/>
    <w:rsid w:val="00923EA1"/>
    <w:rsid w:val="00924173"/>
    <w:rsid w:val="009246B6"/>
    <w:rsid w:val="0092596D"/>
    <w:rsid w:val="00925CFE"/>
    <w:rsid w:val="009264DC"/>
    <w:rsid w:val="00926A42"/>
    <w:rsid w:val="00926EEE"/>
    <w:rsid w:val="0092780F"/>
    <w:rsid w:val="00927C70"/>
    <w:rsid w:val="009302AB"/>
    <w:rsid w:val="00930E4E"/>
    <w:rsid w:val="00930EFC"/>
    <w:rsid w:val="009314A4"/>
    <w:rsid w:val="00931CBB"/>
    <w:rsid w:val="00931DEF"/>
    <w:rsid w:val="0093221D"/>
    <w:rsid w:val="009324B7"/>
    <w:rsid w:val="00932D74"/>
    <w:rsid w:val="0093758D"/>
    <w:rsid w:val="00940229"/>
    <w:rsid w:val="009403CA"/>
    <w:rsid w:val="0094129B"/>
    <w:rsid w:val="009415AF"/>
    <w:rsid w:val="00941766"/>
    <w:rsid w:val="009427BD"/>
    <w:rsid w:val="00942AB6"/>
    <w:rsid w:val="00944312"/>
    <w:rsid w:val="0094587C"/>
    <w:rsid w:val="009458DA"/>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8DE"/>
    <w:rsid w:val="00960F12"/>
    <w:rsid w:val="00961444"/>
    <w:rsid w:val="00961804"/>
    <w:rsid w:val="00961810"/>
    <w:rsid w:val="00961C9F"/>
    <w:rsid w:val="0096229D"/>
    <w:rsid w:val="00962992"/>
    <w:rsid w:val="00962A65"/>
    <w:rsid w:val="00962F9D"/>
    <w:rsid w:val="009630E3"/>
    <w:rsid w:val="00963346"/>
    <w:rsid w:val="00963426"/>
    <w:rsid w:val="009650C9"/>
    <w:rsid w:val="00966D40"/>
    <w:rsid w:val="00967642"/>
    <w:rsid w:val="00967716"/>
    <w:rsid w:val="00967732"/>
    <w:rsid w:val="00970425"/>
    <w:rsid w:val="00970614"/>
    <w:rsid w:val="0097342D"/>
    <w:rsid w:val="00973BDB"/>
    <w:rsid w:val="00973E48"/>
    <w:rsid w:val="00974049"/>
    <w:rsid w:val="0097411A"/>
    <w:rsid w:val="0097445D"/>
    <w:rsid w:val="009754FF"/>
    <w:rsid w:val="00975CE2"/>
    <w:rsid w:val="009760A4"/>
    <w:rsid w:val="009766AA"/>
    <w:rsid w:val="0097674C"/>
    <w:rsid w:val="009767D8"/>
    <w:rsid w:val="00976B54"/>
    <w:rsid w:val="00976C61"/>
    <w:rsid w:val="009776EA"/>
    <w:rsid w:val="009778BF"/>
    <w:rsid w:val="0098084D"/>
    <w:rsid w:val="00980B85"/>
    <w:rsid w:val="0098146C"/>
    <w:rsid w:val="009814F6"/>
    <w:rsid w:val="00981ED0"/>
    <w:rsid w:val="00981F8F"/>
    <w:rsid w:val="009823D9"/>
    <w:rsid w:val="0098282E"/>
    <w:rsid w:val="00982A49"/>
    <w:rsid w:val="00982C46"/>
    <w:rsid w:val="00982DC9"/>
    <w:rsid w:val="009834D3"/>
    <w:rsid w:val="0098586D"/>
    <w:rsid w:val="0098662C"/>
    <w:rsid w:val="009870D9"/>
    <w:rsid w:val="009879B2"/>
    <w:rsid w:val="00990094"/>
    <w:rsid w:val="00990927"/>
    <w:rsid w:val="00990CD8"/>
    <w:rsid w:val="00990D9F"/>
    <w:rsid w:val="009910FA"/>
    <w:rsid w:val="00991B42"/>
    <w:rsid w:val="009924AA"/>
    <w:rsid w:val="009926FB"/>
    <w:rsid w:val="00992E85"/>
    <w:rsid w:val="00993153"/>
    <w:rsid w:val="0099347A"/>
    <w:rsid w:val="009935DD"/>
    <w:rsid w:val="00993B68"/>
    <w:rsid w:val="009946AF"/>
    <w:rsid w:val="0099481F"/>
    <w:rsid w:val="009950B6"/>
    <w:rsid w:val="009955E8"/>
    <w:rsid w:val="00995B58"/>
    <w:rsid w:val="009966D9"/>
    <w:rsid w:val="009973FD"/>
    <w:rsid w:val="009976A4"/>
    <w:rsid w:val="009977E2"/>
    <w:rsid w:val="00997B57"/>
    <w:rsid w:val="009A04D1"/>
    <w:rsid w:val="009A0EEE"/>
    <w:rsid w:val="009A1503"/>
    <w:rsid w:val="009A28EE"/>
    <w:rsid w:val="009A2A53"/>
    <w:rsid w:val="009A31F3"/>
    <w:rsid w:val="009A36E9"/>
    <w:rsid w:val="009A4DC6"/>
    <w:rsid w:val="009A4F12"/>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43EE"/>
    <w:rsid w:val="009B5449"/>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4D0"/>
    <w:rsid w:val="009C7E22"/>
    <w:rsid w:val="009C7F5B"/>
    <w:rsid w:val="009D01A8"/>
    <w:rsid w:val="009D0C64"/>
    <w:rsid w:val="009D113F"/>
    <w:rsid w:val="009D221F"/>
    <w:rsid w:val="009D29AA"/>
    <w:rsid w:val="009D2BAE"/>
    <w:rsid w:val="009D32FD"/>
    <w:rsid w:val="009D3EF7"/>
    <w:rsid w:val="009D5625"/>
    <w:rsid w:val="009D5B7D"/>
    <w:rsid w:val="009D5BE6"/>
    <w:rsid w:val="009D5C8F"/>
    <w:rsid w:val="009E00E8"/>
    <w:rsid w:val="009E0A05"/>
    <w:rsid w:val="009E0C2E"/>
    <w:rsid w:val="009E0C64"/>
    <w:rsid w:val="009E0FD7"/>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4D1F"/>
    <w:rsid w:val="009F509E"/>
    <w:rsid w:val="009F6225"/>
    <w:rsid w:val="009F6243"/>
    <w:rsid w:val="009F691A"/>
    <w:rsid w:val="009F6C5A"/>
    <w:rsid w:val="009F6FD8"/>
    <w:rsid w:val="009F710C"/>
    <w:rsid w:val="009F7E1F"/>
    <w:rsid w:val="00A00110"/>
    <w:rsid w:val="00A00933"/>
    <w:rsid w:val="00A01173"/>
    <w:rsid w:val="00A0225A"/>
    <w:rsid w:val="00A02D8D"/>
    <w:rsid w:val="00A045F5"/>
    <w:rsid w:val="00A04935"/>
    <w:rsid w:val="00A05344"/>
    <w:rsid w:val="00A05998"/>
    <w:rsid w:val="00A0630D"/>
    <w:rsid w:val="00A06678"/>
    <w:rsid w:val="00A0688A"/>
    <w:rsid w:val="00A06CB3"/>
    <w:rsid w:val="00A07797"/>
    <w:rsid w:val="00A108AF"/>
    <w:rsid w:val="00A1095C"/>
    <w:rsid w:val="00A11237"/>
    <w:rsid w:val="00A117AA"/>
    <w:rsid w:val="00A11ACD"/>
    <w:rsid w:val="00A122AE"/>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192"/>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8AA"/>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50204"/>
    <w:rsid w:val="00A505D3"/>
    <w:rsid w:val="00A50F97"/>
    <w:rsid w:val="00A51994"/>
    <w:rsid w:val="00A51A32"/>
    <w:rsid w:val="00A51AE3"/>
    <w:rsid w:val="00A523AC"/>
    <w:rsid w:val="00A53681"/>
    <w:rsid w:val="00A538CF"/>
    <w:rsid w:val="00A53960"/>
    <w:rsid w:val="00A53FD8"/>
    <w:rsid w:val="00A5418E"/>
    <w:rsid w:val="00A54784"/>
    <w:rsid w:val="00A55318"/>
    <w:rsid w:val="00A557D4"/>
    <w:rsid w:val="00A565E7"/>
    <w:rsid w:val="00A5668E"/>
    <w:rsid w:val="00A57D42"/>
    <w:rsid w:val="00A601DA"/>
    <w:rsid w:val="00A6135C"/>
    <w:rsid w:val="00A62418"/>
    <w:rsid w:val="00A6260C"/>
    <w:rsid w:val="00A63316"/>
    <w:rsid w:val="00A64770"/>
    <w:rsid w:val="00A649FF"/>
    <w:rsid w:val="00A64AF5"/>
    <w:rsid w:val="00A65728"/>
    <w:rsid w:val="00A659AC"/>
    <w:rsid w:val="00A670E7"/>
    <w:rsid w:val="00A67179"/>
    <w:rsid w:val="00A673FA"/>
    <w:rsid w:val="00A70316"/>
    <w:rsid w:val="00A70350"/>
    <w:rsid w:val="00A7090F"/>
    <w:rsid w:val="00A70B78"/>
    <w:rsid w:val="00A71942"/>
    <w:rsid w:val="00A73234"/>
    <w:rsid w:val="00A73468"/>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D3"/>
    <w:rsid w:val="00A85DFC"/>
    <w:rsid w:val="00A86C5D"/>
    <w:rsid w:val="00A86F18"/>
    <w:rsid w:val="00A873F6"/>
    <w:rsid w:val="00A90154"/>
    <w:rsid w:val="00A90B3E"/>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666"/>
    <w:rsid w:val="00AA474B"/>
    <w:rsid w:val="00AA4F7E"/>
    <w:rsid w:val="00AA5555"/>
    <w:rsid w:val="00AA556F"/>
    <w:rsid w:val="00AA55B3"/>
    <w:rsid w:val="00AA5A43"/>
    <w:rsid w:val="00AA5ED0"/>
    <w:rsid w:val="00AA60A3"/>
    <w:rsid w:val="00AB1815"/>
    <w:rsid w:val="00AB2028"/>
    <w:rsid w:val="00AB2DBC"/>
    <w:rsid w:val="00AB3025"/>
    <w:rsid w:val="00AB4ABB"/>
    <w:rsid w:val="00AB4F6B"/>
    <w:rsid w:val="00AB536E"/>
    <w:rsid w:val="00AB5911"/>
    <w:rsid w:val="00AB5A88"/>
    <w:rsid w:val="00AB6859"/>
    <w:rsid w:val="00AB6E5C"/>
    <w:rsid w:val="00AB7056"/>
    <w:rsid w:val="00AB7A9A"/>
    <w:rsid w:val="00AB7C1E"/>
    <w:rsid w:val="00AC0613"/>
    <w:rsid w:val="00AC0A0A"/>
    <w:rsid w:val="00AC14B9"/>
    <w:rsid w:val="00AC17A9"/>
    <w:rsid w:val="00AC17D1"/>
    <w:rsid w:val="00AC1F06"/>
    <w:rsid w:val="00AC2003"/>
    <w:rsid w:val="00AC2227"/>
    <w:rsid w:val="00AC3F82"/>
    <w:rsid w:val="00AC4C8B"/>
    <w:rsid w:val="00AC4F5C"/>
    <w:rsid w:val="00AC524C"/>
    <w:rsid w:val="00AC541B"/>
    <w:rsid w:val="00AC57B2"/>
    <w:rsid w:val="00AC60AB"/>
    <w:rsid w:val="00AC60D6"/>
    <w:rsid w:val="00AD0107"/>
    <w:rsid w:val="00AD1ABD"/>
    <w:rsid w:val="00AD1B51"/>
    <w:rsid w:val="00AD2196"/>
    <w:rsid w:val="00AD252F"/>
    <w:rsid w:val="00AD27EC"/>
    <w:rsid w:val="00AD2AAB"/>
    <w:rsid w:val="00AD385A"/>
    <w:rsid w:val="00AD3C6F"/>
    <w:rsid w:val="00AD4357"/>
    <w:rsid w:val="00AD43B5"/>
    <w:rsid w:val="00AD45EA"/>
    <w:rsid w:val="00AD4668"/>
    <w:rsid w:val="00AD4A16"/>
    <w:rsid w:val="00AD4D9D"/>
    <w:rsid w:val="00AD5031"/>
    <w:rsid w:val="00AD51AB"/>
    <w:rsid w:val="00AD64DA"/>
    <w:rsid w:val="00AD6C6C"/>
    <w:rsid w:val="00AD7551"/>
    <w:rsid w:val="00AD78FF"/>
    <w:rsid w:val="00AD7CEC"/>
    <w:rsid w:val="00AE0587"/>
    <w:rsid w:val="00AE0643"/>
    <w:rsid w:val="00AE08A9"/>
    <w:rsid w:val="00AE094E"/>
    <w:rsid w:val="00AE0EED"/>
    <w:rsid w:val="00AE20A3"/>
    <w:rsid w:val="00AE2C1D"/>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6D69"/>
    <w:rsid w:val="00AF6DF7"/>
    <w:rsid w:val="00AF6FB9"/>
    <w:rsid w:val="00AF702A"/>
    <w:rsid w:val="00AF72A0"/>
    <w:rsid w:val="00AF753B"/>
    <w:rsid w:val="00AF77D9"/>
    <w:rsid w:val="00B00005"/>
    <w:rsid w:val="00B00E70"/>
    <w:rsid w:val="00B029F2"/>
    <w:rsid w:val="00B02A46"/>
    <w:rsid w:val="00B04B25"/>
    <w:rsid w:val="00B04F38"/>
    <w:rsid w:val="00B06A12"/>
    <w:rsid w:val="00B07867"/>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2D6"/>
    <w:rsid w:val="00B15290"/>
    <w:rsid w:val="00B15538"/>
    <w:rsid w:val="00B15679"/>
    <w:rsid w:val="00B15A9A"/>
    <w:rsid w:val="00B161DF"/>
    <w:rsid w:val="00B16302"/>
    <w:rsid w:val="00B1689C"/>
    <w:rsid w:val="00B16BE0"/>
    <w:rsid w:val="00B17208"/>
    <w:rsid w:val="00B17398"/>
    <w:rsid w:val="00B177C8"/>
    <w:rsid w:val="00B17BB5"/>
    <w:rsid w:val="00B17EBC"/>
    <w:rsid w:val="00B20780"/>
    <w:rsid w:val="00B20A6F"/>
    <w:rsid w:val="00B21771"/>
    <w:rsid w:val="00B21CD4"/>
    <w:rsid w:val="00B21DBA"/>
    <w:rsid w:val="00B2218B"/>
    <w:rsid w:val="00B2231E"/>
    <w:rsid w:val="00B223A8"/>
    <w:rsid w:val="00B237C5"/>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36"/>
    <w:rsid w:val="00B34DFE"/>
    <w:rsid w:val="00B35261"/>
    <w:rsid w:val="00B3533C"/>
    <w:rsid w:val="00B357BE"/>
    <w:rsid w:val="00B36643"/>
    <w:rsid w:val="00B3683B"/>
    <w:rsid w:val="00B37515"/>
    <w:rsid w:val="00B407D0"/>
    <w:rsid w:val="00B41258"/>
    <w:rsid w:val="00B41B99"/>
    <w:rsid w:val="00B41CDA"/>
    <w:rsid w:val="00B426E2"/>
    <w:rsid w:val="00B42B4E"/>
    <w:rsid w:val="00B4462A"/>
    <w:rsid w:val="00B44F2C"/>
    <w:rsid w:val="00B44F57"/>
    <w:rsid w:val="00B45E95"/>
    <w:rsid w:val="00B4603B"/>
    <w:rsid w:val="00B4615C"/>
    <w:rsid w:val="00B46527"/>
    <w:rsid w:val="00B4684E"/>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92E"/>
    <w:rsid w:val="00B549DE"/>
    <w:rsid w:val="00B5587B"/>
    <w:rsid w:val="00B55A6C"/>
    <w:rsid w:val="00B55B4E"/>
    <w:rsid w:val="00B6266F"/>
    <w:rsid w:val="00B63D92"/>
    <w:rsid w:val="00B64156"/>
    <w:rsid w:val="00B64953"/>
    <w:rsid w:val="00B64A99"/>
    <w:rsid w:val="00B64A9F"/>
    <w:rsid w:val="00B650C9"/>
    <w:rsid w:val="00B6648A"/>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AED"/>
    <w:rsid w:val="00B74EE3"/>
    <w:rsid w:val="00B75030"/>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C0"/>
    <w:rsid w:val="00B84F2E"/>
    <w:rsid w:val="00B85DD8"/>
    <w:rsid w:val="00B86EF4"/>
    <w:rsid w:val="00B870F7"/>
    <w:rsid w:val="00B87995"/>
    <w:rsid w:val="00B87BB0"/>
    <w:rsid w:val="00B87DD1"/>
    <w:rsid w:val="00B87DD3"/>
    <w:rsid w:val="00B87E9C"/>
    <w:rsid w:val="00B90404"/>
    <w:rsid w:val="00B9177A"/>
    <w:rsid w:val="00B92ACC"/>
    <w:rsid w:val="00B93A3A"/>
    <w:rsid w:val="00B93E4C"/>
    <w:rsid w:val="00B94972"/>
    <w:rsid w:val="00B9578A"/>
    <w:rsid w:val="00B96383"/>
    <w:rsid w:val="00B965B4"/>
    <w:rsid w:val="00B968D0"/>
    <w:rsid w:val="00B96936"/>
    <w:rsid w:val="00BA0095"/>
    <w:rsid w:val="00BA015D"/>
    <w:rsid w:val="00BA0FCB"/>
    <w:rsid w:val="00BA14EC"/>
    <w:rsid w:val="00BA171B"/>
    <w:rsid w:val="00BA1C20"/>
    <w:rsid w:val="00BA2569"/>
    <w:rsid w:val="00BA2796"/>
    <w:rsid w:val="00BA2864"/>
    <w:rsid w:val="00BA2B33"/>
    <w:rsid w:val="00BA3F8A"/>
    <w:rsid w:val="00BA40B8"/>
    <w:rsid w:val="00BA4376"/>
    <w:rsid w:val="00BA4C5E"/>
    <w:rsid w:val="00BA518B"/>
    <w:rsid w:val="00BA5224"/>
    <w:rsid w:val="00BA5BDA"/>
    <w:rsid w:val="00BA7B4E"/>
    <w:rsid w:val="00BA7DB5"/>
    <w:rsid w:val="00BB03C1"/>
    <w:rsid w:val="00BB0976"/>
    <w:rsid w:val="00BB1FA1"/>
    <w:rsid w:val="00BB2299"/>
    <w:rsid w:val="00BB26F8"/>
    <w:rsid w:val="00BB380F"/>
    <w:rsid w:val="00BB3A62"/>
    <w:rsid w:val="00BB3C8E"/>
    <w:rsid w:val="00BB3DDC"/>
    <w:rsid w:val="00BB3F38"/>
    <w:rsid w:val="00BB5964"/>
    <w:rsid w:val="00BB6328"/>
    <w:rsid w:val="00BB6341"/>
    <w:rsid w:val="00BB78FC"/>
    <w:rsid w:val="00BC07C7"/>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5AF2"/>
    <w:rsid w:val="00BC626A"/>
    <w:rsid w:val="00BC6825"/>
    <w:rsid w:val="00BC6BEC"/>
    <w:rsid w:val="00BC75E7"/>
    <w:rsid w:val="00BC78EF"/>
    <w:rsid w:val="00BD0CC7"/>
    <w:rsid w:val="00BD1449"/>
    <w:rsid w:val="00BD1960"/>
    <w:rsid w:val="00BD244F"/>
    <w:rsid w:val="00BD2C6C"/>
    <w:rsid w:val="00BD2D6E"/>
    <w:rsid w:val="00BD2D9B"/>
    <w:rsid w:val="00BD33FD"/>
    <w:rsid w:val="00BD37DB"/>
    <w:rsid w:val="00BD38DC"/>
    <w:rsid w:val="00BD39FA"/>
    <w:rsid w:val="00BD3BF4"/>
    <w:rsid w:val="00BD4598"/>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C81"/>
    <w:rsid w:val="00C0107B"/>
    <w:rsid w:val="00C012B2"/>
    <w:rsid w:val="00C015EF"/>
    <w:rsid w:val="00C0194E"/>
    <w:rsid w:val="00C021AD"/>
    <w:rsid w:val="00C045B1"/>
    <w:rsid w:val="00C04689"/>
    <w:rsid w:val="00C051F2"/>
    <w:rsid w:val="00C05454"/>
    <w:rsid w:val="00C061C9"/>
    <w:rsid w:val="00C067CA"/>
    <w:rsid w:val="00C06DB3"/>
    <w:rsid w:val="00C071F3"/>
    <w:rsid w:val="00C07922"/>
    <w:rsid w:val="00C07DE2"/>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4485"/>
    <w:rsid w:val="00C2467D"/>
    <w:rsid w:val="00C24C36"/>
    <w:rsid w:val="00C24EE7"/>
    <w:rsid w:val="00C25731"/>
    <w:rsid w:val="00C26002"/>
    <w:rsid w:val="00C26301"/>
    <w:rsid w:val="00C26C63"/>
    <w:rsid w:val="00C26E34"/>
    <w:rsid w:val="00C302E1"/>
    <w:rsid w:val="00C309AF"/>
    <w:rsid w:val="00C30D29"/>
    <w:rsid w:val="00C31D80"/>
    <w:rsid w:val="00C31E4D"/>
    <w:rsid w:val="00C3223B"/>
    <w:rsid w:val="00C3234F"/>
    <w:rsid w:val="00C3284C"/>
    <w:rsid w:val="00C33056"/>
    <w:rsid w:val="00C33459"/>
    <w:rsid w:val="00C3455D"/>
    <w:rsid w:val="00C35C8A"/>
    <w:rsid w:val="00C36FC3"/>
    <w:rsid w:val="00C373A3"/>
    <w:rsid w:val="00C374E2"/>
    <w:rsid w:val="00C37F6F"/>
    <w:rsid w:val="00C408BC"/>
    <w:rsid w:val="00C412D0"/>
    <w:rsid w:val="00C43C48"/>
    <w:rsid w:val="00C43D3B"/>
    <w:rsid w:val="00C44DFF"/>
    <w:rsid w:val="00C4517C"/>
    <w:rsid w:val="00C45A25"/>
    <w:rsid w:val="00C45F9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66E"/>
    <w:rsid w:val="00C567F7"/>
    <w:rsid w:val="00C5779D"/>
    <w:rsid w:val="00C57F24"/>
    <w:rsid w:val="00C61531"/>
    <w:rsid w:val="00C615BA"/>
    <w:rsid w:val="00C615CE"/>
    <w:rsid w:val="00C62272"/>
    <w:rsid w:val="00C629CF"/>
    <w:rsid w:val="00C6309C"/>
    <w:rsid w:val="00C6320F"/>
    <w:rsid w:val="00C634CD"/>
    <w:rsid w:val="00C63A06"/>
    <w:rsid w:val="00C63A45"/>
    <w:rsid w:val="00C647DB"/>
    <w:rsid w:val="00C64981"/>
    <w:rsid w:val="00C65E28"/>
    <w:rsid w:val="00C66B18"/>
    <w:rsid w:val="00C6740F"/>
    <w:rsid w:val="00C67826"/>
    <w:rsid w:val="00C7026E"/>
    <w:rsid w:val="00C70B6E"/>
    <w:rsid w:val="00C71016"/>
    <w:rsid w:val="00C71C17"/>
    <w:rsid w:val="00C71F1B"/>
    <w:rsid w:val="00C724F4"/>
    <w:rsid w:val="00C72785"/>
    <w:rsid w:val="00C72969"/>
    <w:rsid w:val="00C73D4D"/>
    <w:rsid w:val="00C73D53"/>
    <w:rsid w:val="00C74183"/>
    <w:rsid w:val="00C74631"/>
    <w:rsid w:val="00C74E96"/>
    <w:rsid w:val="00C75044"/>
    <w:rsid w:val="00C75789"/>
    <w:rsid w:val="00C77134"/>
    <w:rsid w:val="00C7713E"/>
    <w:rsid w:val="00C7726E"/>
    <w:rsid w:val="00C774CA"/>
    <w:rsid w:val="00C804B3"/>
    <w:rsid w:val="00C80C41"/>
    <w:rsid w:val="00C8152D"/>
    <w:rsid w:val="00C83078"/>
    <w:rsid w:val="00C833EE"/>
    <w:rsid w:val="00C841D4"/>
    <w:rsid w:val="00C84BDC"/>
    <w:rsid w:val="00C85256"/>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1B"/>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14DE"/>
    <w:rsid w:val="00CB17B9"/>
    <w:rsid w:val="00CB1C9E"/>
    <w:rsid w:val="00CB364B"/>
    <w:rsid w:val="00CB3841"/>
    <w:rsid w:val="00CB3928"/>
    <w:rsid w:val="00CB3C94"/>
    <w:rsid w:val="00CB3EE4"/>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51AB"/>
    <w:rsid w:val="00CC5610"/>
    <w:rsid w:val="00CC5768"/>
    <w:rsid w:val="00CC57B1"/>
    <w:rsid w:val="00CC7299"/>
    <w:rsid w:val="00CC7587"/>
    <w:rsid w:val="00CC7D40"/>
    <w:rsid w:val="00CD052C"/>
    <w:rsid w:val="00CD05A2"/>
    <w:rsid w:val="00CD1085"/>
    <w:rsid w:val="00CD1140"/>
    <w:rsid w:val="00CD1384"/>
    <w:rsid w:val="00CD1982"/>
    <w:rsid w:val="00CD1C46"/>
    <w:rsid w:val="00CD1E34"/>
    <w:rsid w:val="00CD2683"/>
    <w:rsid w:val="00CD2910"/>
    <w:rsid w:val="00CD3E59"/>
    <w:rsid w:val="00CD3F40"/>
    <w:rsid w:val="00CD404B"/>
    <w:rsid w:val="00CD4224"/>
    <w:rsid w:val="00CD4C9B"/>
    <w:rsid w:val="00CD5136"/>
    <w:rsid w:val="00CD5B1C"/>
    <w:rsid w:val="00CD7087"/>
    <w:rsid w:val="00CE0DF5"/>
    <w:rsid w:val="00CE0F15"/>
    <w:rsid w:val="00CE1139"/>
    <w:rsid w:val="00CE1266"/>
    <w:rsid w:val="00CE1389"/>
    <w:rsid w:val="00CE13BE"/>
    <w:rsid w:val="00CE23BA"/>
    <w:rsid w:val="00CE298E"/>
    <w:rsid w:val="00CE35C3"/>
    <w:rsid w:val="00CE38B1"/>
    <w:rsid w:val="00CE421B"/>
    <w:rsid w:val="00CE5A1D"/>
    <w:rsid w:val="00CE605D"/>
    <w:rsid w:val="00CE63AB"/>
    <w:rsid w:val="00CE65C2"/>
    <w:rsid w:val="00CE6ED2"/>
    <w:rsid w:val="00CE78BF"/>
    <w:rsid w:val="00CE7B7D"/>
    <w:rsid w:val="00CF130F"/>
    <w:rsid w:val="00CF13DC"/>
    <w:rsid w:val="00CF3191"/>
    <w:rsid w:val="00CF31FD"/>
    <w:rsid w:val="00CF34DC"/>
    <w:rsid w:val="00CF3609"/>
    <w:rsid w:val="00CF385E"/>
    <w:rsid w:val="00CF3C49"/>
    <w:rsid w:val="00CF5824"/>
    <w:rsid w:val="00CF5BC7"/>
    <w:rsid w:val="00CF6A3A"/>
    <w:rsid w:val="00CF6B8E"/>
    <w:rsid w:val="00CF6D48"/>
    <w:rsid w:val="00CF6DD1"/>
    <w:rsid w:val="00CF77F9"/>
    <w:rsid w:val="00CF7AE5"/>
    <w:rsid w:val="00CF7B1A"/>
    <w:rsid w:val="00CF7B66"/>
    <w:rsid w:val="00D00B1F"/>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C3A"/>
    <w:rsid w:val="00D10D78"/>
    <w:rsid w:val="00D11878"/>
    <w:rsid w:val="00D11E0E"/>
    <w:rsid w:val="00D1235C"/>
    <w:rsid w:val="00D12616"/>
    <w:rsid w:val="00D13084"/>
    <w:rsid w:val="00D13AB7"/>
    <w:rsid w:val="00D13F8A"/>
    <w:rsid w:val="00D14D3B"/>
    <w:rsid w:val="00D14ECA"/>
    <w:rsid w:val="00D15150"/>
    <w:rsid w:val="00D1553C"/>
    <w:rsid w:val="00D15637"/>
    <w:rsid w:val="00D156CD"/>
    <w:rsid w:val="00D15E14"/>
    <w:rsid w:val="00D202F4"/>
    <w:rsid w:val="00D20523"/>
    <w:rsid w:val="00D231BA"/>
    <w:rsid w:val="00D23350"/>
    <w:rsid w:val="00D23CAC"/>
    <w:rsid w:val="00D25983"/>
    <w:rsid w:val="00D2693C"/>
    <w:rsid w:val="00D26CCC"/>
    <w:rsid w:val="00D278E5"/>
    <w:rsid w:val="00D30F56"/>
    <w:rsid w:val="00D318F8"/>
    <w:rsid w:val="00D31B24"/>
    <w:rsid w:val="00D31BE2"/>
    <w:rsid w:val="00D337CD"/>
    <w:rsid w:val="00D340BD"/>
    <w:rsid w:val="00D340E7"/>
    <w:rsid w:val="00D342A6"/>
    <w:rsid w:val="00D34CE9"/>
    <w:rsid w:val="00D364F5"/>
    <w:rsid w:val="00D36E9E"/>
    <w:rsid w:val="00D36EFF"/>
    <w:rsid w:val="00D376EB"/>
    <w:rsid w:val="00D4052D"/>
    <w:rsid w:val="00D40F45"/>
    <w:rsid w:val="00D41004"/>
    <w:rsid w:val="00D41228"/>
    <w:rsid w:val="00D4223B"/>
    <w:rsid w:val="00D42DF9"/>
    <w:rsid w:val="00D43049"/>
    <w:rsid w:val="00D431EA"/>
    <w:rsid w:val="00D432CB"/>
    <w:rsid w:val="00D43C41"/>
    <w:rsid w:val="00D43EC3"/>
    <w:rsid w:val="00D43F67"/>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60515"/>
    <w:rsid w:val="00D60C09"/>
    <w:rsid w:val="00D61644"/>
    <w:rsid w:val="00D6183B"/>
    <w:rsid w:val="00D61D31"/>
    <w:rsid w:val="00D61F11"/>
    <w:rsid w:val="00D6202D"/>
    <w:rsid w:val="00D62266"/>
    <w:rsid w:val="00D62C73"/>
    <w:rsid w:val="00D639A1"/>
    <w:rsid w:val="00D63D38"/>
    <w:rsid w:val="00D63D91"/>
    <w:rsid w:val="00D64F41"/>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87F7F"/>
    <w:rsid w:val="00D9008D"/>
    <w:rsid w:val="00D90454"/>
    <w:rsid w:val="00D907F3"/>
    <w:rsid w:val="00D90C1D"/>
    <w:rsid w:val="00D90E7C"/>
    <w:rsid w:val="00D90F4C"/>
    <w:rsid w:val="00D9113E"/>
    <w:rsid w:val="00D915B4"/>
    <w:rsid w:val="00D92029"/>
    <w:rsid w:val="00D92383"/>
    <w:rsid w:val="00D923A6"/>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1E67"/>
    <w:rsid w:val="00DA2D0E"/>
    <w:rsid w:val="00DA2EB0"/>
    <w:rsid w:val="00DA3B7D"/>
    <w:rsid w:val="00DA4DD5"/>
    <w:rsid w:val="00DA5A01"/>
    <w:rsid w:val="00DA6C08"/>
    <w:rsid w:val="00DA6E66"/>
    <w:rsid w:val="00DA700D"/>
    <w:rsid w:val="00DA7397"/>
    <w:rsid w:val="00DA7EDA"/>
    <w:rsid w:val="00DB0E8B"/>
    <w:rsid w:val="00DB1E09"/>
    <w:rsid w:val="00DB2F27"/>
    <w:rsid w:val="00DB2FA7"/>
    <w:rsid w:val="00DB37F7"/>
    <w:rsid w:val="00DB3856"/>
    <w:rsid w:val="00DB3E81"/>
    <w:rsid w:val="00DB4AB5"/>
    <w:rsid w:val="00DB4AED"/>
    <w:rsid w:val="00DB4C9A"/>
    <w:rsid w:val="00DB5480"/>
    <w:rsid w:val="00DB6158"/>
    <w:rsid w:val="00DB64E0"/>
    <w:rsid w:val="00DB6BD7"/>
    <w:rsid w:val="00DB6EE1"/>
    <w:rsid w:val="00DB6F52"/>
    <w:rsid w:val="00DB7718"/>
    <w:rsid w:val="00DB77A6"/>
    <w:rsid w:val="00DB7883"/>
    <w:rsid w:val="00DB7B97"/>
    <w:rsid w:val="00DB7D13"/>
    <w:rsid w:val="00DC0433"/>
    <w:rsid w:val="00DC176C"/>
    <w:rsid w:val="00DC1799"/>
    <w:rsid w:val="00DC19C8"/>
    <w:rsid w:val="00DC1D94"/>
    <w:rsid w:val="00DC219B"/>
    <w:rsid w:val="00DC3519"/>
    <w:rsid w:val="00DC436C"/>
    <w:rsid w:val="00DC523B"/>
    <w:rsid w:val="00DC5653"/>
    <w:rsid w:val="00DC5B3A"/>
    <w:rsid w:val="00DC6037"/>
    <w:rsid w:val="00DC6108"/>
    <w:rsid w:val="00DC747F"/>
    <w:rsid w:val="00DC75DF"/>
    <w:rsid w:val="00DC7B20"/>
    <w:rsid w:val="00DC7C0D"/>
    <w:rsid w:val="00DC7F8E"/>
    <w:rsid w:val="00DD0A9F"/>
    <w:rsid w:val="00DD114A"/>
    <w:rsid w:val="00DD1DBA"/>
    <w:rsid w:val="00DD275B"/>
    <w:rsid w:val="00DD2D4D"/>
    <w:rsid w:val="00DD329C"/>
    <w:rsid w:val="00DD352F"/>
    <w:rsid w:val="00DD4319"/>
    <w:rsid w:val="00DD4363"/>
    <w:rsid w:val="00DD46B9"/>
    <w:rsid w:val="00DD56EE"/>
    <w:rsid w:val="00DD5DBF"/>
    <w:rsid w:val="00DD7B2A"/>
    <w:rsid w:val="00DD7B4B"/>
    <w:rsid w:val="00DE0A60"/>
    <w:rsid w:val="00DE0E4E"/>
    <w:rsid w:val="00DE0FB5"/>
    <w:rsid w:val="00DE1007"/>
    <w:rsid w:val="00DE1137"/>
    <w:rsid w:val="00DE12F2"/>
    <w:rsid w:val="00DE172D"/>
    <w:rsid w:val="00DE2EE4"/>
    <w:rsid w:val="00DE3AC9"/>
    <w:rsid w:val="00DE3C18"/>
    <w:rsid w:val="00DE3E1B"/>
    <w:rsid w:val="00DE5196"/>
    <w:rsid w:val="00DE5957"/>
    <w:rsid w:val="00DE5C19"/>
    <w:rsid w:val="00DE5CF2"/>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376"/>
    <w:rsid w:val="00DF657C"/>
    <w:rsid w:val="00DF6BD3"/>
    <w:rsid w:val="00DF76F2"/>
    <w:rsid w:val="00E003E7"/>
    <w:rsid w:val="00E00610"/>
    <w:rsid w:val="00E02FBE"/>
    <w:rsid w:val="00E0349D"/>
    <w:rsid w:val="00E0359F"/>
    <w:rsid w:val="00E036F9"/>
    <w:rsid w:val="00E03991"/>
    <w:rsid w:val="00E03A29"/>
    <w:rsid w:val="00E03B7D"/>
    <w:rsid w:val="00E04623"/>
    <w:rsid w:val="00E047B3"/>
    <w:rsid w:val="00E051D5"/>
    <w:rsid w:val="00E060ED"/>
    <w:rsid w:val="00E07400"/>
    <w:rsid w:val="00E07BED"/>
    <w:rsid w:val="00E07CE3"/>
    <w:rsid w:val="00E07D89"/>
    <w:rsid w:val="00E10133"/>
    <w:rsid w:val="00E104EE"/>
    <w:rsid w:val="00E10925"/>
    <w:rsid w:val="00E10DDD"/>
    <w:rsid w:val="00E10E85"/>
    <w:rsid w:val="00E11293"/>
    <w:rsid w:val="00E114E2"/>
    <w:rsid w:val="00E11991"/>
    <w:rsid w:val="00E11F57"/>
    <w:rsid w:val="00E12232"/>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1E8"/>
    <w:rsid w:val="00E2262C"/>
    <w:rsid w:val="00E22866"/>
    <w:rsid w:val="00E230AC"/>
    <w:rsid w:val="00E23F9E"/>
    <w:rsid w:val="00E243EC"/>
    <w:rsid w:val="00E250A3"/>
    <w:rsid w:val="00E25103"/>
    <w:rsid w:val="00E251D7"/>
    <w:rsid w:val="00E252B0"/>
    <w:rsid w:val="00E2590D"/>
    <w:rsid w:val="00E25984"/>
    <w:rsid w:val="00E25F68"/>
    <w:rsid w:val="00E2639F"/>
    <w:rsid w:val="00E26407"/>
    <w:rsid w:val="00E2643C"/>
    <w:rsid w:val="00E26735"/>
    <w:rsid w:val="00E268D9"/>
    <w:rsid w:val="00E26CD7"/>
    <w:rsid w:val="00E2713E"/>
    <w:rsid w:val="00E27264"/>
    <w:rsid w:val="00E2747C"/>
    <w:rsid w:val="00E3012B"/>
    <w:rsid w:val="00E30459"/>
    <w:rsid w:val="00E30F02"/>
    <w:rsid w:val="00E30FC1"/>
    <w:rsid w:val="00E315DA"/>
    <w:rsid w:val="00E31C84"/>
    <w:rsid w:val="00E32C59"/>
    <w:rsid w:val="00E333F7"/>
    <w:rsid w:val="00E33513"/>
    <w:rsid w:val="00E33596"/>
    <w:rsid w:val="00E344AF"/>
    <w:rsid w:val="00E34B81"/>
    <w:rsid w:val="00E35569"/>
    <w:rsid w:val="00E35692"/>
    <w:rsid w:val="00E3670F"/>
    <w:rsid w:val="00E36C03"/>
    <w:rsid w:val="00E36F04"/>
    <w:rsid w:val="00E3735F"/>
    <w:rsid w:val="00E400AC"/>
    <w:rsid w:val="00E407C4"/>
    <w:rsid w:val="00E40BB0"/>
    <w:rsid w:val="00E4111A"/>
    <w:rsid w:val="00E41198"/>
    <w:rsid w:val="00E41244"/>
    <w:rsid w:val="00E4163C"/>
    <w:rsid w:val="00E43B49"/>
    <w:rsid w:val="00E4528C"/>
    <w:rsid w:val="00E457C5"/>
    <w:rsid w:val="00E45CB9"/>
    <w:rsid w:val="00E463CD"/>
    <w:rsid w:val="00E4654A"/>
    <w:rsid w:val="00E46D78"/>
    <w:rsid w:val="00E50132"/>
    <w:rsid w:val="00E511BB"/>
    <w:rsid w:val="00E514BB"/>
    <w:rsid w:val="00E5166F"/>
    <w:rsid w:val="00E51E0D"/>
    <w:rsid w:val="00E51E77"/>
    <w:rsid w:val="00E520AD"/>
    <w:rsid w:val="00E524FE"/>
    <w:rsid w:val="00E53429"/>
    <w:rsid w:val="00E534BD"/>
    <w:rsid w:val="00E534C0"/>
    <w:rsid w:val="00E53DC7"/>
    <w:rsid w:val="00E54046"/>
    <w:rsid w:val="00E54DBD"/>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424E"/>
    <w:rsid w:val="00E74E62"/>
    <w:rsid w:val="00E75441"/>
    <w:rsid w:val="00E76014"/>
    <w:rsid w:val="00E77094"/>
    <w:rsid w:val="00E773F1"/>
    <w:rsid w:val="00E77F6F"/>
    <w:rsid w:val="00E80147"/>
    <w:rsid w:val="00E80526"/>
    <w:rsid w:val="00E811A6"/>
    <w:rsid w:val="00E81859"/>
    <w:rsid w:val="00E81C57"/>
    <w:rsid w:val="00E823F4"/>
    <w:rsid w:val="00E8260B"/>
    <w:rsid w:val="00E82E45"/>
    <w:rsid w:val="00E835C4"/>
    <w:rsid w:val="00E8398F"/>
    <w:rsid w:val="00E84BFD"/>
    <w:rsid w:val="00E84FF6"/>
    <w:rsid w:val="00E858A1"/>
    <w:rsid w:val="00E85C4E"/>
    <w:rsid w:val="00E85C70"/>
    <w:rsid w:val="00E869AC"/>
    <w:rsid w:val="00E86F98"/>
    <w:rsid w:val="00E87D3F"/>
    <w:rsid w:val="00E90467"/>
    <w:rsid w:val="00E90871"/>
    <w:rsid w:val="00E90BFC"/>
    <w:rsid w:val="00E914CC"/>
    <w:rsid w:val="00E91F34"/>
    <w:rsid w:val="00E922A6"/>
    <w:rsid w:val="00E922D7"/>
    <w:rsid w:val="00E92971"/>
    <w:rsid w:val="00E92B00"/>
    <w:rsid w:val="00E92BEC"/>
    <w:rsid w:val="00E93C12"/>
    <w:rsid w:val="00E94CDB"/>
    <w:rsid w:val="00E951A0"/>
    <w:rsid w:val="00E95D51"/>
    <w:rsid w:val="00E96108"/>
    <w:rsid w:val="00E9701C"/>
    <w:rsid w:val="00E971E2"/>
    <w:rsid w:val="00E97D88"/>
    <w:rsid w:val="00E97EF1"/>
    <w:rsid w:val="00EA2467"/>
    <w:rsid w:val="00EA281F"/>
    <w:rsid w:val="00EA2DC1"/>
    <w:rsid w:val="00EA3A44"/>
    <w:rsid w:val="00EA46A3"/>
    <w:rsid w:val="00EA54B1"/>
    <w:rsid w:val="00EA62B0"/>
    <w:rsid w:val="00EA70F5"/>
    <w:rsid w:val="00EA716F"/>
    <w:rsid w:val="00EA7403"/>
    <w:rsid w:val="00EA7421"/>
    <w:rsid w:val="00EA7D96"/>
    <w:rsid w:val="00EB01D7"/>
    <w:rsid w:val="00EB0F1A"/>
    <w:rsid w:val="00EB1CFB"/>
    <w:rsid w:val="00EB40FF"/>
    <w:rsid w:val="00EB4160"/>
    <w:rsid w:val="00EB47F6"/>
    <w:rsid w:val="00EB49AC"/>
    <w:rsid w:val="00EB4DA9"/>
    <w:rsid w:val="00EB4F55"/>
    <w:rsid w:val="00EB5C19"/>
    <w:rsid w:val="00EB5F18"/>
    <w:rsid w:val="00EB62F5"/>
    <w:rsid w:val="00EB6978"/>
    <w:rsid w:val="00EB69B2"/>
    <w:rsid w:val="00EB6AC8"/>
    <w:rsid w:val="00EB6CC5"/>
    <w:rsid w:val="00EB7131"/>
    <w:rsid w:val="00EB77AA"/>
    <w:rsid w:val="00EB7972"/>
    <w:rsid w:val="00EC148B"/>
    <w:rsid w:val="00EC21DA"/>
    <w:rsid w:val="00EC2A9E"/>
    <w:rsid w:val="00EC346D"/>
    <w:rsid w:val="00EC3B4C"/>
    <w:rsid w:val="00EC3F68"/>
    <w:rsid w:val="00EC439F"/>
    <w:rsid w:val="00EC43C8"/>
    <w:rsid w:val="00EC485D"/>
    <w:rsid w:val="00EC4D6A"/>
    <w:rsid w:val="00EC4E7B"/>
    <w:rsid w:val="00EC556F"/>
    <w:rsid w:val="00EC629B"/>
    <w:rsid w:val="00EC6ACF"/>
    <w:rsid w:val="00EC6D77"/>
    <w:rsid w:val="00EC6E11"/>
    <w:rsid w:val="00EC7063"/>
    <w:rsid w:val="00EC7641"/>
    <w:rsid w:val="00ED00F8"/>
    <w:rsid w:val="00ED084D"/>
    <w:rsid w:val="00ED0B48"/>
    <w:rsid w:val="00ED1C72"/>
    <w:rsid w:val="00ED2070"/>
    <w:rsid w:val="00ED223B"/>
    <w:rsid w:val="00ED2A75"/>
    <w:rsid w:val="00ED3004"/>
    <w:rsid w:val="00ED341F"/>
    <w:rsid w:val="00ED3B8B"/>
    <w:rsid w:val="00ED3FAC"/>
    <w:rsid w:val="00ED4055"/>
    <w:rsid w:val="00ED56DB"/>
    <w:rsid w:val="00ED5865"/>
    <w:rsid w:val="00ED5AC1"/>
    <w:rsid w:val="00ED5BF3"/>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169"/>
    <w:rsid w:val="00EF130E"/>
    <w:rsid w:val="00EF1DDC"/>
    <w:rsid w:val="00EF1E47"/>
    <w:rsid w:val="00EF2277"/>
    <w:rsid w:val="00EF3A38"/>
    <w:rsid w:val="00EF3A63"/>
    <w:rsid w:val="00EF3C45"/>
    <w:rsid w:val="00EF4C95"/>
    <w:rsid w:val="00EF5B80"/>
    <w:rsid w:val="00F001CD"/>
    <w:rsid w:val="00F002A5"/>
    <w:rsid w:val="00F014E1"/>
    <w:rsid w:val="00F01593"/>
    <w:rsid w:val="00F0177C"/>
    <w:rsid w:val="00F02B2D"/>
    <w:rsid w:val="00F02E10"/>
    <w:rsid w:val="00F03486"/>
    <w:rsid w:val="00F0352B"/>
    <w:rsid w:val="00F04606"/>
    <w:rsid w:val="00F06293"/>
    <w:rsid w:val="00F06D59"/>
    <w:rsid w:val="00F06FE3"/>
    <w:rsid w:val="00F07469"/>
    <w:rsid w:val="00F074EA"/>
    <w:rsid w:val="00F101E1"/>
    <w:rsid w:val="00F1097D"/>
    <w:rsid w:val="00F11F8B"/>
    <w:rsid w:val="00F1216E"/>
    <w:rsid w:val="00F121C2"/>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76E"/>
    <w:rsid w:val="00F3054C"/>
    <w:rsid w:val="00F30C3A"/>
    <w:rsid w:val="00F30CC9"/>
    <w:rsid w:val="00F31484"/>
    <w:rsid w:val="00F3191D"/>
    <w:rsid w:val="00F3341A"/>
    <w:rsid w:val="00F3350E"/>
    <w:rsid w:val="00F33F87"/>
    <w:rsid w:val="00F3429F"/>
    <w:rsid w:val="00F3480D"/>
    <w:rsid w:val="00F34820"/>
    <w:rsid w:val="00F35519"/>
    <w:rsid w:val="00F35552"/>
    <w:rsid w:val="00F36777"/>
    <w:rsid w:val="00F37EA0"/>
    <w:rsid w:val="00F40199"/>
    <w:rsid w:val="00F414E4"/>
    <w:rsid w:val="00F41937"/>
    <w:rsid w:val="00F41CDE"/>
    <w:rsid w:val="00F420ED"/>
    <w:rsid w:val="00F426DB"/>
    <w:rsid w:val="00F429BA"/>
    <w:rsid w:val="00F437C0"/>
    <w:rsid w:val="00F43BEA"/>
    <w:rsid w:val="00F44200"/>
    <w:rsid w:val="00F45603"/>
    <w:rsid w:val="00F46831"/>
    <w:rsid w:val="00F46AFD"/>
    <w:rsid w:val="00F47991"/>
    <w:rsid w:val="00F504EC"/>
    <w:rsid w:val="00F50882"/>
    <w:rsid w:val="00F50E6C"/>
    <w:rsid w:val="00F517B0"/>
    <w:rsid w:val="00F517CB"/>
    <w:rsid w:val="00F5209F"/>
    <w:rsid w:val="00F52483"/>
    <w:rsid w:val="00F52D7D"/>
    <w:rsid w:val="00F53B59"/>
    <w:rsid w:val="00F544F0"/>
    <w:rsid w:val="00F54862"/>
    <w:rsid w:val="00F54FAB"/>
    <w:rsid w:val="00F5571D"/>
    <w:rsid w:val="00F56169"/>
    <w:rsid w:val="00F56F2F"/>
    <w:rsid w:val="00F5741C"/>
    <w:rsid w:val="00F60673"/>
    <w:rsid w:val="00F60EF8"/>
    <w:rsid w:val="00F610E9"/>
    <w:rsid w:val="00F61955"/>
    <w:rsid w:val="00F61BA1"/>
    <w:rsid w:val="00F63769"/>
    <w:rsid w:val="00F6382C"/>
    <w:rsid w:val="00F64092"/>
    <w:rsid w:val="00F655E1"/>
    <w:rsid w:val="00F65C93"/>
    <w:rsid w:val="00F66277"/>
    <w:rsid w:val="00F669D3"/>
    <w:rsid w:val="00F67531"/>
    <w:rsid w:val="00F675D8"/>
    <w:rsid w:val="00F67AB7"/>
    <w:rsid w:val="00F70799"/>
    <w:rsid w:val="00F7085A"/>
    <w:rsid w:val="00F70AFD"/>
    <w:rsid w:val="00F70F67"/>
    <w:rsid w:val="00F714C2"/>
    <w:rsid w:val="00F71EAB"/>
    <w:rsid w:val="00F728D3"/>
    <w:rsid w:val="00F732ED"/>
    <w:rsid w:val="00F73C0B"/>
    <w:rsid w:val="00F74334"/>
    <w:rsid w:val="00F753F3"/>
    <w:rsid w:val="00F75BA9"/>
    <w:rsid w:val="00F75FAD"/>
    <w:rsid w:val="00F76692"/>
    <w:rsid w:val="00F767D9"/>
    <w:rsid w:val="00F769B7"/>
    <w:rsid w:val="00F76FC1"/>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52E2"/>
    <w:rsid w:val="00FA567F"/>
    <w:rsid w:val="00FA5A19"/>
    <w:rsid w:val="00FA6455"/>
    <w:rsid w:val="00FA7727"/>
    <w:rsid w:val="00FB0010"/>
    <w:rsid w:val="00FB0989"/>
    <w:rsid w:val="00FB0AC8"/>
    <w:rsid w:val="00FB0C2B"/>
    <w:rsid w:val="00FB15F3"/>
    <w:rsid w:val="00FB1F39"/>
    <w:rsid w:val="00FB20C8"/>
    <w:rsid w:val="00FB29EB"/>
    <w:rsid w:val="00FB3296"/>
    <w:rsid w:val="00FB34BD"/>
    <w:rsid w:val="00FB39BF"/>
    <w:rsid w:val="00FB439B"/>
    <w:rsid w:val="00FB44FB"/>
    <w:rsid w:val="00FB4A5F"/>
    <w:rsid w:val="00FB51E9"/>
    <w:rsid w:val="00FB5325"/>
    <w:rsid w:val="00FB5FBB"/>
    <w:rsid w:val="00FB655C"/>
    <w:rsid w:val="00FC0165"/>
    <w:rsid w:val="00FC0A01"/>
    <w:rsid w:val="00FC0AF5"/>
    <w:rsid w:val="00FC1761"/>
    <w:rsid w:val="00FC28C2"/>
    <w:rsid w:val="00FC2A34"/>
    <w:rsid w:val="00FC36D8"/>
    <w:rsid w:val="00FC5700"/>
    <w:rsid w:val="00FC5DB9"/>
    <w:rsid w:val="00FC5E8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E12"/>
    <w:rsid w:val="00FE6F69"/>
    <w:rsid w:val="00FE7B88"/>
    <w:rsid w:val="00FE7BD3"/>
    <w:rsid w:val="00FF0214"/>
    <w:rsid w:val="00FF0459"/>
    <w:rsid w:val="00FF17A4"/>
    <w:rsid w:val="00FF1CDA"/>
    <w:rsid w:val="00FF2250"/>
    <w:rsid w:val="00FF2562"/>
    <w:rsid w:val="00FF26E3"/>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06CA"/>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90301D"/>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rPr>
  </w:style>
  <w:style w:type="character" w:customStyle="1" w:styleId="afa">
    <w:name w:val="Уровень Формул Знак"/>
    <w:link w:val="af9"/>
    <w:rsid w:val="00C464D1"/>
    <w:rPr>
      <w:rFonts w:ascii="Cambria Math" w:hAnsi="Cambria Math" w:cs="Arial"/>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43833866">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18558283">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396051325">
      <w:bodyDiv w:val="1"/>
      <w:marLeft w:val="0"/>
      <w:marRight w:val="0"/>
      <w:marTop w:val="0"/>
      <w:marBottom w:val="0"/>
      <w:divBdr>
        <w:top w:val="none" w:sz="0" w:space="0" w:color="auto"/>
        <w:left w:val="none" w:sz="0" w:space="0" w:color="auto"/>
        <w:bottom w:val="none" w:sz="0" w:space="0" w:color="auto"/>
        <w:right w:val="none" w:sz="0" w:space="0" w:color="auto"/>
      </w:divBdr>
    </w:div>
    <w:div w:id="159281030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1931769542">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1073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DCE5A-098B-4626-B541-257B1922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2786</Words>
  <Characters>14283</Characters>
  <Application>Microsoft Office Word</Application>
  <DocSecurity>0</DocSecurity>
  <Lines>238</Lines>
  <Paragraphs>71</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16998</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cp:keywords/>
  <cp:lastModifiedBy>Лошкарева Кристина Викторовна</cp:lastModifiedBy>
  <cp:revision>5</cp:revision>
  <cp:lastPrinted>2020-01-24T13:55:00Z</cp:lastPrinted>
  <dcterms:created xsi:type="dcterms:W3CDTF">2023-09-19T10:39:00Z</dcterms:created>
  <dcterms:modified xsi:type="dcterms:W3CDTF">2024-01-11T16:32:00Z</dcterms:modified>
</cp:coreProperties>
</file>